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DF" w:rsidRPr="008573C5" w:rsidRDefault="007C5E61" w:rsidP="00FF5EDF">
      <w:pPr>
        <w:spacing w:line="360" w:lineRule="auto"/>
        <w:jc w:val="center"/>
        <w:rPr>
          <w:b/>
          <w:sz w:val="32"/>
          <w:szCs w:val="32"/>
        </w:rPr>
      </w:pPr>
      <w:r w:rsidRPr="008573C5">
        <w:rPr>
          <w:b/>
          <w:sz w:val="32"/>
          <w:szCs w:val="32"/>
        </w:rPr>
        <w:t>C</w:t>
      </w:r>
      <w:r w:rsidR="00FF5EDF" w:rsidRPr="008573C5">
        <w:rPr>
          <w:b/>
          <w:sz w:val="32"/>
          <w:szCs w:val="32"/>
        </w:rPr>
        <w:t>HAPTER ONE</w:t>
      </w:r>
    </w:p>
    <w:p w:rsidR="00AC1043" w:rsidRPr="008573C5" w:rsidRDefault="00FF5EDF" w:rsidP="00AC1043">
      <w:pPr>
        <w:tabs>
          <w:tab w:val="left" w:pos="2505"/>
          <w:tab w:val="center" w:pos="4680"/>
        </w:tabs>
        <w:spacing w:line="360" w:lineRule="auto"/>
        <w:jc w:val="center"/>
        <w:rPr>
          <w:b/>
          <w:sz w:val="32"/>
          <w:szCs w:val="32"/>
        </w:rPr>
      </w:pPr>
      <w:r w:rsidRPr="008573C5">
        <w:rPr>
          <w:b/>
          <w:sz w:val="32"/>
          <w:szCs w:val="32"/>
        </w:rPr>
        <w:t>INTRODUCTION</w:t>
      </w:r>
    </w:p>
    <w:p w:rsidR="009E3302" w:rsidRPr="008573C5" w:rsidRDefault="009E3302" w:rsidP="009D201B">
      <w:pPr>
        <w:spacing w:line="360" w:lineRule="auto"/>
        <w:rPr>
          <w:b/>
        </w:rPr>
      </w:pPr>
    </w:p>
    <w:p w:rsidR="00FF5EDF" w:rsidRPr="008573C5" w:rsidRDefault="009D201B" w:rsidP="00CF6623">
      <w:pPr>
        <w:spacing w:line="360" w:lineRule="auto"/>
        <w:rPr>
          <w:b/>
          <w:sz w:val="28"/>
          <w:szCs w:val="28"/>
        </w:rPr>
      </w:pPr>
      <w:r w:rsidRPr="008573C5">
        <w:rPr>
          <w:b/>
        </w:rPr>
        <w:t>1.</w:t>
      </w:r>
      <w:r w:rsidR="00FB5751" w:rsidRPr="008573C5">
        <w:rPr>
          <w:b/>
        </w:rPr>
        <w:t>0</w:t>
      </w:r>
      <w:r w:rsidR="00EF281F" w:rsidRPr="008573C5">
        <w:rPr>
          <w:b/>
          <w:sz w:val="28"/>
          <w:szCs w:val="28"/>
        </w:rPr>
        <w:t xml:space="preserve">  </w:t>
      </w:r>
      <w:r w:rsidR="00FF5EDF" w:rsidRPr="008573C5">
        <w:rPr>
          <w:b/>
          <w:sz w:val="28"/>
          <w:szCs w:val="28"/>
        </w:rPr>
        <w:t>B</w:t>
      </w:r>
      <w:r w:rsidR="00C26CAA" w:rsidRPr="008573C5">
        <w:rPr>
          <w:b/>
          <w:sz w:val="28"/>
          <w:szCs w:val="28"/>
        </w:rPr>
        <w:t>ackground to the Study</w:t>
      </w:r>
      <w:r w:rsidR="00FF5EDF" w:rsidRPr="008573C5">
        <w:rPr>
          <w:b/>
          <w:sz w:val="28"/>
          <w:szCs w:val="28"/>
        </w:rPr>
        <w:t xml:space="preserve"> </w:t>
      </w:r>
    </w:p>
    <w:p w:rsidR="00B33592" w:rsidRPr="008573C5" w:rsidRDefault="00FF5EDF" w:rsidP="00CF6623">
      <w:pPr>
        <w:spacing w:line="360" w:lineRule="auto"/>
        <w:jc w:val="both"/>
        <w:rPr>
          <w:bCs/>
        </w:rPr>
      </w:pPr>
      <w:r w:rsidRPr="008573C5">
        <w:rPr>
          <w:iCs/>
        </w:rPr>
        <w:t xml:space="preserve">Published annual reports are required to provide various users - shareholders, employees, suppliers, creditors, </w:t>
      </w:r>
      <w:r w:rsidR="00732886" w:rsidRPr="008573C5">
        <w:rPr>
          <w:iCs/>
        </w:rPr>
        <w:t xml:space="preserve">financial analysts, </w:t>
      </w:r>
      <w:r w:rsidR="00BA492A" w:rsidRPr="008573C5">
        <w:rPr>
          <w:iCs/>
        </w:rPr>
        <w:t xml:space="preserve">stockbrokers, </w:t>
      </w:r>
      <w:r w:rsidR="00732886" w:rsidRPr="008573C5">
        <w:rPr>
          <w:iCs/>
        </w:rPr>
        <w:t>management, and government</w:t>
      </w:r>
      <w:r w:rsidRPr="008573C5">
        <w:rPr>
          <w:iCs/>
        </w:rPr>
        <w:t xml:space="preserve"> agencies – with timely and reliable information useful for making prudent, effective and efficient decisions.  </w:t>
      </w:r>
      <w:r w:rsidRPr="008573C5">
        <w:rPr>
          <w:bCs/>
        </w:rPr>
        <w:t>The extent and quality of disclosure within these published reports vary from company to company and also from country to country. Literature reveals that the level of reliable and adequate information by listed companies in developing countries lag</w:t>
      </w:r>
      <w:r w:rsidR="00592947" w:rsidRPr="008573C5">
        <w:rPr>
          <w:bCs/>
        </w:rPr>
        <w:t>s</w:t>
      </w:r>
      <w:r w:rsidRPr="008573C5">
        <w:rPr>
          <w:bCs/>
        </w:rPr>
        <w:t xml:space="preserve"> behind </w:t>
      </w:r>
      <w:r w:rsidR="00592947" w:rsidRPr="008573C5">
        <w:rPr>
          <w:bCs/>
        </w:rPr>
        <w:t xml:space="preserve">that in </w:t>
      </w:r>
      <w:r w:rsidR="00176437" w:rsidRPr="008573C5">
        <w:rPr>
          <w:bCs/>
        </w:rPr>
        <w:t>developed ones and government regulatory forces</w:t>
      </w:r>
      <w:r w:rsidRPr="008573C5">
        <w:rPr>
          <w:bCs/>
        </w:rPr>
        <w:t xml:space="preserve"> are less effective in driving the enforcement of existing accounting standards (Ali, Ahmed and Henry, 2004:183). </w:t>
      </w:r>
      <w:r w:rsidR="00EA6897" w:rsidRPr="008573C5">
        <w:rPr>
          <w:bCs/>
        </w:rPr>
        <w:t>Non</w:t>
      </w:r>
      <w:r w:rsidRPr="008573C5">
        <w:rPr>
          <w:bCs/>
        </w:rPr>
        <w:t>-disclosure results from immature development of accounting practice in developing nations</w:t>
      </w:r>
      <w:r w:rsidR="00EA6897" w:rsidRPr="008573C5">
        <w:rPr>
          <w:bCs/>
        </w:rPr>
        <w:t xml:space="preserve"> (Osisioma, 2001:40). The </w:t>
      </w:r>
      <w:r w:rsidRPr="008573C5">
        <w:rPr>
          <w:bCs/>
        </w:rPr>
        <w:t>government regulatory bodies and the accountancy profession in these nations suffer from structural weaknesses which could encourage corporate fraud at the expense of those that have economic and proprietary i</w:t>
      </w:r>
      <w:r w:rsidR="00E643B3" w:rsidRPr="008573C5">
        <w:rPr>
          <w:bCs/>
        </w:rPr>
        <w:t>nterest in</w:t>
      </w:r>
      <w:r w:rsidR="00592947" w:rsidRPr="008573C5">
        <w:rPr>
          <w:bCs/>
        </w:rPr>
        <w:t xml:space="preserve"> the business environmen</w:t>
      </w:r>
      <w:r w:rsidR="00E643B3" w:rsidRPr="008573C5">
        <w:rPr>
          <w:bCs/>
        </w:rPr>
        <w:t xml:space="preserve">t. </w:t>
      </w:r>
    </w:p>
    <w:p w:rsidR="00B33592" w:rsidRPr="008573C5" w:rsidRDefault="00B33592" w:rsidP="004A665C">
      <w:pPr>
        <w:spacing w:line="360" w:lineRule="auto"/>
        <w:jc w:val="both"/>
        <w:rPr>
          <w:bCs/>
        </w:rPr>
      </w:pPr>
    </w:p>
    <w:p w:rsidR="00FF5EDF" w:rsidRPr="008573C5" w:rsidRDefault="00FF5EDF" w:rsidP="004A665C">
      <w:pPr>
        <w:spacing w:line="360" w:lineRule="auto"/>
        <w:jc w:val="both"/>
      </w:pPr>
      <w:r w:rsidRPr="008573C5">
        <w:rPr>
          <w:bCs/>
        </w:rPr>
        <w:t>The</w:t>
      </w:r>
      <w:r w:rsidRPr="008573C5">
        <w:t xml:space="preserve"> business environment has witnessed changes over the years, mainly influenced by globalization and technological innovation. In recent years, there </w:t>
      </w:r>
      <w:r w:rsidR="00592947" w:rsidRPr="008573C5">
        <w:t>ha</w:t>
      </w:r>
      <w:r w:rsidR="00FA6246" w:rsidRPr="008573C5">
        <w:t>s</w:t>
      </w:r>
      <w:r w:rsidRPr="008573C5">
        <w:t xml:space="preserve"> </w:t>
      </w:r>
      <w:r w:rsidR="00592947" w:rsidRPr="008573C5">
        <w:t xml:space="preserve">been </w:t>
      </w:r>
      <w:r w:rsidRPr="008573C5">
        <w:t>substantial increase in trading activities at the Stock Exchanges worldwide and Nigeria is not left out. For example, the market capitalization at the Nigerian Stock Exc</w:t>
      </w:r>
      <w:r w:rsidR="00E643B3" w:rsidRPr="008573C5">
        <w:t>hange was N763.9</w:t>
      </w:r>
      <w:r w:rsidR="00C3702C" w:rsidRPr="008573C5">
        <w:t xml:space="preserve"> </w:t>
      </w:r>
      <w:r w:rsidR="00E643B3" w:rsidRPr="008573C5">
        <w:t>billion in 2002;</w:t>
      </w:r>
      <w:r w:rsidRPr="008573C5">
        <w:t xml:space="preserve"> it grew to N2.112 trillion in 2004 and to N5.12 trillion in 2006 (NSE Factbook, 2007:37). Companies worldwide are now vying to penetrate international capital markets. The disclosure of adequate and reliable information is necessary to penetrate these international markets. Those competing for funds in the international capital arena have been found to comply with disclosing mandatory requirements and in addition disclose significantly more voluntary accounting information that enables them </w:t>
      </w:r>
      <w:r w:rsidR="00D0639D" w:rsidRPr="008573C5">
        <w:t xml:space="preserve">to </w:t>
      </w:r>
      <w:r w:rsidRPr="008573C5">
        <w:t>compete globally</w:t>
      </w:r>
      <w:r w:rsidR="00C102B6" w:rsidRPr="008573C5">
        <w:t xml:space="preserve"> </w:t>
      </w:r>
      <w:r w:rsidRPr="008573C5">
        <w:t>(Meek, Roberts and Gray, 1995: 55</w:t>
      </w:r>
      <w:r w:rsidR="00556747" w:rsidRPr="008573C5">
        <w:t xml:space="preserve">6). </w:t>
      </w:r>
    </w:p>
    <w:p w:rsidR="00FF5EDF" w:rsidRPr="008573C5" w:rsidRDefault="00FF5EDF" w:rsidP="004A665C">
      <w:pPr>
        <w:spacing w:line="360" w:lineRule="auto"/>
        <w:jc w:val="both"/>
      </w:pPr>
    </w:p>
    <w:p w:rsidR="000116B5" w:rsidRPr="008573C5" w:rsidRDefault="00FF5EDF" w:rsidP="004A665C">
      <w:pPr>
        <w:spacing w:line="360" w:lineRule="auto"/>
        <w:jc w:val="both"/>
      </w:pPr>
      <w:r w:rsidRPr="008573C5">
        <w:lastRenderedPageBreak/>
        <w:t>Since the fall of Enron in the United States, a wider recognition of the importance of corporate transparency and disclosure ha</w:t>
      </w:r>
      <w:r w:rsidR="00876B55" w:rsidRPr="008573C5">
        <w:t>s evolved (Akhtaruddin, 2005:400</w:t>
      </w:r>
      <w:r w:rsidRPr="008573C5">
        <w:t xml:space="preserve">). </w:t>
      </w:r>
      <w:r w:rsidR="000116B5" w:rsidRPr="008573C5">
        <w:t xml:space="preserve">Corporate transparency is determined by the information it discloses in its financial report. </w:t>
      </w:r>
      <w:r w:rsidRPr="008573C5">
        <w:t>Accurate, relevant and rel</w:t>
      </w:r>
      <w:r w:rsidR="00C102B6" w:rsidRPr="008573C5">
        <w:t xml:space="preserve">iable disclosures are seen as </w:t>
      </w:r>
      <w:r w:rsidRPr="008573C5">
        <w:t>means of e</w:t>
      </w:r>
      <w:r w:rsidR="00455A31" w:rsidRPr="008573C5">
        <w:t>nhancing corporate image, reducing</w:t>
      </w:r>
      <w:r w:rsidRPr="008573C5">
        <w:t xml:space="preserve"> cost of capital, and improv</w:t>
      </w:r>
      <w:r w:rsidR="00455A31" w:rsidRPr="008573C5">
        <w:t>ing</w:t>
      </w:r>
      <w:r w:rsidRPr="008573C5">
        <w:t xml:space="preserve"> marketability of shares. </w:t>
      </w:r>
      <w:r w:rsidR="00A558C1" w:rsidRPr="008573C5">
        <w:t xml:space="preserve">High-quality accounting information </w:t>
      </w:r>
      <w:r w:rsidR="00C102B6" w:rsidRPr="008573C5">
        <w:t>facilitate</w:t>
      </w:r>
      <w:r w:rsidR="00A558C1" w:rsidRPr="008573C5">
        <w:t>s</w:t>
      </w:r>
      <w:r w:rsidRPr="008573C5">
        <w:t xml:space="preserve"> the acquis</w:t>
      </w:r>
      <w:r w:rsidR="00C102B6" w:rsidRPr="008573C5">
        <w:t xml:space="preserve">ition of </w:t>
      </w:r>
      <w:r w:rsidR="00A558C1" w:rsidRPr="008573C5">
        <w:t xml:space="preserve">short and </w:t>
      </w:r>
      <w:r w:rsidR="00C102B6" w:rsidRPr="008573C5">
        <w:t>long term fund</w:t>
      </w:r>
      <w:r w:rsidR="00A558C1" w:rsidRPr="008573C5">
        <w:t xml:space="preserve"> and also </w:t>
      </w:r>
      <w:r w:rsidR="00C102B6" w:rsidRPr="008573C5">
        <w:t>enable</w:t>
      </w:r>
      <w:r w:rsidR="00A558C1" w:rsidRPr="008573C5">
        <w:t>s</w:t>
      </w:r>
      <w:r w:rsidRPr="008573C5">
        <w:t xml:space="preserve"> management to properly account for the resources </w:t>
      </w:r>
      <w:r w:rsidR="00C102B6" w:rsidRPr="008573C5">
        <w:t>put in their care</w:t>
      </w:r>
      <w:r w:rsidR="00B33592" w:rsidRPr="008573C5">
        <w:t xml:space="preserve">. Thus, </w:t>
      </w:r>
      <w:r w:rsidR="00592947" w:rsidRPr="008573C5">
        <w:t xml:space="preserve">it </w:t>
      </w:r>
      <w:r w:rsidR="00C102B6" w:rsidRPr="008573C5">
        <w:t>act</w:t>
      </w:r>
      <w:r w:rsidR="00592947" w:rsidRPr="008573C5">
        <w:t>s</w:t>
      </w:r>
      <w:r w:rsidR="00C102B6" w:rsidRPr="008573C5">
        <w:t xml:space="preserve"> as</w:t>
      </w:r>
      <w:r w:rsidR="00592947" w:rsidRPr="008573C5">
        <w:t xml:space="preserve"> a</w:t>
      </w:r>
      <w:r w:rsidR="00C102B6" w:rsidRPr="008573C5">
        <w:t xml:space="preserve"> significant </w:t>
      </w:r>
      <w:r w:rsidRPr="008573C5">
        <w:t xml:space="preserve">spur to the growth and development of </w:t>
      </w:r>
      <w:r w:rsidR="00A558C1" w:rsidRPr="008573C5">
        <w:t xml:space="preserve">money and </w:t>
      </w:r>
      <w:r w:rsidRPr="008573C5">
        <w:t>capital markets</w:t>
      </w:r>
      <w:r w:rsidR="002E3DD8" w:rsidRPr="008573C5">
        <w:t xml:space="preserve">, which </w:t>
      </w:r>
      <w:r w:rsidR="00592947" w:rsidRPr="008573C5">
        <w:t>are</w:t>
      </w:r>
      <w:r w:rsidR="002E3DD8" w:rsidRPr="008573C5">
        <w:t xml:space="preserve"> fundament</w:t>
      </w:r>
      <w:r w:rsidR="00455A31" w:rsidRPr="008573C5">
        <w:t xml:space="preserve">al </w:t>
      </w:r>
      <w:r w:rsidR="00592947" w:rsidRPr="008573C5">
        <w:t>to</w:t>
      </w:r>
      <w:r w:rsidR="00455A31" w:rsidRPr="008573C5">
        <w:t xml:space="preserve"> the smooth running of any</w:t>
      </w:r>
      <w:r w:rsidR="002E3DD8" w:rsidRPr="008573C5">
        <w:t xml:space="preserve"> economy</w:t>
      </w:r>
      <w:r w:rsidRPr="008573C5">
        <w:t>.</w:t>
      </w:r>
      <w:r w:rsidR="000116B5" w:rsidRPr="008573C5">
        <w:t xml:space="preserve"> Meek et al</w:t>
      </w:r>
      <w:r w:rsidR="00592947" w:rsidRPr="008573C5">
        <w:t xml:space="preserve"> (1995:556)</w:t>
      </w:r>
      <w:r w:rsidR="000116B5" w:rsidRPr="008573C5">
        <w:t xml:space="preserve"> submit that effective functioning of capital markets, however, significantly depends on the effective flow of information between the company and its stakeholders.</w:t>
      </w:r>
    </w:p>
    <w:p w:rsidR="00FF5EDF" w:rsidRPr="008573C5" w:rsidRDefault="000116B5" w:rsidP="004A665C">
      <w:pPr>
        <w:spacing w:line="360" w:lineRule="auto"/>
        <w:jc w:val="both"/>
      </w:pPr>
      <w:r w:rsidRPr="008573C5">
        <w:t xml:space="preserve"> </w:t>
      </w:r>
    </w:p>
    <w:p w:rsidR="00FF5EDF" w:rsidRPr="008573C5" w:rsidRDefault="00FF5EDF" w:rsidP="004A665C">
      <w:pPr>
        <w:tabs>
          <w:tab w:val="left" w:pos="7320"/>
        </w:tabs>
        <w:spacing w:line="360" w:lineRule="auto"/>
        <w:jc w:val="both"/>
        <w:rPr>
          <w:bCs/>
        </w:rPr>
      </w:pPr>
      <w:r w:rsidRPr="008573C5">
        <w:t xml:space="preserve">Prior studies </w:t>
      </w:r>
      <w:r w:rsidR="00FF03DC" w:rsidRPr="008573C5">
        <w:t>(</w:t>
      </w:r>
      <w:r w:rsidRPr="008573C5">
        <w:t>Singhvi, 1968</w:t>
      </w:r>
      <w:r w:rsidR="00C67D24" w:rsidRPr="008573C5">
        <w:t>:551-552</w:t>
      </w:r>
      <w:r w:rsidRPr="008573C5">
        <w:t>; Singhvi and Desai, 1971</w:t>
      </w:r>
      <w:r w:rsidR="00C67D24" w:rsidRPr="008573C5">
        <w:t>: 129-138</w:t>
      </w:r>
      <w:r w:rsidRPr="008573C5">
        <w:t>; Buzby, 1975</w:t>
      </w:r>
      <w:r w:rsidR="00C67D24" w:rsidRPr="008573C5">
        <w:t>:16-37</w:t>
      </w:r>
      <w:r w:rsidRPr="008573C5">
        <w:t>;</w:t>
      </w:r>
      <w:r w:rsidRPr="008573C5">
        <w:rPr>
          <w:bCs/>
        </w:rPr>
        <w:t xml:space="preserve"> Firth, 1979</w:t>
      </w:r>
      <w:r w:rsidR="00C67D24" w:rsidRPr="008573C5">
        <w:rPr>
          <w:bCs/>
        </w:rPr>
        <w:t>:273-280</w:t>
      </w:r>
      <w:r w:rsidRPr="008573C5">
        <w:rPr>
          <w:bCs/>
        </w:rPr>
        <w:t xml:space="preserve">; </w:t>
      </w:r>
      <w:r w:rsidR="00520102" w:rsidRPr="008573C5">
        <w:t xml:space="preserve">McNally, Eng and Hasseldine, </w:t>
      </w:r>
      <w:r w:rsidRPr="008573C5">
        <w:rPr>
          <w:bCs/>
        </w:rPr>
        <w:t>1982</w:t>
      </w:r>
      <w:r w:rsidR="00C67D24" w:rsidRPr="008573C5">
        <w:rPr>
          <w:bCs/>
        </w:rPr>
        <w:t>:11-20</w:t>
      </w:r>
      <w:r w:rsidRPr="008573C5">
        <w:rPr>
          <w:bCs/>
        </w:rPr>
        <w:t>; Chow and Wong Boren, 1987</w:t>
      </w:r>
      <w:r w:rsidR="00C67D24" w:rsidRPr="008573C5">
        <w:rPr>
          <w:bCs/>
        </w:rPr>
        <w:t>:533-541</w:t>
      </w:r>
      <w:r w:rsidRPr="008573C5">
        <w:rPr>
          <w:bCs/>
        </w:rPr>
        <w:t>; Wallace, 1988</w:t>
      </w:r>
      <w:r w:rsidR="00C67D24" w:rsidRPr="008573C5">
        <w:rPr>
          <w:bCs/>
        </w:rPr>
        <w:t>:352-362</w:t>
      </w:r>
      <w:r w:rsidRPr="008573C5">
        <w:rPr>
          <w:bCs/>
        </w:rPr>
        <w:t>;  Cooke, 1989</w:t>
      </w:r>
      <w:r w:rsidR="00C67D24" w:rsidRPr="008573C5">
        <w:rPr>
          <w:bCs/>
        </w:rPr>
        <w:t>:113-124</w:t>
      </w:r>
      <w:r w:rsidRPr="008573C5">
        <w:rPr>
          <w:bCs/>
        </w:rPr>
        <w:t>; Cooke, 1992</w:t>
      </w:r>
      <w:r w:rsidR="00C67D24" w:rsidRPr="008573C5">
        <w:rPr>
          <w:bCs/>
        </w:rPr>
        <w:t>:229-237</w:t>
      </w:r>
      <w:r w:rsidRPr="008573C5">
        <w:rPr>
          <w:bCs/>
        </w:rPr>
        <w:t>; Cooke, 1993</w:t>
      </w:r>
      <w:r w:rsidR="00C67D24" w:rsidRPr="008573C5">
        <w:rPr>
          <w:bCs/>
        </w:rPr>
        <w:t>:521-535</w:t>
      </w:r>
      <w:r w:rsidRPr="008573C5">
        <w:rPr>
          <w:bCs/>
        </w:rPr>
        <w:t xml:space="preserve">; </w:t>
      </w:r>
      <w:r w:rsidR="00520102" w:rsidRPr="008573C5">
        <w:t>Wallace, Naser and Mora</w:t>
      </w:r>
      <w:r w:rsidRPr="008573C5">
        <w:rPr>
          <w:bCs/>
        </w:rPr>
        <w:t>, 1994</w:t>
      </w:r>
      <w:r w:rsidR="00C67D24" w:rsidRPr="008573C5">
        <w:rPr>
          <w:bCs/>
        </w:rPr>
        <w:t>:41-53</w:t>
      </w:r>
      <w:r w:rsidRPr="008573C5">
        <w:rPr>
          <w:bCs/>
        </w:rPr>
        <w:t>; Wallace and Naser, 1995</w:t>
      </w:r>
      <w:r w:rsidR="00C67D24" w:rsidRPr="008573C5">
        <w:rPr>
          <w:bCs/>
        </w:rPr>
        <w:t>:311-368</w:t>
      </w:r>
      <w:r w:rsidRPr="008573C5">
        <w:rPr>
          <w:bCs/>
        </w:rPr>
        <w:t>; Inchausti, 1997</w:t>
      </w:r>
      <w:r w:rsidR="00C67D24" w:rsidRPr="008573C5">
        <w:rPr>
          <w:bCs/>
        </w:rPr>
        <w:t>:45-68</w:t>
      </w:r>
      <w:r w:rsidRPr="008573C5">
        <w:rPr>
          <w:bCs/>
        </w:rPr>
        <w:t>; Owusu- Ansah, 1998</w:t>
      </w:r>
      <w:r w:rsidR="00C67D24" w:rsidRPr="008573C5">
        <w:rPr>
          <w:bCs/>
        </w:rPr>
        <w:t>:605-631</w:t>
      </w:r>
      <w:r w:rsidRPr="008573C5">
        <w:rPr>
          <w:bCs/>
        </w:rPr>
        <w:t>; Entwistle, 1999</w:t>
      </w:r>
      <w:r w:rsidR="00C67D24" w:rsidRPr="008573C5">
        <w:rPr>
          <w:bCs/>
        </w:rPr>
        <w:t>:323-341</w:t>
      </w:r>
      <w:r w:rsidRPr="008573C5">
        <w:rPr>
          <w:bCs/>
        </w:rPr>
        <w:t xml:space="preserve">; </w:t>
      </w:r>
      <w:r w:rsidR="00520102" w:rsidRPr="008573C5">
        <w:rPr>
          <w:bCs/>
          <w:iCs/>
        </w:rPr>
        <w:t>Tower, Hancock and Taplin</w:t>
      </w:r>
      <w:r w:rsidRPr="008573C5">
        <w:rPr>
          <w:bCs/>
        </w:rPr>
        <w:t>, 1999</w:t>
      </w:r>
      <w:r w:rsidR="00C67D24" w:rsidRPr="008573C5">
        <w:rPr>
          <w:bCs/>
        </w:rPr>
        <w:t>:293-305</w:t>
      </w:r>
      <w:r w:rsidRPr="008573C5">
        <w:rPr>
          <w:bCs/>
        </w:rPr>
        <w:t>;</w:t>
      </w:r>
      <w:r w:rsidRPr="008573C5">
        <w:rPr>
          <w:rFonts w:eastAsia="Calibri"/>
        </w:rPr>
        <w:t xml:space="preserve"> Depoers, 2000</w:t>
      </w:r>
      <w:r w:rsidR="00C67D24" w:rsidRPr="008573C5">
        <w:rPr>
          <w:rFonts w:eastAsia="Calibri"/>
        </w:rPr>
        <w:t>:245-263</w:t>
      </w:r>
      <w:r w:rsidRPr="008573C5">
        <w:rPr>
          <w:rFonts w:eastAsia="Calibri"/>
        </w:rPr>
        <w:t>; Haniffa and Cooke, 200</w:t>
      </w:r>
      <w:r w:rsidR="00004261" w:rsidRPr="008573C5">
        <w:rPr>
          <w:rFonts w:eastAsia="Calibri"/>
        </w:rPr>
        <w:t>2</w:t>
      </w:r>
      <w:r w:rsidR="00FF03DC" w:rsidRPr="008573C5">
        <w:rPr>
          <w:rFonts w:eastAsia="Calibri"/>
        </w:rPr>
        <w:t>:317-349</w:t>
      </w:r>
      <w:r w:rsidRPr="008573C5">
        <w:rPr>
          <w:rFonts w:eastAsia="Calibri"/>
        </w:rPr>
        <w:t>; Ho and Wong, 2001</w:t>
      </w:r>
      <w:r w:rsidR="00FF03DC" w:rsidRPr="008573C5">
        <w:rPr>
          <w:rFonts w:eastAsia="Calibri"/>
        </w:rPr>
        <w:t>:139-156</w:t>
      </w:r>
      <w:r w:rsidRPr="008573C5">
        <w:rPr>
          <w:rFonts w:eastAsia="Calibri"/>
        </w:rPr>
        <w:t xml:space="preserve">; </w:t>
      </w:r>
      <w:r w:rsidRPr="008573C5">
        <w:rPr>
          <w:bCs/>
        </w:rPr>
        <w:t xml:space="preserve"> Street and Gray, 2001</w:t>
      </w:r>
      <w:r w:rsidR="00FF03DC" w:rsidRPr="008573C5">
        <w:rPr>
          <w:bCs/>
        </w:rPr>
        <w:t>:</w:t>
      </w:r>
      <w:r w:rsidR="00AD0843" w:rsidRPr="008573C5">
        <w:rPr>
          <w:bCs/>
        </w:rPr>
        <w:t>1-127</w:t>
      </w:r>
      <w:r w:rsidRPr="008573C5">
        <w:rPr>
          <w:bCs/>
        </w:rPr>
        <w:t xml:space="preserve">; </w:t>
      </w:r>
      <w:r w:rsidRPr="008573C5">
        <w:rPr>
          <w:rFonts w:eastAsia="Calibri"/>
        </w:rPr>
        <w:t>Bujaki and McConomy, 2002</w:t>
      </w:r>
      <w:r w:rsidR="00FF03DC" w:rsidRPr="008573C5">
        <w:rPr>
          <w:rFonts w:eastAsia="Calibri"/>
        </w:rPr>
        <w:t>:105-139</w:t>
      </w:r>
      <w:r w:rsidRPr="008573C5">
        <w:rPr>
          <w:rFonts w:eastAsia="Calibri"/>
        </w:rPr>
        <w:t xml:space="preserve">; </w:t>
      </w:r>
      <w:r w:rsidRPr="008573C5">
        <w:rPr>
          <w:bCs/>
        </w:rPr>
        <w:t>Chau and Gray, 2002</w:t>
      </w:r>
      <w:r w:rsidR="00FF03DC" w:rsidRPr="008573C5">
        <w:rPr>
          <w:bCs/>
        </w:rPr>
        <w:t>:247-265</w:t>
      </w:r>
      <w:r w:rsidRPr="008573C5">
        <w:rPr>
          <w:bCs/>
        </w:rPr>
        <w:t xml:space="preserve">; </w:t>
      </w:r>
      <w:r w:rsidR="00520102" w:rsidRPr="008573C5">
        <w:t>Naser, Al-Khatib and Karbhari</w:t>
      </w:r>
      <w:r w:rsidRPr="008573C5">
        <w:rPr>
          <w:bCs/>
        </w:rPr>
        <w:t>, 2002</w:t>
      </w:r>
      <w:r w:rsidR="00FF03DC" w:rsidRPr="008573C5">
        <w:rPr>
          <w:bCs/>
        </w:rPr>
        <w:t>:41-69</w:t>
      </w:r>
      <w:r w:rsidRPr="008573C5">
        <w:rPr>
          <w:bCs/>
        </w:rPr>
        <w:t xml:space="preserve">; </w:t>
      </w:r>
      <w:r w:rsidRPr="008573C5">
        <w:rPr>
          <w:rFonts w:eastAsia="Calibri"/>
        </w:rPr>
        <w:t>Camfferman and Cooke, 2002</w:t>
      </w:r>
      <w:r w:rsidR="00FF03DC" w:rsidRPr="008573C5">
        <w:rPr>
          <w:rFonts w:eastAsia="Calibri"/>
        </w:rPr>
        <w:t>:3-30</w:t>
      </w:r>
      <w:r w:rsidRPr="008573C5">
        <w:rPr>
          <w:rFonts w:eastAsia="Calibri"/>
        </w:rPr>
        <w:t>; Ferguson, Lam and Lee, 2002</w:t>
      </w:r>
      <w:r w:rsidR="00FF03DC" w:rsidRPr="008573C5">
        <w:rPr>
          <w:rFonts w:eastAsia="Calibri"/>
        </w:rPr>
        <w:t>:125-152</w:t>
      </w:r>
      <w:r w:rsidRPr="008573C5">
        <w:rPr>
          <w:rFonts w:eastAsia="Calibri"/>
        </w:rPr>
        <w:t>; Eng and Mak, 2003</w:t>
      </w:r>
      <w:r w:rsidR="00FF03DC" w:rsidRPr="008573C5">
        <w:rPr>
          <w:rFonts w:eastAsia="Calibri"/>
        </w:rPr>
        <w:t>:325-345</w:t>
      </w:r>
      <w:r w:rsidRPr="008573C5">
        <w:rPr>
          <w:rFonts w:eastAsia="Calibri"/>
        </w:rPr>
        <w:t>; Ali et al</w:t>
      </w:r>
      <w:r w:rsidR="00C23252" w:rsidRPr="008573C5">
        <w:rPr>
          <w:rFonts w:eastAsia="Calibri"/>
        </w:rPr>
        <w:t xml:space="preserve">, </w:t>
      </w:r>
      <w:r w:rsidRPr="008573C5">
        <w:rPr>
          <w:rFonts w:eastAsia="Calibri"/>
        </w:rPr>
        <w:t>2004</w:t>
      </w:r>
      <w:r w:rsidR="00C23252" w:rsidRPr="008573C5">
        <w:rPr>
          <w:rFonts w:eastAsia="Calibri"/>
        </w:rPr>
        <w:t>:183-199</w:t>
      </w:r>
      <w:r w:rsidRPr="008573C5">
        <w:rPr>
          <w:rFonts w:eastAsia="Calibri"/>
        </w:rPr>
        <w:t xml:space="preserve">; </w:t>
      </w:r>
      <w:r w:rsidRPr="008573C5">
        <w:t>Prencipe,2004</w:t>
      </w:r>
      <w:r w:rsidR="00C23252" w:rsidRPr="008573C5">
        <w:t>:319-340</w:t>
      </w:r>
      <w:r w:rsidRPr="008573C5">
        <w:t>;</w:t>
      </w:r>
      <w:r w:rsidRPr="008573C5">
        <w:rPr>
          <w:bCs/>
        </w:rPr>
        <w:t xml:space="preserve"> Akhtaruddin, 2005</w:t>
      </w:r>
      <w:r w:rsidR="00C23252" w:rsidRPr="008573C5">
        <w:rPr>
          <w:bCs/>
        </w:rPr>
        <w:t>:399-422</w:t>
      </w:r>
      <w:r w:rsidR="009B4EC1" w:rsidRPr="008573C5">
        <w:rPr>
          <w:bCs/>
        </w:rPr>
        <w:t>; Al-</w:t>
      </w:r>
      <w:r w:rsidRPr="008573C5">
        <w:rPr>
          <w:bCs/>
        </w:rPr>
        <w:t>Shammari, 2005</w:t>
      </w:r>
      <w:r w:rsidR="00392D8D" w:rsidRPr="008573C5">
        <w:rPr>
          <w:bCs/>
        </w:rPr>
        <w:t>:1-210</w:t>
      </w:r>
      <w:r w:rsidRPr="008573C5">
        <w:rPr>
          <w:bCs/>
        </w:rPr>
        <w:t xml:space="preserve">; </w:t>
      </w:r>
      <w:r w:rsidRPr="008573C5">
        <w:rPr>
          <w:rFonts w:eastAsia="Calibri"/>
        </w:rPr>
        <w:t>Daske and Gebhardt</w:t>
      </w:r>
      <w:r w:rsidR="00D77527" w:rsidRPr="008573C5">
        <w:rPr>
          <w:rFonts w:eastAsia="Calibri"/>
        </w:rPr>
        <w:t>,</w:t>
      </w:r>
      <w:r w:rsidR="002103C4" w:rsidRPr="008573C5">
        <w:rPr>
          <w:rFonts w:eastAsia="Calibri"/>
        </w:rPr>
        <w:t xml:space="preserve"> </w:t>
      </w:r>
      <w:r w:rsidRPr="008573C5">
        <w:rPr>
          <w:rFonts w:eastAsia="Calibri"/>
        </w:rPr>
        <w:t>2006</w:t>
      </w:r>
      <w:r w:rsidR="00D77527" w:rsidRPr="008573C5">
        <w:rPr>
          <w:rFonts w:eastAsia="Calibri"/>
        </w:rPr>
        <w:t>:461-498</w:t>
      </w:r>
      <w:r w:rsidRPr="008573C5">
        <w:rPr>
          <w:rFonts w:eastAsia="Calibri"/>
        </w:rPr>
        <w:t xml:space="preserve">; </w:t>
      </w:r>
      <w:r w:rsidR="00B91C10" w:rsidRPr="008573C5">
        <w:rPr>
          <w:bCs/>
        </w:rPr>
        <w:t>Iatridis, 2008</w:t>
      </w:r>
      <w:r w:rsidR="00392D8D" w:rsidRPr="008573C5">
        <w:rPr>
          <w:bCs/>
        </w:rPr>
        <w:t>:</w:t>
      </w:r>
      <w:r w:rsidR="00B91C10" w:rsidRPr="008573C5">
        <w:rPr>
          <w:bCs/>
        </w:rPr>
        <w:t>219-241</w:t>
      </w:r>
      <w:r w:rsidRPr="008573C5">
        <w:rPr>
          <w:bCs/>
        </w:rPr>
        <w:t>; Barako, 2007</w:t>
      </w:r>
      <w:r w:rsidR="00D77527" w:rsidRPr="008573C5">
        <w:rPr>
          <w:bCs/>
        </w:rPr>
        <w:t>:113-128</w:t>
      </w:r>
      <w:r w:rsidRPr="008573C5">
        <w:rPr>
          <w:bCs/>
        </w:rPr>
        <w:t xml:space="preserve">, </w:t>
      </w:r>
      <w:r w:rsidRPr="008573C5">
        <w:rPr>
          <w:iCs/>
        </w:rPr>
        <w:t>Dahawy and Conover, 2007</w:t>
      </w:r>
      <w:r w:rsidR="00D77527" w:rsidRPr="008573C5">
        <w:rPr>
          <w:iCs/>
        </w:rPr>
        <w:t>:1-20</w:t>
      </w:r>
      <w:r w:rsidRPr="008573C5">
        <w:rPr>
          <w:bCs/>
        </w:rPr>
        <w:t xml:space="preserve">) as summarized in </w:t>
      </w:r>
      <w:r w:rsidR="00E643B3" w:rsidRPr="008573C5">
        <w:rPr>
          <w:bCs/>
        </w:rPr>
        <w:t xml:space="preserve">Table </w:t>
      </w:r>
      <w:r w:rsidR="003A6597" w:rsidRPr="008573C5">
        <w:rPr>
          <w:bCs/>
        </w:rPr>
        <w:t>2.01</w:t>
      </w:r>
      <w:r w:rsidR="007368D3" w:rsidRPr="008573C5">
        <w:rPr>
          <w:bCs/>
        </w:rPr>
        <w:t xml:space="preserve">  (pages </w:t>
      </w:r>
      <w:r w:rsidR="00004261" w:rsidRPr="008573C5">
        <w:rPr>
          <w:bCs/>
        </w:rPr>
        <w:t>5</w:t>
      </w:r>
      <w:r w:rsidR="00F9239F" w:rsidRPr="008573C5">
        <w:rPr>
          <w:bCs/>
        </w:rPr>
        <w:t>8</w:t>
      </w:r>
      <w:r w:rsidR="00312E4E" w:rsidRPr="008573C5">
        <w:rPr>
          <w:bCs/>
        </w:rPr>
        <w:t>-</w:t>
      </w:r>
      <w:r w:rsidR="00F9239F" w:rsidRPr="008573C5">
        <w:rPr>
          <w:bCs/>
        </w:rPr>
        <w:t>62</w:t>
      </w:r>
      <w:r w:rsidR="007368D3" w:rsidRPr="008573C5">
        <w:rPr>
          <w:bCs/>
        </w:rPr>
        <w:t>)</w:t>
      </w:r>
      <w:r w:rsidR="00E643B3" w:rsidRPr="008573C5">
        <w:rPr>
          <w:bCs/>
        </w:rPr>
        <w:t>, show</w:t>
      </w:r>
      <w:r w:rsidRPr="008573C5">
        <w:rPr>
          <w:bCs/>
        </w:rPr>
        <w:t xml:space="preserve"> that disclosure levels are associated wi</w:t>
      </w:r>
      <w:r w:rsidR="00031CA1" w:rsidRPr="008573C5">
        <w:rPr>
          <w:bCs/>
        </w:rPr>
        <w:t>th some company characteristics</w:t>
      </w:r>
      <w:r w:rsidRPr="008573C5">
        <w:rPr>
          <w:bCs/>
        </w:rPr>
        <w:t xml:space="preserve">. Similar research methods, in particular </w:t>
      </w:r>
      <w:r w:rsidR="00592947" w:rsidRPr="008573C5">
        <w:rPr>
          <w:bCs/>
        </w:rPr>
        <w:t xml:space="preserve">the </w:t>
      </w:r>
      <w:r w:rsidRPr="008573C5">
        <w:rPr>
          <w:bCs/>
        </w:rPr>
        <w:t>regression model</w:t>
      </w:r>
      <w:r w:rsidR="00B72DE2" w:rsidRPr="008573C5">
        <w:rPr>
          <w:bCs/>
        </w:rPr>
        <w:t>s</w:t>
      </w:r>
      <w:r w:rsidRPr="008573C5">
        <w:rPr>
          <w:bCs/>
        </w:rPr>
        <w:t xml:space="preserve"> </w:t>
      </w:r>
      <w:r w:rsidR="00B72DE2" w:rsidRPr="008573C5">
        <w:rPr>
          <w:bCs/>
        </w:rPr>
        <w:t>are</w:t>
      </w:r>
      <w:r w:rsidRPr="008573C5">
        <w:rPr>
          <w:bCs/>
        </w:rPr>
        <w:t xml:space="preserve"> observed to have been used by these researchers in different context</w:t>
      </w:r>
      <w:r w:rsidR="00E643B3" w:rsidRPr="008573C5">
        <w:rPr>
          <w:bCs/>
        </w:rPr>
        <w:t>s</w:t>
      </w:r>
      <w:r w:rsidRPr="008573C5">
        <w:rPr>
          <w:bCs/>
        </w:rPr>
        <w:t>. I</w:t>
      </w:r>
      <w:r w:rsidR="00E643B3" w:rsidRPr="008573C5">
        <w:rPr>
          <w:bCs/>
        </w:rPr>
        <w:t>t</w:t>
      </w:r>
      <w:r w:rsidR="00B72DE2" w:rsidRPr="008573C5">
        <w:rPr>
          <w:bCs/>
        </w:rPr>
        <w:t xml:space="preserve"> i</w:t>
      </w:r>
      <w:r w:rsidRPr="008573C5">
        <w:rPr>
          <w:bCs/>
        </w:rPr>
        <w:t xml:space="preserve">s </w:t>
      </w:r>
      <w:r w:rsidR="00B72DE2" w:rsidRPr="008573C5">
        <w:rPr>
          <w:bCs/>
        </w:rPr>
        <w:t xml:space="preserve">also </w:t>
      </w:r>
      <w:r w:rsidRPr="008573C5">
        <w:rPr>
          <w:bCs/>
        </w:rPr>
        <w:t>observed that the result</w:t>
      </w:r>
      <w:r w:rsidR="00E643B3" w:rsidRPr="008573C5">
        <w:rPr>
          <w:bCs/>
        </w:rPr>
        <w:t>s</w:t>
      </w:r>
      <w:r w:rsidRPr="008573C5">
        <w:rPr>
          <w:bCs/>
        </w:rPr>
        <w:t xml:space="preserve"> of the empirical studies vary from country to country. This is principally due to the unique business environment attributable to each country of study.</w:t>
      </w:r>
    </w:p>
    <w:p w:rsidR="0093747A" w:rsidRPr="008573C5" w:rsidRDefault="0093747A" w:rsidP="00FF5EDF">
      <w:pPr>
        <w:tabs>
          <w:tab w:val="left" w:pos="7320"/>
        </w:tabs>
        <w:spacing w:line="360" w:lineRule="auto"/>
        <w:jc w:val="both"/>
        <w:rPr>
          <w:bCs/>
        </w:rPr>
      </w:pPr>
    </w:p>
    <w:p w:rsidR="00657305" w:rsidRPr="008573C5" w:rsidRDefault="008C65BE" w:rsidP="0039403C">
      <w:pPr>
        <w:spacing w:line="360" w:lineRule="auto"/>
        <w:jc w:val="both"/>
        <w:rPr>
          <w:bCs/>
        </w:rPr>
      </w:pPr>
      <w:r w:rsidRPr="008573C5">
        <w:rPr>
          <w:bCs/>
        </w:rPr>
        <w:t>In the Nigerian context, comprehensive studies</w:t>
      </w:r>
      <w:r w:rsidR="0039403C" w:rsidRPr="008573C5">
        <w:rPr>
          <w:bCs/>
        </w:rPr>
        <w:t xml:space="preserve"> of Nigerian listed companies </w:t>
      </w:r>
      <w:r w:rsidRPr="008573C5">
        <w:rPr>
          <w:bCs/>
        </w:rPr>
        <w:t xml:space="preserve">have </w:t>
      </w:r>
      <w:r w:rsidR="0039403C" w:rsidRPr="008573C5">
        <w:rPr>
          <w:bCs/>
        </w:rPr>
        <w:t xml:space="preserve">been conducted by </w:t>
      </w:r>
      <w:r w:rsidR="00EB033B" w:rsidRPr="008573C5">
        <w:t>World Bank Group</w:t>
      </w:r>
      <w:r w:rsidR="00B72DE2" w:rsidRPr="008573C5">
        <w:t>. It i</w:t>
      </w:r>
      <w:r w:rsidR="00EB033B" w:rsidRPr="008573C5">
        <w:t xml:space="preserve">s observed that the </w:t>
      </w:r>
      <w:r w:rsidR="00EB033B" w:rsidRPr="008573C5">
        <w:rPr>
          <w:lang w:val="en-GB" w:eastAsia="en-GB"/>
        </w:rPr>
        <w:t>Nigerian financial reporting practices are deficient (World Bank, 2004:1).</w:t>
      </w:r>
      <w:r w:rsidR="0039403C" w:rsidRPr="008573C5">
        <w:rPr>
          <w:bCs/>
        </w:rPr>
        <w:t xml:space="preserve"> </w:t>
      </w:r>
      <w:r w:rsidR="00EB033B" w:rsidRPr="008573C5">
        <w:t>Apart from the studies conducted by the World Bank, disclosure practices by Nigerian companies ha</w:t>
      </w:r>
      <w:r w:rsidR="00B72DE2" w:rsidRPr="008573C5">
        <w:t>ve</w:t>
      </w:r>
      <w:r w:rsidR="00EB033B" w:rsidRPr="008573C5">
        <w:t xml:space="preserve"> been empirically investigated by Wallace (1988:352)</w:t>
      </w:r>
      <w:r w:rsidR="00EB033B" w:rsidRPr="008573C5">
        <w:rPr>
          <w:iCs/>
        </w:rPr>
        <w:t>, Okike (2000:39), Adeyemi (2006:40) and Ofoegbu and Okoye (2006:45). Their observation is quite similar in that they all found the Nigerian corporate reporting practices to be weak</w:t>
      </w:r>
      <w:r w:rsidR="00EB033B" w:rsidRPr="008573C5">
        <w:t>.</w:t>
      </w:r>
    </w:p>
    <w:p w:rsidR="00657305" w:rsidRPr="008573C5" w:rsidRDefault="00657305" w:rsidP="0039403C">
      <w:pPr>
        <w:spacing w:line="360" w:lineRule="auto"/>
        <w:jc w:val="both"/>
        <w:rPr>
          <w:bCs/>
        </w:rPr>
      </w:pPr>
    </w:p>
    <w:p w:rsidR="00CC2582" w:rsidRPr="008573C5" w:rsidRDefault="00CB4057" w:rsidP="00657305">
      <w:pPr>
        <w:spacing w:line="360" w:lineRule="auto"/>
        <w:jc w:val="both"/>
      </w:pPr>
      <w:r w:rsidRPr="008573C5">
        <w:t xml:space="preserve">The </w:t>
      </w:r>
      <w:r w:rsidR="009048F7" w:rsidRPr="008573C5">
        <w:t xml:space="preserve">current global financial and economic crunch </w:t>
      </w:r>
      <w:r w:rsidRPr="008573C5">
        <w:t>has resulted in increased attention to improve and enforce financial reporting disclosures worldwide in order to reform the global economy.</w:t>
      </w:r>
      <w:r w:rsidR="009048F7" w:rsidRPr="008573C5">
        <w:t xml:space="preserve"> </w:t>
      </w:r>
      <w:r w:rsidR="00CC2582" w:rsidRPr="008573C5">
        <w:t>Nigeria is recently taking steps to align all corporate reports to the I</w:t>
      </w:r>
      <w:r w:rsidR="00657305" w:rsidRPr="008573C5">
        <w:t xml:space="preserve">nternational </w:t>
      </w:r>
      <w:r w:rsidR="00CC2582" w:rsidRPr="008573C5">
        <w:t>F</w:t>
      </w:r>
      <w:r w:rsidR="00657305" w:rsidRPr="008573C5">
        <w:t xml:space="preserve">inancial </w:t>
      </w:r>
      <w:r w:rsidR="00CC2582" w:rsidRPr="008573C5">
        <w:t>R</w:t>
      </w:r>
      <w:r w:rsidR="00657305" w:rsidRPr="008573C5">
        <w:t xml:space="preserve">eporting </w:t>
      </w:r>
      <w:r w:rsidR="00CC2582" w:rsidRPr="008573C5">
        <w:t>S</w:t>
      </w:r>
      <w:r w:rsidR="00657305" w:rsidRPr="008573C5">
        <w:t>tandards (IFRSs)</w:t>
      </w:r>
      <w:r w:rsidR="00CC2582" w:rsidRPr="008573C5">
        <w:t xml:space="preserve"> as a means of enhancing full disclosure and strengthening </w:t>
      </w:r>
      <w:r w:rsidR="00060E62" w:rsidRPr="008573C5">
        <w:t>stakeholder</w:t>
      </w:r>
      <w:r w:rsidR="00CC2582" w:rsidRPr="008573C5">
        <w:t xml:space="preserve"> confidence. Nigerian Stock Exchange has </w:t>
      </w:r>
      <w:r w:rsidR="00592947" w:rsidRPr="008573C5">
        <w:t>directed</w:t>
      </w:r>
      <w:r w:rsidR="00CC2582" w:rsidRPr="008573C5">
        <w:t xml:space="preserve"> all companies that are listed on the exchange to adopt the </w:t>
      </w:r>
      <w:r w:rsidR="002C32DD" w:rsidRPr="008573C5">
        <w:t>IFRSs</w:t>
      </w:r>
      <w:r w:rsidR="00CC2582" w:rsidRPr="008573C5">
        <w:t xml:space="preserve"> by December 2011</w:t>
      </w:r>
      <w:r w:rsidR="00060E62" w:rsidRPr="008573C5">
        <w:t xml:space="preserve"> w</w:t>
      </w:r>
      <w:r w:rsidR="00CC2582" w:rsidRPr="008573C5">
        <w:t xml:space="preserve">hile the Central Bank of Nigeria has </w:t>
      </w:r>
      <w:r w:rsidR="00060E62" w:rsidRPr="008573C5">
        <w:t xml:space="preserve">also </w:t>
      </w:r>
      <w:r w:rsidR="00CC2582" w:rsidRPr="008573C5">
        <w:t>told Nigerian banks to adopt the I</w:t>
      </w:r>
      <w:r w:rsidR="002C32DD" w:rsidRPr="008573C5">
        <w:t>FRSs</w:t>
      </w:r>
      <w:r w:rsidR="00CC2582" w:rsidRPr="008573C5">
        <w:t xml:space="preserve"> by December 2010</w:t>
      </w:r>
      <w:r w:rsidR="00670A74" w:rsidRPr="008573C5">
        <w:t xml:space="preserve"> (Egedegbe</w:t>
      </w:r>
      <w:r w:rsidR="00CC2582" w:rsidRPr="008573C5">
        <w:t>, 2009:1)</w:t>
      </w:r>
      <w:r w:rsidR="00060E62" w:rsidRPr="008573C5">
        <w:t>.</w:t>
      </w:r>
    </w:p>
    <w:p w:rsidR="00D0639D" w:rsidRPr="008573C5" w:rsidRDefault="00D0639D" w:rsidP="009D201B">
      <w:pPr>
        <w:autoSpaceDE w:val="0"/>
        <w:autoSpaceDN w:val="0"/>
        <w:adjustRightInd w:val="0"/>
        <w:spacing w:line="360" w:lineRule="auto"/>
        <w:jc w:val="both"/>
        <w:rPr>
          <w:b/>
          <w:bCs/>
          <w:sz w:val="28"/>
          <w:szCs w:val="28"/>
        </w:rPr>
      </w:pPr>
    </w:p>
    <w:p w:rsidR="00FF5EDF" w:rsidRPr="008573C5" w:rsidRDefault="00D0639D" w:rsidP="009D201B">
      <w:pPr>
        <w:autoSpaceDE w:val="0"/>
        <w:autoSpaceDN w:val="0"/>
        <w:adjustRightInd w:val="0"/>
        <w:spacing w:line="360" w:lineRule="auto"/>
        <w:jc w:val="both"/>
        <w:rPr>
          <w:b/>
          <w:sz w:val="28"/>
          <w:szCs w:val="28"/>
        </w:rPr>
      </w:pPr>
      <w:r w:rsidRPr="008573C5">
        <w:rPr>
          <w:b/>
          <w:bCs/>
          <w:sz w:val="28"/>
          <w:szCs w:val="28"/>
        </w:rPr>
        <w:t>1.</w:t>
      </w:r>
      <w:r w:rsidR="00FB5751" w:rsidRPr="008573C5">
        <w:rPr>
          <w:b/>
          <w:bCs/>
          <w:sz w:val="28"/>
          <w:szCs w:val="28"/>
        </w:rPr>
        <w:t>1</w:t>
      </w:r>
      <w:r w:rsidR="009D201B" w:rsidRPr="008573C5">
        <w:rPr>
          <w:b/>
          <w:sz w:val="28"/>
          <w:szCs w:val="28"/>
        </w:rPr>
        <w:tab/>
      </w:r>
      <w:r w:rsidR="00FF5EDF" w:rsidRPr="008573C5">
        <w:rPr>
          <w:b/>
          <w:sz w:val="28"/>
          <w:szCs w:val="28"/>
        </w:rPr>
        <w:t>S</w:t>
      </w:r>
      <w:r w:rsidR="00815A36" w:rsidRPr="008573C5">
        <w:rPr>
          <w:b/>
          <w:sz w:val="28"/>
          <w:szCs w:val="28"/>
        </w:rPr>
        <w:t xml:space="preserve">tatement of </w:t>
      </w:r>
      <w:r w:rsidRPr="008573C5">
        <w:rPr>
          <w:b/>
          <w:sz w:val="28"/>
          <w:szCs w:val="28"/>
        </w:rPr>
        <w:t>the</w:t>
      </w:r>
      <w:r w:rsidR="00815A36" w:rsidRPr="008573C5">
        <w:rPr>
          <w:b/>
          <w:sz w:val="28"/>
          <w:szCs w:val="28"/>
        </w:rPr>
        <w:t xml:space="preserve"> Problem</w:t>
      </w:r>
    </w:p>
    <w:p w:rsidR="000C6D2E" w:rsidRPr="008573C5" w:rsidRDefault="00FF5EDF" w:rsidP="00876B55">
      <w:pPr>
        <w:autoSpaceDE w:val="0"/>
        <w:autoSpaceDN w:val="0"/>
        <w:adjustRightInd w:val="0"/>
        <w:spacing w:line="360" w:lineRule="auto"/>
        <w:jc w:val="both"/>
      </w:pPr>
      <w:r w:rsidRPr="008573C5">
        <w:t xml:space="preserve">The </w:t>
      </w:r>
      <w:r w:rsidR="00BB23D7" w:rsidRPr="008573C5">
        <w:t xml:space="preserve">mandatory and voluntary </w:t>
      </w:r>
      <w:r w:rsidRPr="008573C5">
        <w:t>disclosure of financial information in corporate annual reports and their determinants have attracted considerable research attention in the developed countries than developing ones</w:t>
      </w:r>
      <w:r w:rsidR="00876B55" w:rsidRPr="008573C5">
        <w:t xml:space="preserve"> </w:t>
      </w:r>
      <w:r w:rsidR="00197A3C" w:rsidRPr="008573C5">
        <w:t>(Akhtaruddin, 2005:40; Barako, 2007:114</w:t>
      </w:r>
      <w:r w:rsidR="00876B55" w:rsidRPr="008573C5">
        <w:t>)</w:t>
      </w:r>
      <w:r w:rsidRPr="008573C5">
        <w:t>.</w:t>
      </w:r>
      <w:r w:rsidR="006A15F0" w:rsidRPr="008573C5">
        <w:t xml:space="preserve"> Discoveries in the developed countries most especially in the European Union (EU) ha</w:t>
      </w:r>
      <w:r w:rsidR="00B72DE2" w:rsidRPr="008573C5">
        <w:t>ve</w:t>
      </w:r>
      <w:r w:rsidR="006A15F0" w:rsidRPr="008573C5">
        <w:t xml:space="preserve"> aided the government to revamp the compliance mechanisms</w:t>
      </w:r>
      <w:r w:rsidR="000C6D2E" w:rsidRPr="008573C5">
        <w:t xml:space="preserve">. </w:t>
      </w:r>
      <w:r w:rsidR="00B72DE2" w:rsidRPr="008573C5">
        <w:t>They have</w:t>
      </w:r>
      <w:r w:rsidR="00AE05F4" w:rsidRPr="008573C5">
        <w:t xml:space="preserve"> also assisted the government in i</w:t>
      </w:r>
      <w:r w:rsidR="006A15F0" w:rsidRPr="008573C5">
        <w:t>ssu</w:t>
      </w:r>
      <w:r w:rsidR="00AE05F4" w:rsidRPr="008573C5">
        <w:t>ing</w:t>
      </w:r>
      <w:r w:rsidR="006A15F0" w:rsidRPr="008573C5">
        <w:t xml:space="preserve"> out directives </w:t>
      </w:r>
      <w:r w:rsidR="00B72DE2" w:rsidRPr="008573C5">
        <w:t>that facilitate</w:t>
      </w:r>
      <w:r w:rsidR="000C6D2E" w:rsidRPr="008573C5">
        <w:t xml:space="preserve"> the h</w:t>
      </w:r>
      <w:r w:rsidR="006A15F0" w:rsidRPr="008573C5">
        <w:t xml:space="preserve">armonization </w:t>
      </w:r>
      <w:r w:rsidR="00075224" w:rsidRPr="008573C5">
        <w:t>process and</w:t>
      </w:r>
      <w:r w:rsidR="006A15F0" w:rsidRPr="008573C5">
        <w:t xml:space="preserve"> </w:t>
      </w:r>
      <w:r w:rsidR="000C6D2E" w:rsidRPr="008573C5">
        <w:t>invariably</w:t>
      </w:r>
      <w:r w:rsidR="006A15F0" w:rsidRPr="008573C5">
        <w:t xml:space="preserve"> br</w:t>
      </w:r>
      <w:r w:rsidR="00B72DE2" w:rsidRPr="008573C5">
        <w:t>ing</w:t>
      </w:r>
      <w:r w:rsidR="006A15F0" w:rsidRPr="008573C5">
        <w:t xml:space="preserve"> all community companies up to a reasonable level of disclosure.</w:t>
      </w:r>
      <w:r w:rsidRPr="008573C5">
        <w:t xml:space="preserve">  Only a few studies</w:t>
      </w:r>
      <w:r w:rsidR="002A3812" w:rsidRPr="008573C5">
        <w:t xml:space="preserve"> (see Table 2.01</w:t>
      </w:r>
      <w:r w:rsidR="00016B73" w:rsidRPr="008573C5">
        <w:t>, pages 58-62</w:t>
      </w:r>
      <w:r w:rsidR="002A3812" w:rsidRPr="008573C5">
        <w:t>)</w:t>
      </w:r>
      <w:r w:rsidRPr="008573C5">
        <w:t xml:space="preserve"> ha</w:t>
      </w:r>
      <w:r w:rsidR="00B72DE2" w:rsidRPr="008573C5">
        <w:t>ve</w:t>
      </w:r>
      <w:r w:rsidRPr="008573C5">
        <w:t xml:space="preserve"> been carried out in developing countries relating to issues of disclosure and the corporate attributes influencing it. </w:t>
      </w:r>
    </w:p>
    <w:p w:rsidR="000C6D2E" w:rsidRPr="008573C5" w:rsidRDefault="000C6D2E" w:rsidP="000C6D2E">
      <w:pPr>
        <w:spacing w:line="360" w:lineRule="auto"/>
        <w:jc w:val="both"/>
      </w:pPr>
    </w:p>
    <w:p w:rsidR="007156C9" w:rsidRPr="008573C5" w:rsidRDefault="00F84994" w:rsidP="006A15F0">
      <w:pPr>
        <w:autoSpaceDE w:val="0"/>
        <w:autoSpaceDN w:val="0"/>
        <w:adjustRightInd w:val="0"/>
        <w:spacing w:line="360" w:lineRule="auto"/>
        <w:jc w:val="both"/>
      </w:pPr>
      <w:r w:rsidRPr="008573C5">
        <w:t>T</w:t>
      </w:r>
      <w:r w:rsidR="00377CE3" w:rsidRPr="008573C5">
        <w:t xml:space="preserve">he </w:t>
      </w:r>
      <w:r w:rsidR="004E6545" w:rsidRPr="008573C5">
        <w:t xml:space="preserve">global </w:t>
      </w:r>
      <w:r w:rsidR="00377CE3" w:rsidRPr="008573C5">
        <w:t xml:space="preserve">economic </w:t>
      </w:r>
      <w:r w:rsidR="004E6545" w:rsidRPr="008573C5">
        <w:t xml:space="preserve">crisis that came to light in the second half of </w:t>
      </w:r>
      <w:r w:rsidR="001B635E" w:rsidRPr="008573C5">
        <w:t>year 2</w:t>
      </w:r>
      <w:r w:rsidR="004E6545" w:rsidRPr="008573C5">
        <w:t>008</w:t>
      </w:r>
      <w:r w:rsidR="00377CE3" w:rsidRPr="008573C5">
        <w:t xml:space="preserve"> </w:t>
      </w:r>
      <w:r w:rsidR="005D020D" w:rsidRPr="008573C5">
        <w:t>has</w:t>
      </w:r>
      <w:r w:rsidR="007156C9" w:rsidRPr="008573C5">
        <w:t xml:space="preserve"> led to the collapse </w:t>
      </w:r>
      <w:r w:rsidR="00E643B3" w:rsidRPr="008573C5">
        <w:t xml:space="preserve">of </w:t>
      </w:r>
      <w:r w:rsidR="007156C9" w:rsidRPr="008573C5">
        <w:t xml:space="preserve">many financial and non-financial enterprises world wide. </w:t>
      </w:r>
      <w:r w:rsidR="00377CE3" w:rsidRPr="008573C5">
        <w:t>The current global financial recession</w:t>
      </w:r>
      <w:r w:rsidR="0021470B" w:rsidRPr="008573C5">
        <w:t xml:space="preserve"> wa</w:t>
      </w:r>
      <w:r w:rsidR="00377CE3" w:rsidRPr="008573C5">
        <w:t>s ignited by situations in the United States, which posed serious questions about transparency and accountability worldwide.</w:t>
      </w:r>
      <w:r w:rsidR="004E6545" w:rsidRPr="008573C5">
        <w:t xml:space="preserve"> </w:t>
      </w:r>
      <w:r w:rsidR="007156C9" w:rsidRPr="008573C5">
        <w:t>It is widely believed that the lack of proper use of international accounting standards in affected countries</w:t>
      </w:r>
      <w:r w:rsidR="00C102B6" w:rsidRPr="008573C5">
        <w:t xml:space="preserve"> (of which Nigeria is a part)</w:t>
      </w:r>
      <w:r w:rsidR="007156C9" w:rsidRPr="008573C5">
        <w:t xml:space="preserve"> hinder</w:t>
      </w:r>
      <w:r w:rsidR="005D020D" w:rsidRPr="008573C5">
        <w:t>s</w:t>
      </w:r>
      <w:r w:rsidR="007156C9" w:rsidRPr="008573C5">
        <w:t xml:space="preserve"> “transparency” in the financial statements of corporations and banks. As a result of t</w:t>
      </w:r>
      <w:r w:rsidR="005D020D" w:rsidRPr="008573C5">
        <w:t>his, financial statements fail</w:t>
      </w:r>
      <w:r w:rsidR="007156C9" w:rsidRPr="008573C5">
        <w:t xml:space="preserve"> to provide useful information, on a timely basis</w:t>
      </w:r>
      <w:r w:rsidR="00377CE3" w:rsidRPr="008573C5">
        <w:t>.</w:t>
      </w:r>
      <w:r w:rsidR="007156C9" w:rsidRPr="008573C5">
        <w:t xml:space="preserve"> The immediate past President of the United States of America, Ex-President George Bush identified </w:t>
      </w:r>
      <w:r w:rsidR="00377CE3" w:rsidRPr="008573C5">
        <w:t>the need to improve accounting rules, so that investors around the world can understand the true value of the assets they purchase</w:t>
      </w:r>
      <w:r w:rsidR="0021470B" w:rsidRPr="008573C5">
        <w:t xml:space="preserve"> </w:t>
      </w:r>
      <w:r w:rsidR="00893ED5" w:rsidRPr="008573C5">
        <w:t>(</w:t>
      </w:r>
      <w:r w:rsidR="007156C9" w:rsidRPr="008573C5">
        <w:t>Bush, 200</w:t>
      </w:r>
      <w:r w:rsidR="00893ED5" w:rsidRPr="008573C5">
        <w:t>8</w:t>
      </w:r>
      <w:r w:rsidR="00377CE3" w:rsidRPr="008573C5">
        <w:t>:3</w:t>
      </w:r>
      <w:r w:rsidR="007156C9" w:rsidRPr="008573C5">
        <w:t>).</w:t>
      </w:r>
      <w:r w:rsidR="007C6769" w:rsidRPr="008573C5">
        <w:t xml:space="preserve"> </w:t>
      </w:r>
    </w:p>
    <w:p w:rsidR="00F84994" w:rsidRPr="008573C5" w:rsidRDefault="00F84994" w:rsidP="006A15F0">
      <w:pPr>
        <w:autoSpaceDE w:val="0"/>
        <w:autoSpaceDN w:val="0"/>
        <w:adjustRightInd w:val="0"/>
        <w:spacing w:line="360" w:lineRule="auto"/>
        <w:jc w:val="both"/>
      </w:pPr>
    </w:p>
    <w:p w:rsidR="00F54599" w:rsidRPr="008573C5" w:rsidRDefault="00F54599" w:rsidP="00F54599">
      <w:pPr>
        <w:spacing w:line="360" w:lineRule="auto"/>
        <w:jc w:val="both"/>
      </w:pPr>
      <w:r w:rsidRPr="008573C5">
        <w:t xml:space="preserve">It is often alleged, however, that listed companies do not </w:t>
      </w:r>
      <w:r w:rsidR="00C057ED" w:rsidRPr="008573C5">
        <w:t xml:space="preserve">fully </w:t>
      </w:r>
      <w:r w:rsidRPr="008573C5">
        <w:t xml:space="preserve">comply with the disclosure requirements stipulated by the regulatory agencies (Akhtaruddin, 2005:401).  Emerging nations have been under pressure to improve their quality of corporate financial reporting. </w:t>
      </w:r>
      <w:r w:rsidRPr="008573C5">
        <w:rPr>
          <w:bCs/>
        </w:rPr>
        <w:t>According to Ali et al</w:t>
      </w:r>
      <w:r w:rsidR="00F9239F" w:rsidRPr="008573C5">
        <w:rPr>
          <w:bCs/>
        </w:rPr>
        <w:t>.</w:t>
      </w:r>
      <w:r w:rsidRPr="008573C5">
        <w:rPr>
          <w:bCs/>
        </w:rPr>
        <w:t xml:space="preserve"> (2004:183), the government regulatory bodies and the accountancy profession of emerging nations suffer from structural weaknesses and often take a lenient attitude towards default of accounting regulations. Consequently private and institutional investors (local and foreign) are hesitant in investing in such emerging economies due to lack of transparency. </w:t>
      </w:r>
    </w:p>
    <w:p w:rsidR="00F54599" w:rsidRPr="008573C5" w:rsidRDefault="00F54599" w:rsidP="00377CE3">
      <w:pPr>
        <w:autoSpaceDE w:val="0"/>
        <w:autoSpaceDN w:val="0"/>
        <w:adjustRightInd w:val="0"/>
        <w:spacing w:line="360" w:lineRule="auto"/>
        <w:jc w:val="both"/>
      </w:pPr>
    </w:p>
    <w:p w:rsidR="00FF5EDF" w:rsidRPr="008573C5" w:rsidRDefault="003B4B3B" w:rsidP="00377CE3">
      <w:pPr>
        <w:autoSpaceDE w:val="0"/>
        <w:autoSpaceDN w:val="0"/>
        <w:adjustRightInd w:val="0"/>
        <w:spacing w:line="360" w:lineRule="auto"/>
        <w:jc w:val="both"/>
      </w:pPr>
      <w:r w:rsidRPr="008573C5">
        <w:t>Re-vamping age-old company legislation</w:t>
      </w:r>
      <w:r w:rsidR="00CD7FE2" w:rsidRPr="008573C5">
        <w:t>s</w:t>
      </w:r>
      <w:r w:rsidRPr="008573C5">
        <w:t xml:space="preserve"> and developing </w:t>
      </w:r>
      <w:r w:rsidR="00CD7FE2" w:rsidRPr="008573C5">
        <w:t>accounting and reporting regulations</w:t>
      </w:r>
      <w:r w:rsidRPr="008573C5">
        <w:t xml:space="preserve"> acceptable and understandable to users </w:t>
      </w:r>
      <w:r w:rsidR="00CD7FE2" w:rsidRPr="008573C5">
        <w:t>have become an important policy issue confronting emerging nations</w:t>
      </w:r>
      <w:r w:rsidR="00B666F1" w:rsidRPr="008573C5">
        <w:t xml:space="preserve"> </w:t>
      </w:r>
      <w:r w:rsidR="001638E6" w:rsidRPr="008573C5">
        <w:t>including Nigeria</w:t>
      </w:r>
      <w:r w:rsidR="00CD7FE2" w:rsidRPr="008573C5">
        <w:t xml:space="preserve">. </w:t>
      </w:r>
      <w:r w:rsidRPr="008573C5">
        <w:t xml:space="preserve"> </w:t>
      </w:r>
      <w:r w:rsidR="00FF5EDF" w:rsidRPr="008573C5">
        <w:t xml:space="preserve">In a study conducted by the World Bank Group on the observance of standards and codes for Nigeria, it is observed that the </w:t>
      </w:r>
      <w:r w:rsidR="00FF5EDF" w:rsidRPr="008573C5">
        <w:rPr>
          <w:lang w:val="en-GB" w:eastAsia="en-GB"/>
        </w:rPr>
        <w:t xml:space="preserve">Nigerian </w:t>
      </w:r>
      <w:r w:rsidR="007C6769" w:rsidRPr="008573C5">
        <w:rPr>
          <w:lang w:val="en-GB" w:eastAsia="en-GB"/>
        </w:rPr>
        <w:t xml:space="preserve">financial reporting practices are deficient (World Bank, 2004:1). The </w:t>
      </w:r>
      <w:r w:rsidR="00FF5EDF" w:rsidRPr="008573C5">
        <w:rPr>
          <w:lang w:val="en-GB" w:eastAsia="en-GB"/>
        </w:rPr>
        <w:t>Statements of A</w:t>
      </w:r>
      <w:r w:rsidR="00894387" w:rsidRPr="008573C5">
        <w:rPr>
          <w:lang w:val="en-GB" w:eastAsia="en-GB"/>
        </w:rPr>
        <w:t>ccounting Standards (SASs) seem</w:t>
      </w:r>
      <w:r w:rsidR="00FF5EDF" w:rsidRPr="008573C5">
        <w:rPr>
          <w:lang w:val="en-GB" w:eastAsia="en-GB"/>
        </w:rPr>
        <w:t xml:space="preserve"> to be incomplete</w:t>
      </w:r>
      <w:r w:rsidR="007C6769" w:rsidRPr="008573C5">
        <w:rPr>
          <w:lang w:val="en-GB" w:eastAsia="en-GB"/>
        </w:rPr>
        <w:t xml:space="preserve"> </w:t>
      </w:r>
      <w:r w:rsidR="00FF5EDF" w:rsidRPr="008573C5">
        <w:rPr>
          <w:lang w:val="en-GB" w:eastAsia="en-GB"/>
        </w:rPr>
        <w:t>because there are many accounting issues not yet covered in these standards which had been addressed by the International Financial Reporting Standards (IFRSs)</w:t>
      </w:r>
      <w:r w:rsidR="006B5A02" w:rsidRPr="008573C5">
        <w:t>.</w:t>
      </w:r>
      <w:r w:rsidR="00FF5EDF" w:rsidRPr="008573C5">
        <w:rPr>
          <w:lang w:val="en-GB" w:eastAsia="en-GB"/>
        </w:rPr>
        <w:t xml:space="preserve"> Over the years, extensive revisions ha</w:t>
      </w:r>
      <w:r w:rsidR="005D020D" w:rsidRPr="008573C5">
        <w:rPr>
          <w:lang w:val="en-GB" w:eastAsia="en-GB"/>
        </w:rPr>
        <w:t>ve</w:t>
      </w:r>
      <w:r w:rsidR="00FF5EDF" w:rsidRPr="008573C5">
        <w:rPr>
          <w:lang w:val="en-GB" w:eastAsia="en-GB"/>
        </w:rPr>
        <w:t xml:space="preserve"> been conducted on the IFRSs which </w:t>
      </w:r>
      <w:r w:rsidR="00C102B6" w:rsidRPr="008573C5">
        <w:rPr>
          <w:lang w:val="en-GB" w:eastAsia="en-GB"/>
        </w:rPr>
        <w:t>have not been</w:t>
      </w:r>
      <w:r w:rsidR="00FF5EDF" w:rsidRPr="008573C5">
        <w:rPr>
          <w:lang w:val="en-GB" w:eastAsia="en-GB"/>
        </w:rPr>
        <w:t xml:space="preserve"> reflected in the SASs</w:t>
      </w:r>
      <w:r w:rsidR="00D0639D" w:rsidRPr="008573C5">
        <w:rPr>
          <w:lang w:val="en-GB" w:eastAsia="en-GB"/>
        </w:rPr>
        <w:t>;</w:t>
      </w:r>
      <w:r w:rsidR="001638E6" w:rsidRPr="008573C5">
        <w:rPr>
          <w:lang w:val="en-GB" w:eastAsia="en-GB"/>
        </w:rPr>
        <w:t xml:space="preserve"> l</w:t>
      </w:r>
      <w:r w:rsidR="00FF5EDF" w:rsidRPr="008573C5">
        <w:rPr>
          <w:lang w:val="en-GB" w:eastAsia="en-GB"/>
        </w:rPr>
        <w:t>arge sections and paragraphs in IFRSs which are newly included cannot be found in the SAS</w:t>
      </w:r>
      <w:r w:rsidR="00FE2969" w:rsidRPr="008573C5">
        <w:t>s</w:t>
      </w:r>
      <w:r w:rsidR="00FF5EDF" w:rsidRPr="008573C5">
        <w:rPr>
          <w:lang w:val="en-GB" w:eastAsia="en-GB"/>
        </w:rPr>
        <w:t xml:space="preserve">. </w:t>
      </w:r>
      <w:r w:rsidR="00FE2969" w:rsidRPr="008573C5">
        <w:t>According to Impey (</w:t>
      </w:r>
      <w:r w:rsidR="00C102B6" w:rsidRPr="008573C5">
        <w:t>n.</w:t>
      </w:r>
      <w:r w:rsidR="00672994" w:rsidRPr="008573C5">
        <w:t>d</w:t>
      </w:r>
      <w:r w:rsidR="00C102B6" w:rsidRPr="008573C5">
        <w:t>.</w:t>
      </w:r>
      <w:r w:rsidR="00FF5EDF" w:rsidRPr="008573C5">
        <w:t>), the SAS disclosure requirement</w:t>
      </w:r>
      <w:r w:rsidR="00CA352E" w:rsidRPr="008573C5">
        <w:t>s</w:t>
      </w:r>
      <w:r w:rsidR="005D020D" w:rsidRPr="008573C5">
        <w:t xml:space="preserve"> have</w:t>
      </w:r>
      <w:r w:rsidR="001638E6" w:rsidRPr="008573C5">
        <w:t xml:space="preserve"> </w:t>
      </w:r>
      <w:r w:rsidR="00FF5EDF" w:rsidRPr="008573C5">
        <w:t>remained unchanged and they are partly based on old IASs that had been withdrawn by IASB. The SAS</w:t>
      </w:r>
      <w:r w:rsidR="001638E6" w:rsidRPr="008573C5">
        <w:t>s</w:t>
      </w:r>
      <w:r w:rsidR="00D0639D" w:rsidRPr="008573C5">
        <w:t xml:space="preserve"> do</w:t>
      </w:r>
      <w:r w:rsidR="000B2BFF" w:rsidRPr="008573C5">
        <w:t>es</w:t>
      </w:r>
      <w:r w:rsidR="00FF5EDF" w:rsidRPr="008573C5">
        <w:t xml:space="preserve"> not cover all the aspects of financial reporting and are not sufficient to form a basis for preparing a h</w:t>
      </w:r>
      <w:r w:rsidR="00163848" w:rsidRPr="008573C5">
        <w:t>igh quality financial statement, in accordance with the IFRS.</w:t>
      </w:r>
    </w:p>
    <w:p w:rsidR="00B82361" w:rsidRPr="008573C5" w:rsidRDefault="00B82361" w:rsidP="00315E79">
      <w:pPr>
        <w:spacing w:before="100" w:beforeAutospacing="1" w:after="100" w:afterAutospacing="1" w:line="360" w:lineRule="auto"/>
        <w:jc w:val="both"/>
        <w:rPr>
          <w:bCs/>
        </w:rPr>
      </w:pPr>
      <w:r w:rsidRPr="008573C5">
        <w:t>A</w:t>
      </w:r>
      <w:r w:rsidR="001A0944" w:rsidRPr="008573C5">
        <w:t xml:space="preserve">ccounting reports </w:t>
      </w:r>
      <w:r w:rsidR="001C5249" w:rsidRPr="008573C5">
        <w:t xml:space="preserve">of Nigerian companies </w:t>
      </w:r>
      <w:r w:rsidR="001A0944" w:rsidRPr="008573C5">
        <w:t>have been found to be deficient over time</w:t>
      </w:r>
      <w:r w:rsidR="00FF5FD5" w:rsidRPr="008573C5">
        <w:t xml:space="preserve"> (Wallace, 1988:352; Adeyemi, 2006:193, Nzekwe, 2009:1)</w:t>
      </w:r>
      <w:r w:rsidR="001A0944" w:rsidRPr="008573C5">
        <w:t>, in the sense that they lack vital information that will enable stakeholders make informed decisions</w:t>
      </w:r>
      <w:r w:rsidR="00FF5FD5" w:rsidRPr="008573C5">
        <w:t>.</w:t>
      </w:r>
      <w:r w:rsidR="001A0944" w:rsidRPr="008573C5">
        <w:t xml:space="preserve"> </w:t>
      </w:r>
      <w:r w:rsidR="007C6769" w:rsidRPr="008573C5">
        <w:t xml:space="preserve"> </w:t>
      </w:r>
      <w:r w:rsidR="00744E10" w:rsidRPr="008573C5">
        <w:t xml:space="preserve">Apart from the studies conducted by the World </w:t>
      </w:r>
      <w:r w:rsidR="00315E79" w:rsidRPr="008573C5">
        <w:t>B</w:t>
      </w:r>
      <w:r w:rsidR="00FA6246" w:rsidRPr="008573C5">
        <w:t xml:space="preserve">ank, </w:t>
      </w:r>
      <w:r w:rsidR="00315E79" w:rsidRPr="008573C5">
        <w:t>disclosure practices by Nigerian companies had been empirically investigated by Wallace (1988:352)</w:t>
      </w:r>
      <w:r w:rsidR="00315E79" w:rsidRPr="008573C5">
        <w:rPr>
          <w:iCs/>
        </w:rPr>
        <w:t>, Okike (2000:39), Adeyemi (2006:</w:t>
      </w:r>
      <w:r w:rsidR="00FF5FD5" w:rsidRPr="008573C5">
        <w:rPr>
          <w:iCs/>
        </w:rPr>
        <w:t>1</w:t>
      </w:r>
      <w:r w:rsidR="00315E79" w:rsidRPr="008573C5">
        <w:rPr>
          <w:iCs/>
        </w:rPr>
        <w:t>) and Ofoegbu and Okoye (2006:45)</w:t>
      </w:r>
      <w:r w:rsidR="00352C35" w:rsidRPr="008573C5">
        <w:rPr>
          <w:iCs/>
        </w:rPr>
        <w:t>. Their observation is quite similar in that they</w:t>
      </w:r>
      <w:r w:rsidR="00315E79" w:rsidRPr="008573C5">
        <w:rPr>
          <w:iCs/>
        </w:rPr>
        <w:t xml:space="preserve"> all </w:t>
      </w:r>
      <w:r w:rsidR="00352C35" w:rsidRPr="008573C5">
        <w:rPr>
          <w:iCs/>
        </w:rPr>
        <w:t>found</w:t>
      </w:r>
      <w:r w:rsidR="002447D2" w:rsidRPr="008573C5">
        <w:rPr>
          <w:iCs/>
        </w:rPr>
        <w:t xml:space="preserve"> </w:t>
      </w:r>
      <w:r w:rsidR="00352C35" w:rsidRPr="008573C5">
        <w:rPr>
          <w:iCs/>
        </w:rPr>
        <w:t xml:space="preserve">the Nigerian </w:t>
      </w:r>
      <w:r w:rsidR="00315E79" w:rsidRPr="008573C5">
        <w:rPr>
          <w:iCs/>
        </w:rPr>
        <w:t>corporate reporting practices</w:t>
      </w:r>
      <w:r w:rsidR="00352C35" w:rsidRPr="008573C5">
        <w:rPr>
          <w:iCs/>
        </w:rPr>
        <w:t xml:space="preserve"> </w:t>
      </w:r>
      <w:r w:rsidR="002447D2" w:rsidRPr="008573C5">
        <w:rPr>
          <w:iCs/>
        </w:rPr>
        <w:t>to be</w:t>
      </w:r>
      <w:r w:rsidR="00315E79" w:rsidRPr="008573C5">
        <w:rPr>
          <w:iCs/>
        </w:rPr>
        <w:t xml:space="preserve"> def</w:t>
      </w:r>
      <w:r w:rsidR="00315E79" w:rsidRPr="008573C5">
        <w:t>icient.</w:t>
      </w:r>
      <w:r w:rsidR="00EB033B" w:rsidRPr="008573C5">
        <w:rPr>
          <w:bCs/>
        </w:rPr>
        <w:t xml:space="preserve"> </w:t>
      </w:r>
      <w:r w:rsidR="00FF5FD5" w:rsidRPr="008573C5">
        <w:rPr>
          <w:bCs/>
        </w:rPr>
        <w:t xml:space="preserve">Two notable studies are the doctoral works of Wallace (1988:352) and Adeyemi (2006:1). </w:t>
      </w:r>
      <w:r w:rsidR="00EB033B" w:rsidRPr="008573C5">
        <w:rPr>
          <w:bCs/>
        </w:rPr>
        <w:t>Wallace (1988:</w:t>
      </w:r>
      <w:r w:rsidR="00FF5FD5" w:rsidRPr="008573C5">
        <w:rPr>
          <w:bCs/>
        </w:rPr>
        <w:t>352</w:t>
      </w:r>
      <w:r w:rsidR="005D020D" w:rsidRPr="008573C5">
        <w:rPr>
          <w:bCs/>
        </w:rPr>
        <w:t>) researches</w:t>
      </w:r>
      <w:r w:rsidR="00EB033B" w:rsidRPr="008573C5">
        <w:rPr>
          <w:bCs/>
        </w:rPr>
        <w:t xml:space="preserve"> on the extent of financial reporting disclosure by using a sample of 47 publicly quoted companies in Nigeria for the period 1982 to 1986.  </w:t>
      </w:r>
      <w:r w:rsidR="00EB033B" w:rsidRPr="008573C5">
        <w:t>His study won international recognition and accolade, since this was the first work to show a detailed analysis of this subject empirically for Nigeria. Nonetheless, one drawback of the study is that it d</w:t>
      </w:r>
      <w:r w:rsidR="005D020D" w:rsidRPr="008573C5">
        <w:t>oes</w:t>
      </w:r>
      <w:r w:rsidR="00EB033B" w:rsidRPr="008573C5">
        <w:t xml:space="preserve"> not examine the disclosure of specific items of information. It</w:t>
      </w:r>
      <w:r w:rsidR="00EB033B" w:rsidRPr="008573C5">
        <w:rPr>
          <w:bCs/>
        </w:rPr>
        <w:t xml:space="preserve"> also d</w:t>
      </w:r>
      <w:r w:rsidR="005D020D" w:rsidRPr="008573C5">
        <w:rPr>
          <w:bCs/>
        </w:rPr>
        <w:t>oes</w:t>
      </w:r>
      <w:r w:rsidR="00EB033B" w:rsidRPr="008573C5">
        <w:rPr>
          <w:bCs/>
        </w:rPr>
        <w:t xml:space="preserve"> not empirically determine the variability of disclosure as a result of specific company attributes. </w:t>
      </w:r>
      <w:r w:rsidR="00EB033B" w:rsidRPr="008573C5">
        <w:t>Moreover, this study was conducted more than two decades ago and since then there ha</w:t>
      </w:r>
      <w:r w:rsidR="005D020D" w:rsidRPr="008573C5">
        <w:t>ve</w:t>
      </w:r>
      <w:r w:rsidR="00EB033B" w:rsidRPr="008573C5">
        <w:t xml:space="preserve"> been additional reporting standards locally and internationally, changes in legislation, business and reporting environment and securities reporting rules. </w:t>
      </w:r>
      <w:r w:rsidR="00EB033B" w:rsidRPr="008573C5">
        <w:rPr>
          <w:bCs/>
        </w:rPr>
        <w:t>Adeyemi (2006:1) built on the works of Wallace by considering SAS 1 to SAS 21 and using a sample of 96 listed companies with year end between 2003 and 2004. In addition, he empirically determined the relationship between disclosure and some company characteristics. His study is quite noble; however, with the fast pace of chang</w:t>
      </w:r>
      <w:r w:rsidR="005D020D" w:rsidRPr="008573C5">
        <w:rPr>
          <w:bCs/>
        </w:rPr>
        <w:t>es in the global business world. W</w:t>
      </w:r>
      <w:r w:rsidR="00EB033B" w:rsidRPr="008573C5">
        <w:rPr>
          <w:bCs/>
        </w:rPr>
        <w:t>e need to be conversant with latest developments in this area of research.</w:t>
      </w:r>
    </w:p>
    <w:p w:rsidR="00A715C3" w:rsidRPr="008573C5" w:rsidRDefault="00A715C3" w:rsidP="00FF5FD5">
      <w:pPr>
        <w:spacing w:before="100" w:beforeAutospacing="1" w:after="100" w:afterAutospacing="1" w:line="360" w:lineRule="auto"/>
        <w:jc w:val="both"/>
      </w:pPr>
      <w:r w:rsidRPr="008573C5">
        <w:t>Th</w:t>
      </w:r>
      <w:r w:rsidR="000C203C" w:rsidRPr="008573C5">
        <w:t>e</w:t>
      </w:r>
      <w:r w:rsidRPr="008573C5">
        <w:t xml:space="preserve"> lapse in the financial reporting system had led to the presentation of the Financial Reporting Council (FRC) Bill to the National Assembly in Nigeria. The Bill is still currently under debate at the National Assembly. The FRC Act when e</w:t>
      </w:r>
      <w:r w:rsidR="00D61C08" w:rsidRPr="008573C5">
        <w:t>nacted</w:t>
      </w:r>
      <w:r w:rsidRPr="008573C5">
        <w:t xml:space="preserve"> would replace the NASB Act with enlarged functions (Nnadi, 2009</w:t>
      </w:r>
      <w:r w:rsidR="0006182C" w:rsidRPr="008573C5">
        <w:t>a</w:t>
      </w:r>
      <w:r w:rsidRPr="008573C5">
        <w:t xml:space="preserve">:14). It is expected to go a long way in strengthening the financial reporting system in Nigeria and to ensure credence of financial reports and corporate disclosure practices among Nigerian companies. </w:t>
      </w:r>
    </w:p>
    <w:p w:rsidR="00315E79" w:rsidRPr="008573C5" w:rsidRDefault="0064382F" w:rsidP="00B445CA">
      <w:pPr>
        <w:spacing w:line="360" w:lineRule="auto"/>
        <w:jc w:val="both"/>
      </w:pPr>
      <w:r w:rsidRPr="008573C5">
        <w:t>I</w:t>
      </w:r>
      <w:r w:rsidR="00DC793A" w:rsidRPr="008573C5">
        <w:t>ncessant changes in the</w:t>
      </w:r>
      <w:r w:rsidR="00067511" w:rsidRPr="008573C5">
        <w:t xml:space="preserve"> global</w:t>
      </w:r>
      <w:r w:rsidR="00DC793A" w:rsidRPr="008573C5">
        <w:t xml:space="preserve"> business and reporting environment - </w:t>
      </w:r>
      <w:r w:rsidR="00352C35" w:rsidRPr="008573C5">
        <w:t xml:space="preserve">new developments </w:t>
      </w:r>
      <w:r w:rsidR="00315E79" w:rsidRPr="008573C5">
        <w:t>and update</w:t>
      </w:r>
      <w:r w:rsidR="00352C35" w:rsidRPr="008573C5">
        <w:t>s</w:t>
      </w:r>
      <w:r w:rsidR="00184455" w:rsidRPr="008573C5">
        <w:t xml:space="preserve"> on the </w:t>
      </w:r>
      <w:r w:rsidR="00352C35" w:rsidRPr="008573C5">
        <w:t>l</w:t>
      </w:r>
      <w:r w:rsidR="00315E79" w:rsidRPr="008573C5">
        <w:t>ocal and international</w:t>
      </w:r>
      <w:r w:rsidR="00352C35" w:rsidRPr="008573C5">
        <w:t xml:space="preserve"> accounting </w:t>
      </w:r>
      <w:r w:rsidR="00184455" w:rsidRPr="008573C5">
        <w:t>standards</w:t>
      </w:r>
      <w:r w:rsidR="00DC793A" w:rsidRPr="008573C5">
        <w:t>, change</w:t>
      </w:r>
      <w:r w:rsidR="00D0639D" w:rsidRPr="008573C5">
        <w:t xml:space="preserve">s in corporate structure, and </w:t>
      </w:r>
      <w:r w:rsidR="004301BD" w:rsidRPr="008573C5">
        <w:t>legislation</w:t>
      </w:r>
      <w:r w:rsidRPr="008573C5">
        <w:t>-</w:t>
      </w:r>
      <w:r w:rsidR="00D0639D" w:rsidRPr="008573C5">
        <w:t xml:space="preserve"> call</w:t>
      </w:r>
      <w:r w:rsidR="001638E6" w:rsidRPr="008573C5">
        <w:t xml:space="preserve"> for a constant update in</w:t>
      </w:r>
      <w:r w:rsidR="00DC793A" w:rsidRPr="008573C5">
        <w:t xml:space="preserve"> </w:t>
      </w:r>
      <w:r w:rsidR="00C8551B" w:rsidRPr="008573C5">
        <w:t xml:space="preserve">the research in </w:t>
      </w:r>
      <w:r w:rsidR="00DC793A" w:rsidRPr="008573C5">
        <w:t>this area of study</w:t>
      </w:r>
      <w:r w:rsidRPr="008573C5">
        <w:t xml:space="preserve">. </w:t>
      </w:r>
      <w:r w:rsidR="00BF10AC" w:rsidRPr="008573C5">
        <w:t xml:space="preserve">Additional empirical evidence </w:t>
      </w:r>
      <w:r w:rsidR="009E7169" w:rsidRPr="008573C5">
        <w:t>on</w:t>
      </w:r>
      <w:r w:rsidR="00BF10AC" w:rsidRPr="008573C5">
        <w:t xml:space="preserve"> </w:t>
      </w:r>
      <w:r w:rsidR="00AC55FE" w:rsidRPr="008573C5">
        <w:t>mandatory and voluntary disclosures and the factors influencing them</w:t>
      </w:r>
      <w:r w:rsidR="009E7169" w:rsidRPr="008573C5">
        <w:t xml:space="preserve"> </w:t>
      </w:r>
      <w:r w:rsidR="00BF10AC" w:rsidRPr="008573C5">
        <w:t>in Nigeria will enhance the quality of literature in this field of study. Thus, th</w:t>
      </w:r>
      <w:r w:rsidR="00315E79" w:rsidRPr="008573C5">
        <w:t xml:space="preserve">is </w:t>
      </w:r>
      <w:r w:rsidR="00DC793A" w:rsidRPr="008573C5">
        <w:t xml:space="preserve">makes a research of this nature </w:t>
      </w:r>
      <w:r w:rsidR="00184455" w:rsidRPr="008573C5">
        <w:t>of paramount interest.</w:t>
      </w:r>
      <w:r w:rsidR="00315E79" w:rsidRPr="008573C5">
        <w:t xml:space="preserve"> </w:t>
      </w:r>
    </w:p>
    <w:p w:rsidR="00B445CA" w:rsidRPr="008573C5" w:rsidRDefault="00B445CA" w:rsidP="00B445CA">
      <w:pPr>
        <w:spacing w:line="360" w:lineRule="auto"/>
        <w:jc w:val="both"/>
      </w:pPr>
    </w:p>
    <w:p w:rsidR="00FF5EDF" w:rsidRPr="008573C5" w:rsidRDefault="00EF281F" w:rsidP="00B445CA">
      <w:pPr>
        <w:autoSpaceDE w:val="0"/>
        <w:autoSpaceDN w:val="0"/>
        <w:adjustRightInd w:val="0"/>
        <w:spacing w:line="360" w:lineRule="auto"/>
        <w:jc w:val="both"/>
        <w:rPr>
          <w:b/>
          <w:sz w:val="28"/>
          <w:szCs w:val="28"/>
        </w:rPr>
      </w:pPr>
      <w:r w:rsidRPr="008573C5">
        <w:rPr>
          <w:b/>
          <w:sz w:val="28"/>
          <w:szCs w:val="28"/>
        </w:rPr>
        <w:t>1.</w:t>
      </w:r>
      <w:r w:rsidR="00FB5751" w:rsidRPr="008573C5">
        <w:rPr>
          <w:b/>
          <w:sz w:val="28"/>
          <w:szCs w:val="28"/>
        </w:rPr>
        <w:t>2</w:t>
      </w:r>
      <w:r w:rsidRPr="008573C5">
        <w:rPr>
          <w:b/>
          <w:sz w:val="28"/>
          <w:szCs w:val="28"/>
        </w:rPr>
        <w:tab/>
      </w:r>
      <w:r w:rsidR="00FF5EDF" w:rsidRPr="008573C5">
        <w:rPr>
          <w:b/>
          <w:sz w:val="28"/>
          <w:szCs w:val="28"/>
        </w:rPr>
        <w:t>O</w:t>
      </w:r>
      <w:r w:rsidR="00815A36" w:rsidRPr="008573C5">
        <w:rPr>
          <w:b/>
          <w:sz w:val="28"/>
          <w:szCs w:val="28"/>
        </w:rPr>
        <w:t>bjectives of the Study</w:t>
      </w:r>
    </w:p>
    <w:p w:rsidR="00311845" w:rsidRPr="008573C5" w:rsidRDefault="003578A1" w:rsidP="00B445CA">
      <w:pPr>
        <w:autoSpaceDE w:val="0"/>
        <w:autoSpaceDN w:val="0"/>
        <w:adjustRightInd w:val="0"/>
        <w:spacing w:line="360" w:lineRule="auto"/>
        <w:jc w:val="both"/>
        <w:rPr>
          <w:bCs/>
        </w:rPr>
      </w:pPr>
      <w:r w:rsidRPr="008573C5">
        <w:rPr>
          <w:bCs/>
        </w:rPr>
        <w:t xml:space="preserve">This </w:t>
      </w:r>
      <w:r w:rsidR="002D0129" w:rsidRPr="008573C5">
        <w:rPr>
          <w:bCs/>
        </w:rPr>
        <w:t>thesis</w:t>
      </w:r>
      <w:r w:rsidRPr="008573C5">
        <w:rPr>
          <w:bCs/>
        </w:rPr>
        <w:t xml:space="preserve"> </w:t>
      </w:r>
      <w:r w:rsidR="002D0129" w:rsidRPr="008573C5">
        <w:rPr>
          <w:bCs/>
        </w:rPr>
        <w:t xml:space="preserve">aims </w:t>
      </w:r>
      <w:r w:rsidR="005D020D" w:rsidRPr="008573C5">
        <w:rPr>
          <w:bCs/>
        </w:rPr>
        <w:t>at</w:t>
      </w:r>
      <w:r w:rsidR="002D0129" w:rsidRPr="008573C5">
        <w:rPr>
          <w:bCs/>
        </w:rPr>
        <w:t xml:space="preserve"> provid</w:t>
      </w:r>
      <w:r w:rsidR="0027574B" w:rsidRPr="008573C5">
        <w:rPr>
          <w:bCs/>
        </w:rPr>
        <w:t>ing</w:t>
      </w:r>
      <w:r w:rsidRPr="008573C5">
        <w:rPr>
          <w:bCs/>
        </w:rPr>
        <w:t xml:space="preserve"> </w:t>
      </w:r>
      <w:r w:rsidR="000C6D2E" w:rsidRPr="008573C5">
        <w:rPr>
          <w:bCs/>
        </w:rPr>
        <w:t>empirical evidence to the</w:t>
      </w:r>
      <w:r w:rsidRPr="008573C5">
        <w:rPr>
          <w:bCs/>
        </w:rPr>
        <w:t xml:space="preserve"> disclosure practices </w:t>
      </w:r>
      <w:r w:rsidR="000C6D2E" w:rsidRPr="008573C5">
        <w:rPr>
          <w:bCs/>
        </w:rPr>
        <w:t>of listed com</w:t>
      </w:r>
      <w:r w:rsidRPr="008573C5">
        <w:rPr>
          <w:bCs/>
        </w:rPr>
        <w:t>panies in Nigeria</w:t>
      </w:r>
      <w:r w:rsidR="00311845" w:rsidRPr="008573C5">
        <w:rPr>
          <w:bCs/>
        </w:rPr>
        <w:t>.</w:t>
      </w:r>
    </w:p>
    <w:p w:rsidR="00FF5EDF" w:rsidRPr="008573C5" w:rsidRDefault="00FF5EDF" w:rsidP="003D39DD">
      <w:pPr>
        <w:spacing w:line="360" w:lineRule="auto"/>
      </w:pPr>
      <w:r w:rsidRPr="008573C5">
        <w:t xml:space="preserve">Specifically, the objectives of this research are to:                                                                                </w:t>
      </w:r>
    </w:p>
    <w:p w:rsidR="00FF5EDF" w:rsidRPr="008573C5" w:rsidRDefault="00FF5EDF" w:rsidP="00085210">
      <w:pPr>
        <w:numPr>
          <w:ilvl w:val="0"/>
          <w:numId w:val="1"/>
        </w:numPr>
        <w:autoSpaceDE w:val="0"/>
        <w:autoSpaceDN w:val="0"/>
        <w:adjustRightInd w:val="0"/>
        <w:spacing w:line="360" w:lineRule="auto"/>
        <w:jc w:val="both"/>
      </w:pPr>
      <w:r w:rsidRPr="008573C5">
        <w:t xml:space="preserve">empirically </w:t>
      </w:r>
      <w:r w:rsidR="0074676C" w:rsidRPr="008573C5">
        <w:t xml:space="preserve">determine </w:t>
      </w:r>
      <w:r w:rsidRPr="008573C5">
        <w:t>th</w:t>
      </w:r>
      <w:r w:rsidR="0005344B" w:rsidRPr="008573C5">
        <w:t xml:space="preserve">e </w:t>
      </w:r>
      <w:r w:rsidR="00D61C08" w:rsidRPr="008573C5">
        <w:t xml:space="preserve">extent of </w:t>
      </w:r>
      <w:r w:rsidR="0005344B" w:rsidRPr="008573C5">
        <w:t xml:space="preserve">compliance of  the </w:t>
      </w:r>
      <w:r w:rsidR="00FA59BE" w:rsidRPr="008573C5">
        <w:t xml:space="preserve">listed financial and non-financial Nigerian </w:t>
      </w:r>
      <w:r w:rsidR="0005344B" w:rsidRPr="008573C5">
        <w:t>companies</w:t>
      </w:r>
      <w:r w:rsidR="00871049" w:rsidRPr="008573C5">
        <w:t xml:space="preserve"> with the </w:t>
      </w:r>
      <w:r w:rsidR="00FA59BE" w:rsidRPr="008573C5">
        <w:t xml:space="preserve">disclosure </w:t>
      </w:r>
      <w:r w:rsidR="00871049" w:rsidRPr="008573C5">
        <w:t xml:space="preserve">requirements of </w:t>
      </w:r>
      <w:r w:rsidRPr="008573C5">
        <w:t xml:space="preserve">SASs;           </w:t>
      </w:r>
    </w:p>
    <w:p w:rsidR="00417D13" w:rsidRPr="008573C5" w:rsidRDefault="002A1646" w:rsidP="00085210">
      <w:pPr>
        <w:numPr>
          <w:ilvl w:val="0"/>
          <w:numId w:val="1"/>
        </w:numPr>
        <w:autoSpaceDE w:val="0"/>
        <w:autoSpaceDN w:val="0"/>
        <w:adjustRightInd w:val="0"/>
        <w:spacing w:before="100" w:beforeAutospacing="1" w:after="100" w:afterAutospacing="1" w:line="360" w:lineRule="auto"/>
        <w:jc w:val="both"/>
      </w:pPr>
      <w:r w:rsidRPr="008573C5">
        <w:t>examine</w:t>
      </w:r>
      <w:r w:rsidR="0074676C" w:rsidRPr="008573C5">
        <w:t xml:space="preserve"> </w:t>
      </w:r>
      <w:r w:rsidR="00417D13" w:rsidRPr="008573C5">
        <w:t>empirically th</w:t>
      </w:r>
      <w:r w:rsidR="00FA59BE" w:rsidRPr="008573C5">
        <w:t xml:space="preserve">e compliance of </w:t>
      </w:r>
      <w:r w:rsidR="00417D13" w:rsidRPr="008573C5">
        <w:t xml:space="preserve">the </w:t>
      </w:r>
      <w:r w:rsidR="00FA59BE" w:rsidRPr="008573C5">
        <w:t xml:space="preserve">listed financial and non-financial Nigerian companies with the disclosure requirements of </w:t>
      </w:r>
      <w:r w:rsidR="00145151" w:rsidRPr="008573C5">
        <w:t>IAS/</w:t>
      </w:r>
      <w:r w:rsidR="00FA59BE" w:rsidRPr="008573C5">
        <w:t>I</w:t>
      </w:r>
      <w:r w:rsidR="00417D13" w:rsidRPr="008573C5">
        <w:t>FRSs</w:t>
      </w:r>
      <w:r w:rsidR="00871049" w:rsidRPr="008573C5">
        <w:t xml:space="preserve"> for disclosures</w:t>
      </w:r>
      <w:r w:rsidR="00417D13" w:rsidRPr="008573C5">
        <w:t xml:space="preserve"> not contained in the SASs;           </w:t>
      </w:r>
    </w:p>
    <w:p w:rsidR="00FF5EDF" w:rsidRPr="008573C5" w:rsidRDefault="00066FB0" w:rsidP="00085210">
      <w:pPr>
        <w:numPr>
          <w:ilvl w:val="0"/>
          <w:numId w:val="1"/>
        </w:numPr>
        <w:autoSpaceDE w:val="0"/>
        <w:autoSpaceDN w:val="0"/>
        <w:adjustRightInd w:val="0"/>
        <w:spacing w:before="100" w:beforeAutospacing="1" w:after="100" w:afterAutospacing="1" w:line="360" w:lineRule="auto"/>
        <w:jc w:val="both"/>
      </w:pPr>
      <w:r w:rsidRPr="008573C5">
        <w:t xml:space="preserve">examine </w:t>
      </w:r>
      <w:r w:rsidR="00FF5EDF" w:rsidRPr="008573C5">
        <w:t xml:space="preserve">whether the listed </w:t>
      </w:r>
      <w:r w:rsidR="00FA59BE" w:rsidRPr="008573C5">
        <w:t>financial and non-financial  companies</w:t>
      </w:r>
      <w:r w:rsidR="00FF5EDF" w:rsidRPr="008573C5">
        <w:t xml:space="preserve"> </w:t>
      </w:r>
      <w:r w:rsidR="00DD3284" w:rsidRPr="008573C5">
        <w:t xml:space="preserve">in Nigeria </w:t>
      </w:r>
      <w:r w:rsidR="00FF5EDF" w:rsidRPr="008573C5">
        <w:t>are providing</w:t>
      </w:r>
      <w:r w:rsidR="0074676C" w:rsidRPr="008573C5">
        <w:t xml:space="preserve"> </w:t>
      </w:r>
      <w:r w:rsidR="00DD3284" w:rsidRPr="008573C5">
        <w:t xml:space="preserve">more information than </w:t>
      </w:r>
      <w:r w:rsidR="00FF5EDF" w:rsidRPr="008573C5">
        <w:t>statutor</w:t>
      </w:r>
      <w:r w:rsidR="0074676C" w:rsidRPr="008573C5">
        <w:t>ily</w:t>
      </w:r>
      <w:r w:rsidR="00FF5EDF" w:rsidRPr="008573C5">
        <w:t xml:space="preserve"> required</w:t>
      </w:r>
      <w:r w:rsidR="00E24F40" w:rsidRPr="008573C5">
        <w:t xml:space="preserve"> in their annual financial reports</w:t>
      </w:r>
      <w:r w:rsidR="00FF5EDF" w:rsidRPr="008573C5">
        <w:t xml:space="preserve">;   </w:t>
      </w:r>
    </w:p>
    <w:p w:rsidR="00FF5EDF" w:rsidRPr="008573C5" w:rsidRDefault="00066FB0" w:rsidP="00085210">
      <w:pPr>
        <w:numPr>
          <w:ilvl w:val="0"/>
          <w:numId w:val="1"/>
        </w:numPr>
        <w:spacing w:before="100" w:beforeAutospacing="1" w:after="100" w:afterAutospacing="1" w:line="360" w:lineRule="auto"/>
        <w:jc w:val="both"/>
      </w:pPr>
      <w:r w:rsidRPr="008573C5">
        <w:rPr>
          <w:bCs/>
        </w:rPr>
        <w:t>determin</w:t>
      </w:r>
      <w:r w:rsidR="0074676C" w:rsidRPr="008573C5">
        <w:rPr>
          <w:bCs/>
        </w:rPr>
        <w:t xml:space="preserve">e the factors </w:t>
      </w:r>
      <w:r w:rsidR="00871049" w:rsidRPr="008573C5">
        <w:rPr>
          <w:bCs/>
        </w:rPr>
        <w:t>influencing</w:t>
      </w:r>
      <w:r w:rsidR="00FF5EDF" w:rsidRPr="008573C5">
        <w:rPr>
          <w:bCs/>
        </w:rPr>
        <w:t xml:space="preserve"> the extent of information disclosure in the annual reports of listed </w:t>
      </w:r>
      <w:r w:rsidR="00D0639D" w:rsidRPr="008573C5">
        <w:rPr>
          <w:bCs/>
        </w:rPr>
        <w:t>companies</w:t>
      </w:r>
      <w:r w:rsidR="00FF5EDF" w:rsidRPr="008573C5">
        <w:rPr>
          <w:bCs/>
        </w:rPr>
        <w:t xml:space="preserve"> in Nigeria; and </w:t>
      </w:r>
    </w:p>
    <w:p w:rsidR="00FF5EDF" w:rsidRPr="008573C5" w:rsidRDefault="0074676C" w:rsidP="00085210">
      <w:pPr>
        <w:numPr>
          <w:ilvl w:val="0"/>
          <w:numId w:val="1"/>
        </w:numPr>
        <w:spacing w:before="100" w:beforeAutospacing="1" w:after="100" w:afterAutospacing="1" w:line="360" w:lineRule="auto"/>
        <w:jc w:val="both"/>
      </w:pPr>
      <w:r w:rsidRPr="008573C5">
        <w:t xml:space="preserve">identify the opinion of preparers, auditors and users of accounting information on </w:t>
      </w:r>
      <w:r w:rsidR="00871049" w:rsidRPr="008573C5">
        <w:t xml:space="preserve">the </w:t>
      </w:r>
      <w:r w:rsidR="00C26FD3" w:rsidRPr="008573C5">
        <w:t>disclosure practices of listed companies</w:t>
      </w:r>
      <w:r w:rsidR="00E643B3" w:rsidRPr="008573C5">
        <w:t xml:space="preserve"> in Nigeria</w:t>
      </w:r>
      <w:r w:rsidR="00C26FD3" w:rsidRPr="008573C5">
        <w:t xml:space="preserve"> </w:t>
      </w:r>
      <w:r w:rsidRPr="008573C5">
        <w:t xml:space="preserve">and </w:t>
      </w:r>
      <w:r w:rsidR="00C26FD3" w:rsidRPr="008573C5">
        <w:t xml:space="preserve">on </w:t>
      </w:r>
      <w:r w:rsidRPr="008573C5">
        <w:t xml:space="preserve">consequences of nondisclosure of relevant accounting information. </w:t>
      </w:r>
    </w:p>
    <w:p w:rsidR="00F54599" w:rsidRPr="008573C5" w:rsidRDefault="00F54599" w:rsidP="009D201B">
      <w:pPr>
        <w:spacing w:line="360" w:lineRule="auto"/>
        <w:jc w:val="both"/>
        <w:rPr>
          <w:b/>
          <w:sz w:val="28"/>
          <w:szCs w:val="28"/>
        </w:rPr>
      </w:pPr>
    </w:p>
    <w:p w:rsidR="00815A36" w:rsidRPr="008573C5" w:rsidRDefault="009D201B" w:rsidP="009D201B">
      <w:pPr>
        <w:spacing w:line="360" w:lineRule="auto"/>
        <w:jc w:val="both"/>
        <w:rPr>
          <w:b/>
          <w:sz w:val="28"/>
          <w:szCs w:val="28"/>
        </w:rPr>
      </w:pPr>
      <w:r w:rsidRPr="008573C5">
        <w:rPr>
          <w:b/>
          <w:sz w:val="28"/>
          <w:szCs w:val="28"/>
        </w:rPr>
        <w:t>1.</w:t>
      </w:r>
      <w:r w:rsidR="00FB5751" w:rsidRPr="008573C5">
        <w:rPr>
          <w:b/>
          <w:sz w:val="28"/>
          <w:szCs w:val="28"/>
        </w:rPr>
        <w:t>3</w:t>
      </w:r>
      <w:r w:rsidR="00EF281F" w:rsidRPr="008573C5">
        <w:rPr>
          <w:b/>
          <w:sz w:val="28"/>
          <w:szCs w:val="28"/>
        </w:rPr>
        <w:t xml:space="preserve">   </w:t>
      </w:r>
      <w:r w:rsidR="00FF5EDF" w:rsidRPr="008573C5">
        <w:rPr>
          <w:b/>
          <w:sz w:val="28"/>
          <w:szCs w:val="28"/>
        </w:rPr>
        <w:t>R</w:t>
      </w:r>
      <w:r w:rsidR="00815A36" w:rsidRPr="008573C5">
        <w:rPr>
          <w:b/>
          <w:sz w:val="28"/>
          <w:szCs w:val="28"/>
        </w:rPr>
        <w:t>esearch Questions</w:t>
      </w:r>
    </w:p>
    <w:p w:rsidR="00FF5EDF" w:rsidRPr="008573C5" w:rsidRDefault="00FF5EDF" w:rsidP="002103C4">
      <w:pPr>
        <w:spacing w:line="360" w:lineRule="auto"/>
        <w:jc w:val="both"/>
      </w:pPr>
      <w:r w:rsidRPr="008573C5">
        <w:t>The research objectives are guided by the following research questions.</w:t>
      </w:r>
    </w:p>
    <w:p w:rsidR="00FF5EDF" w:rsidRPr="008573C5" w:rsidRDefault="00FF5EDF" w:rsidP="00085210">
      <w:pPr>
        <w:numPr>
          <w:ilvl w:val="0"/>
          <w:numId w:val="2"/>
        </w:numPr>
        <w:autoSpaceDE w:val="0"/>
        <w:autoSpaceDN w:val="0"/>
        <w:adjustRightInd w:val="0"/>
        <w:spacing w:line="360" w:lineRule="auto"/>
        <w:jc w:val="both"/>
      </w:pPr>
      <w:r w:rsidRPr="008573C5">
        <w:t>What is the extent of c</w:t>
      </w:r>
      <w:r w:rsidR="008542FA" w:rsidRPr="008573C5">
        <w:t xml:space="preserve">ompliance of </w:t>
      </w:r>
      <w:r w:rsidR="008564AD" w:rsidRPr="008573C5">
        <w:t xml:space="preserve">listed </w:t>
      </w:r>
      <w:r w:rsidR="00FA59BE" w:rsidRPr="008573C5">
        <w:t>fi</w:t>
      </w:r>
      <w:r w:rsidR="008564AD" w:rsidRPr="008573C5">
        <w:t xml:space="preserve">nancial and non-financial Nigerian </w:t>
      </w:r>
      <w:r w:rsidR="00FA59BE" w:rsidRPr="008573C5">
        <w:t>c</w:t>
      </w:r>
      <w:r w:rsidR="008542FA" w:rsidRPr="008573C5">
        <w:t>ompanie</w:t>
      </w:r>
      <w:r w:rsidRPr="008573C5">
        <w:t>s with the required disclosures of the N</w:t>
      </w:r>
      <w:r w:rsidR="004C31E2" w:rsidRPr="008573C5">
        <w:t>igerian</w:t>
      </w:r>
      <w:r w:rsidRPr="008573C5">
        <w:t xml:space="preserve"> Accounting Standard</w:t>
      </w:r>
      <w:r w:rsidR="004C31E2" w:rsidRPr="008573C5">
        <w:t>s</w:t>
      </w:r>
      <w:r w:rsidRPr="008573C5">
        <w:t xml:space="preserve"> Board (NASB)? </w:t>
      </w:r>
    </w:p>
    <w:p w:rsidR="00FF5EDF" w:rsidRPr="008573C5" w:rsidRDefault="00FF5EDF" w:rsidP="00085210">
      <w:pPr>
        <w:numPr>
          <w:ilvl w:val="0"/>
          <w:numId w:val="2"/>
        </w:numPr>
        <w:autoSpaceDE w:val="0"/>
        <w:autoSpaceDN w:val="0"/>
        <w:adjustRightInd w:val="0"/>
        <w:spacing w:line="360" w:lineRule="auto"/>
        <w:jc w:val="both"/>
      </w:pPr>
      <w:r w:rsidRPr="008573C5">
        <w:t>What is the exten</w:t>
      </w:r>
      <w:r w:rsidR="008542FA" w:rsidRPr="008573C5">
        <w:t xml:space="preserve">t of compliance of </w:t>
      </w:r>
      <w:r w:rsidR="0083145C" w:rsidRPr="008573C5">
        <w:t xml:space="preserve">listed financial and non-financial Nigerian companies with </w:t>
      </w:r>
      <w:r w:rsidRPr="008573C5">
        <w:t xml:space="preserve">the required disclosures of </w:t>
      </w:r>
      <w:r w:rsidR="00145151" w:rsidRPr="008573C5">
        <w:t>IAS/</w:t>
      </w:r>
      <w:r w:rsidRPr="008573C5">
        <w:t>I</w:t>
      </w:r>
      <w:r w:rsidR="005103AB" w:rsidRPr="008573C5">
        <w:t>FRSs that are not contained in the SASs</w:t>
      </w:r>
      <w:r w:rsidRPr="008573C5">
        <w:t xml:space="preserve">? </w:t>
      </w:r>
    </w:p>
    <w:p w:rsidR="00FF5EDF" w:rsidRPr="008573C5" w:rsidRDefault="00FF5EDF" w:rsidP="00085210">
      <w:pPr>
        <w:numPr>
          <w:ilvl w:val="0"/>
          <w:numId w:val="2"/>
        </w:numPr>
        <w:spacing w:before="100" w:beforeAutospacing="1" w:after="100" w:afterAutospacing="1" w:line="360" w:lineRule="auto"/>
        <w:jc w:val="both"/>
      </w:pPr>
      <w:r w:rsidRPr="008573C5">
        <w:t xml:space="preserve">Do Nigerian </w:t>
      </w:r>
      <w:r w:rsidR="0083145C" w:rsidRPr="008573C5">
        <w:t xml:space="preserve">financial and non-financial </w:t>
      </w:r>
      <w:r w:rsidR="00524632" w:rsidRPr="008573C5">
        <w:t>listed companies</w:t>
      </w:r>
      <w:r w:rsidRPr="008573C5">
        <w:t xml:space="preserve"> disclose </w:t>
      </w:r>
      <w:r w:rsidR="00F37351" w:rsidRPr="008573C5">
        <w:t xml:space="preserve">discretionary </w:t>
      </w:r>
      <w:r w:rsidRPr="008573C5">
        <w:t>information more than the minimum required by accounting standards?</w:t>
      </w:r>
    </w:p>
    <w:p w:rsidR="00FF5EDF" w:rsidRPr="008573C5" w:rsidRDefault="00FF5EDF" w:rsidP="00085210">
      <w:pPr>
        <w:numPr>
          <w:ilvl w:val="0"/>
          <w:numId w:val="2"/>
        </w:numPr>
        <w:spacing w:before="100" w:beforeAutospacing="1" w:after="100" w:afterAutospacing="1" w:line="360" w:lineRule="auto"/>
        <w:jc w:val="both"/>
      </w:pPr>
      <w:r w:rsidRPr="008573C5">
        <w:t xml:space="preserve">What are the primary factors attributable to the overall levels of disclosure? </w:t>
      </w:r>
    </w:p>
    <w:p w:rsidR="00A23403" w:rsidRPr="008573C5" w:rsidRDefault="00871049" w:rsidP="00085210">
      <w:pPr>
        <w:numPr>
          <w:ilvl w:val="0"/>
          <w:numId w:val="2"/>
        </w:numPr>
        <w:spacing w:before="100" w:beforeAutospacing="1" w:after="100" w:afterAutospacing="1" w:line="360" w:lineRule="auto"/>
        <w:jc w:val="both"/>
      </w:pPr>
      <w:r w:rsidRPr="008573C5">
        <w:t xml:space="preserve">Are there differences in the </w:t>
      </w:r>
      <w:r w:rsidR="00311845" w:rsidRPr="008573C5">
        <w:t>views</w:t>
      </w:r>
      <w:r w:rsidRPr="008573C5">
        <w:t xml:space="preserve"> of preparers, auditors and users of accounting information on </w:t>
      </w:r>
      <w:r w:rsidR="00A23403" w:rsidRPr="008573C5">
        <w:t>disclosure practices of listed Nigerian companies</w:t>
      </w:r>
      <w:r w:rsidR="00C26FD3" w:rsidRPr="008573C5">
        <w:t>?</w:t>
      </w:r>
    </w:p>
    <w:p w:rsidR="009E0778" w:rsidRPr="008573C5" w:rsidRDefault="00B0379E" w:rsidP="00A9772C">
      <w:pPr>
        <w:numPr>
          <w:ilvl w:val="0"/>
          <w:numId w:val="2"/>
        </w:numPr>
        <w:spacing w:before="100" w:beforeAutospacing="1" w:after="100" w:afterAutospacing="1" w:line="360" w:lineRule="auto"/>
        <w:jc w:val="both"/>
      </w:pPr>
      <w:r w:rsidRPr="008573C5">
        <w:t>What are the</w:t>
      </w:r>
      <w:r w:rsidR="00A23403" w:rsidRPr="008573C5">
        <w:t xml:space="preserve"> consequences of </w:t>
      </w:r>
      <w:r w:rsidR="00C26FD3" w:rsidRPr="008573C5">
        <w:t>non-</w:t>
      </w:r>
      <w:r w:rsidR="00871049" w:rsidRPr="008573C5">
        <w:t xml:space="preserve">compliance with </w:t>
      </w:r>
      <w:r w:rsidR="00C26FD3" w:rsidRPr="008573C5">
        <w:t xml:space="preserve">the disclosure requirements of </w:t>
      </w:r>
      <w:r w:rsidR="00871049" w:rsidRPr="008573C5">
        <w:t>accounting standards</w:t>
      </w:r>
      <w:r w:rsidR="007D3F4C" w:rsidRPr="008573C5">
        <w:t>?</w:t>
      </w:r>
    </w:p>
    <w:p w:rsidR="00F54599" w:rsidRPr="008573C5" w:rsidRDefault="00F54599" w:rsidP="00FF5EDF">
      <w:pPr>
        <w:autoSpaceDE w:val="0"/>
        <w:autoSpaceDN w:val="0"/>
        <w:adjustRightInd w:val="0"/>
        <w:spacing w:line="360" w:lineRule="auto"/>
        <w:jc w:val="both"/>
        <w:rPr>
          <w:b/>
          <w:bCs/>
          <w:sz w:val="28"/>
          <w:szCs w:val="28"/>
        </w:rPr>
      </w:pPr>
    </w:p>
    <w:p w:rsidR="00FF5EDF" w:rsidRPr="008573C5" w:rsidRDefault="009D201B" w:rsidP="00FF5EDF">
      <w:pPr>
        <w:autoSpaceDE w:val="0"/>
        <w:autoSpaceDN w:val="0"/>
        <w:adjustRightInd w:val="0"/>
        <w:spacing w:line="360" w:lineRule="auto"/>
        <w:jc w:val="both"/>
        <w:rPr>
          <w:b/>
          <w:bCs/>
          <w:sz w:val="28"/>
          <w:szCs w:val="28"/>
        </w:rPr>
      </w:pPr>
      <w:r w:rsidRPr="008573C5">
        <w:rPr>
          <w:b/>
          <w:bCs/>
          <w:sz w:val="28"/>
          <w:szCs w:val="28"/>
        </w:rPr>
        <w:t>1.4</w:t>
      </w:r>
      <w:r w:rsidR="00EF281F" w:rsidRPr="008573C5">
        <w:rPr>
          <w:b/>
          <w:bCs/>
          <w:sz w:val="28"/>
          <w:szCs w:val="28"/>
        </w:rPr>
        <w:t xml:space="preserve">   </w:t>
      </w:r>
      <w:r w:rsidR="00FF5EDF" w:rsidRPr="008573C5">
        <w:rPr>
          <w:b/>
          <w:bCs/>
          <w:sz w:val="28"/>
          <w:szCs w:val="28"/>
        </w:rPr>
        <w:t>R</w:t>
      </w:r>
      <w:r w:rsidR="00815A36" w:rsidRPr="008573C5">
        <w:rPr>
          <w:b/>
          <w:bCs/>
          <w:sz w:val="28"/>
          <w:szCs w:val="28"/>
        </w:rPr>
        <w:t>esearch Hypotheses</w:t>
      </w:r>
    </w:p>
    <w:p w:rsidR="00FF5EDF" w:rsidRPr="008573C5" w:rsidRDefault="00685BA9" w:rsidP="00FF5EDF">
      <w:pPr>
        <w:autoSpaceDE w:val="0"/>
        <w:autoSpaceDN w:val="0"/>
        <w:adjustRightInd w:val="0"/>
        <w:spacing w:line="360" w:lineRule="auto"/>
        <w:jc w:val="both"/>
      </w:pPr>
      <w:r w:rsidRPr="008573C5">
        <w:t>In this study</w:t>
      </w:r>
      <w:r w:rsidR="00AE0CA4" w:rsidRPr="008573C5">
        <w:t>,</w:t>
      </w:r>
      <w:r w:rsidRPr="008573C5">
        <w:t xml:space="preserve"> five hypotheses </w:t>
      </w:r>
      <w:r w:rsidR="0027574B" w:rsidRPr="008573C5">
        <w:t>are</w:t>
      </w:r>
      <w:r w:rsidRPr="008573C5">
        <w:t xml:space="preserve"> formulated to achieve the research objectives i </w:t>
      </w:r>
      <w:r w:rsidR="00DD6B17" w:rsidRPr="008573C5">
        <w:t>to</w:t>
      </w:r>
      <w:r w:rsidRPr="008573C5">
        <w:t xml:space="preserve"> v respectively. </w:t>
      </w:r>
      <w:r w:rsidR="004819EC" w:rsidRPr="008573C5">
        <w:t>Th</w:t>
      </w:r>
      <w:r w:rsidRPr="008573C5">
        <w:t>e h</w:t>
      </w:r>
      <w:r w:rsidR="00FF5EDF" w:rsidRPr="008573C5">
        <w:t>ypotheses</w:t>
      </w:r>
      <w:r w:rsidR="005103AB" w:rsidRPr="008573C5">
        <w:t xml:space="preserve"> </w:t>
      </w:r>
      <w:r w:rsidRPr="008573C5">
        <w:t xml:space="preserve">are hereby stated </w:t>
      </w:r>
      <w:r w:rsidR="005103AB" w:rsidRPr="008573C5">
        <w:t>in the null and alternative form</w:t>
      </w:r>
      <w:r w:rsidR="00B0379E" w:rsidRPr="008573C5">
        <w:t>s</w:t>
      </w:r>
      <w:r w:rsidR="005103AB" w:rsidRPr="008573C5">
        <w:t>.</w:t>
      </w:r>
    </w:p>
    <w:p w:rsidR="005103AB" w:rsidRPr="008573C5" w:rsidRDefault="005103AB" w:rsidP="00FF5EDF">
      <w:pPr>
        <w:autoSpaceDE w:val="0"/>
        <w:autoSpaceDN w:val="0"/>
        <w:adjustRightInd w:val="0"/>
        <w:spacing w:line="360" w:lineRule="auto"/>
        <w:jc w:val="both"/>
      </w:pPr>
    </w:p>
    <w:p w:rsidR="007E1964" w:rsidRPr="008573C5" w:rsidRDefault="007E1964" w:rsidP="007E1964">
      <w:pPr>
        <w:spacing w:line="360" w:lineRule="auto"/>
      </w:pPr>
      <w:r w:rsidRPr="008573C5">
        <w:t>Hypothesis 1</w:t>
      </w:r>
    </w:p>
    <w:p w:rsidR="007E1964" w:rsidRPr="008573C5" w:rsidRDefault="007E1964" w:rsidP="007E1964">
      <w:pPr>
        <w:spacing w:line="360" w:lineRule="auto"/>
        <w:jc w:val="both"/>
        <w:rPr>
          <w:rFonts w:ascii="Times" w:hAnsi="Times" w:cs="Times"/>
        </w:rPr>
      </w:pPr>
      <w:r w:rsidRPr="008573C5">
        <w:rPr>
          <w:rFonts w:ascii="Times" w:hAnsi="Times" w:cs="Times"/>
        </w:rPr>
        <w:t>H</w:t>
      </w:r>
      <w:r w:rsidRPr="008573C5">
        <w:rPr>
          <w:rFonts w:ascii="Times" w:hAnsi="Times" w:cs="Times"/>
          <w:vertAlign w:val="subscript"/>
        </w:rPr>
        <w:t>o</w:t>
      </w:r>
      <w:r w:rsidRPr="008573C5">
        <w:rPr>
          <w:rFonts w:ascii="Times" w:hAnsi="Times" w:cs="Times"/>
        </w:rPr>
        <w:t xml:space="preserve">: There is no significant difference in the level of compliance with SASs disclosure requirements for listed financial and non-financial companies. </w:t>
      </w:r>
    </w:p>
    <w:p w:rsidR="007E1964" w:rsidRPr="008573C5" w:rsidRDefault="007E1964" w:rsidP="007E1964">
      <w:pPr>
        <w:spacing w:line="360" w:lineRule="auto"/>
        <w:jc w:val="both"/>
        <w:rPr>
          <w:rFonts w:ascii="Times" w:hAnsi="Times" w:cs="Times"/>
        </w:rPr>
      </w:pPr>
      <w:r w:rsidRPr="008573C5">
        <w:rPr>
          <w:rFonts w:ascii="Times" w:hAnsi="Times" w:cs="Times"/>
        </w:rPr>
        <w:t>H</w:t>
      </w:r>
      <w:r w:rsidRPr="008573C5">
        <w:rPr>
          <w:rFonts w:ascii="Times" w:hAnsi="Times" w:cs="Times"/>
          <w:vertAlign w:val="subscript"/>
        </w:rPr>
        <w:t>1</w:t>
      </w:r>
      <w:r w:rsidRPr="008573C5">
        <w:rPr>
          <w:rFonts w:ascii="Times" w:hAnsi="Times" w:cs="Times"/>
        </w:rPr>
        <w:t>: There is a significant difference in the level of compliance with SASs disclosure requirements for listed financial and non-financial companies.</w:t>
      </w:r>
    </w:p>
    <w:p w:rsidR="00B1269A" w:rsidRPr="008573C5" w:rsidRDefault="00B1269A" w:rsidP="0083145C">
      <w:pPr>
        <w:spacing w:line="360" w:lineRule="auto"/>
        <w:jc w:val="both"/>
      </w:pPr>
    </w:p>
    <w:p w:rsidR="00BA181B" w:rsidRPr="008573C5" w:rsidRDefault="00BA181B" w:rsidP="00BA181B">
      <w:pPr>
        <w:spacing w:line="360" w:lineRule="auto"/>
        <w:jc w:val="both"/>
      </w:pPr>
      <w:r w:rsidRPr="008573C5">
        <w:t>Hypothesis 2</w:t>
      </w:r>
    </w:p>
    <w:p w:rsidR="00BA181B" w:rsidRPr="008573C5" w:rsidRDefault="00BA181B" w:rsidP="00BA181B">
      <w:pPr>
        <w:spacing w:line="360" w:lineRule="auto"/>
        <w:jc w:val="both"/>
        <w:rPr>
          <w:rFonts w:ascii="Times" w:hAnsi="Times" w:cs="Times"/>
        </w:rPr>
      </w:pPr>
      <w:r w:rsidRPr="008573C5">
        <w:rPr>
          <w:rFonts w:ascii="Times" w:hAnsi="Times" w:cs="Times"/>
        </w:rPr>
        <w:t>H</w:t>
      </w:r>
      <w:r w:rsidRPr="008573C5">
        <w:rPr>
          <w:rFonts w:ascii="Times" w:hAnsi="Times" w:cs="Times"/>
          <w:vertAlign w:val="subscript"/>
        </w:rPr>
        <w:t>o</w:t>
      </w:r>
      <w:r w:rsidRPr="008573C5">
        <w:rPr>
          <w:rFonts w:ascii="Times" w:hAnsi="Times" w:cs="Times"/>
        </w:rPr>
        <w:t xml:space="preserve">: There is no significant difference in the level of compliance with IFRS/IAS disclosures not contained in the SAS for listed financial and non-financial companies. </w:t>
      </w:r>
    </w:p>
    <w:p w:rsidR="00BA181B" w:rsidRPr="008573C5" w:rsidRDefault="00BA181B" w:rsidP="00BA181B">
      <w:pPr>
        <w:spacing w:line="360" w:lineRule="auto"/>
        <w:jc w:val="both"/>
        <w:rPr>
          <w:rFonts w:ascii="Times" w:hAnsi="Times" w:cs="Times"/>
        </w:rPr>
      </w:pPr>
      <w:r w:rsidRPr="008573C5">
        <w:rPr>
          <w:rFonts w:ascii="Times" w:hAnsi="Times" w:cs="Times"/>
        </w:rPr>
        <w:t>H</w:t>
      </w:r>
      <w:r w:rsidRPr="008573C5">
        <w:rPr>
          <w:rFonts w:ascii="Times" w:hAnsi="Times" w:cs="Times"/>
          <w:vertAlign w:val="subscript"/>
        </w:rPr>
        <w:t>1</w:t>
      </w:r>
      <w:r w:rsidRPr="008573C5">
        <w:rPr>
          <w:rFonts w:ascii="Times" w:hAnsi="Times" w:cs="Times"/>
        </w:rPr>
        <w:t xml:space="preserve">: There is </w:t>
      </w:r>
      <w:r w:rsidR="001516FD" w:rsidRPr="008573C5">
        <w:rPr>
          <w:rFonts w:ascii="Times" w:hAnsi="Times" w:cs="Times"/>
        </w:rPr>
        <w:t>a</w:t>
      </w:r>
      <w:r w:rsidRPr="008573C5">
        <w:rPr>
          <w:rFonts w:ascii="Times" w:hAnsi="Times" w:cs="Times"/>
        </w:rPr>
        <w:t xml:space="preserve"> significant difference in the level of compliance with IFRS/IAS disclosures not contained in the SAS for listed financial and non-financial companies.</w:t>
      </w:r>
    </w:p>
    <w:p w:rsidR="00890396" w:rsidRPr="008573C5" w:rsidRDefault="00890396" w:rsidP="00BA181B">
      <w:pPr>
        <w:spacing w:line="360" w:lineRule="auto"/>
        <w:jc w:val="both"/>
      </w:pPr>
    </w:p>
    <w:p w:rsidR="00BA181B" w:rsidRPr="008573C5" w:rsidRDefault="00BA181B" w:rsidP="00BA181B">
      <w:pPr>
        <w:spacing w:line="360" w:lineRule="auto"/>
        <w:jc w:val="both"/>
      </w:pPr>
      <w:r w:rsidRPr="008573C5">
        <w:t>Hypothesis 3</w:t>
      </w:r>
    </w:p>
    <w:p w:rsidR="00BA181B" w:rsidRPr="008573C5" w:rsidRDefault="00BA181B" w:rsidP="00BA181B">
      <w:pPr>
        <w:spacing w:line="360" w:lineRule="auto"/>
        <w:jc w:val="both"/>
        <w:rPr>
          <w:rFonts w:ascii="Times" w:hAnsi="Times" w:cs="Times"/>
        </w:rPr>
      </w:pPr>
      <w:r w:rsidRPr="008573C5">
        <w:rPr>
          <w:rFonts w:ascii="Times" w:hAnsi="Times" w:cs="Times"/>
        </w:rPr>
        <w:t>H</w:t>
      </w:r>
      <w:r w:rsidRPr="008573C5">
        <w:rPr>
          <w:rFonts w:ascii="Times" w:hAnsi="Times" w:cs="Times"/>
          <w:vertAlign w:val="subscript"/>
        </w:rPr>
        <w:t>o</w:t>
      </w:r>
      <w:r w:rsidRPr="008573C5">
        <w:rPr>
          <w:rFonts w:ascii="Times" w:hAnsi="Times" w:cs="Times"/>
        </w:rPr>
        <w:t xml:space="preserve">: The level of voluntary disclosure by listed financial companies is not significantly different from that by listed non-financial companies. </w:t>
      </w:r>
    </w:p>
    <w:p w:rsidR="00BA181B" w:rsidRPr="008573C5" w:rsidRDefault="00BA181B" w:rsidP="00BA181B">
      <w:pPr>
        <w:spacing w:line="360" w:lineRule="auto"/>
        <w:jc w:val="both"/>
        <w:rPr>
          <w:rFonts w:ascii="Times" w:hAnsi="Times" w:cs="Times"/>
        </w:rPr>
      </w:pPr>
      <w:r w:rsidRPr="008573C5">
        <w:rPr>
          <w:rFonts w:ascii="Times" w:hAnsi="Times" w:cs="Times"/>
        </w:rPr>
        <w:t>H</w:t>
      </w:r>
      <w:r w:rsidRPr="008573C5">
        <w:rPr>
          <w:rFonts w:ascii="Times" w:hAnsi="Times" w:cs="Times"/>
          <w:vertAlign w:val="subscript"/>
        </w:rPr>
        <w:t>1</w:t>
      </w:r>
      <w:r w:rsidRPr="008573C5">
        <w:rPr>
          <w:rFonts w:ascii="Times" w:hAnsi="Times" w:cs="Times"/>
        </w:rPr>
        <w:t xml:space="preserve">: The level of voluntary disclosure by listed financial companies is significantly different from that by listed non-financial companies. </w:t>
      </w:r>
    </w:p>
    <w:p w:rsidR="000B2BFF" w:rsidRPr="008573C5" w:rsidRDefault="000B2BFF" w:rsidP="00FF5EDF">
      <w:pPr>
        <w:spacing w:line="360" w:lineRule="auto"/>
      </w:pPr>
    </w:p>
    <w:p w:rsidR="00FF5EDF" w:rsidRPr="008573C5" w:rsidRDefault="00FF5EDF" w:rsidP="00FF5EDF">
      <w:pPr>
        <w:spacing w:line="360" w:lineRule="auto"/>
      </w:pPr>
      <w:r w:rsidRPr="008573C5">
        <w:t xml:space="preserve">Hypothesis </w:t>
      </w:r>
      <w:r w:rsidR="00F37351" w:rsidRPr="008573C5">
        <w:t>4</w:t>
      </w:r>
    </w:p>
    <w:p w:rsidR="00FF5EDF" w:rsidRPr="008573C5" w:rsidRDefault="005103AB" w:rsidP="00FF5EDF">
      <w:pPr>
        <w:spacing w:line="360" w:lineRule="auto"/>
        <w:jc w:val="both"/>
        <w:rPr>
          <w:rFonts w:ascii="Times" w:hAnsi="Times" w:cs="Times"/>
        </w:rPr>
      </w:pPr>
      <w:r w:rsidRPr="008573C5">
        <w:rPr>
          <w:rFonts w:ascii="Times" w:hAnsi="Times" w:cs="Times"/>
        </w:rPr>
        <w:t>H</w:t>
      </w:r>
      <w:r w:rsidRPr="008573C5">
        <w:rPr>
          <w:rFonts w:ascii="Times" w:hAnsi="Times" w:cs="Times"/>
          <w:vertAlign w:val="subscript"/>
        </w:rPr>
        <w:t>o</w:t>
      </w:r>
      <w:r w:rsidRPr="008573C5">
        <w:rPr>
          <w:rFonts w:ascii="Times" w:hAnsi="Times" w:cs="Times"/>
        </w:rPr>
        <w:t xml:space="preserve">: </w:t>
      </w:r>
      <w:r w:rsidR="00FF5EDF" w:rsidRPr="008573C5">
        <w:rPr>
          <w:rFonts w:ascii="Times" w:hAnsi="Times" w:cs="Times"/>
        </w:rPr>
        <w:t xml:space="preserve">There is </w:t>
      </w:r>
      <w:r w:rsidR="00F37351" w:rsidRPr="008573C5">
        <w:rPr>
          <w:rFonts w:ascii="Times" w:hAnsi="Times" w:cs="Times"/>
        </w:rPr>
        <w:t xml:space="preserve">no </w:t>
      </w:r>
      <w:r w:rsidR="00FF5EDF" w:rsidRPr="008573C5">
        <w:rPr>
          <w:rFonts w:ascii="Times" w:hAnsi="Times" w:cs="Times"/>
        </w:rPr>
        <w:t>significant association between co</w:t>
      </w:r>
      <w:r w:rsidR="0074676C" w:rsidRPr="008573C5">
        <w:rPr>
          <w:rFonts w:ascii="Times" w:hAnsi="Times" w:cs="Times"/>
        </w:rPr>
        <w:t>mpany size</w:t>
      </w:r>
      <w:r w:rsidR="002E313A" w:rsidRPr="008573C5">
        <w:rPr>
          <w:rFonts w:ascii="Times" w:hAnsi="Times" w:cs="Times"/>
        </w:rPr>
        <w:t>, profitability, leverage, company age, industry type, size of audit firm and multinational</w:t>
      </w:r>
      <w:r w:rsidR="004D2BFF" w:rsidRPr="008573C5">
        <w:rPr>
          <w:rFonts w:ascii="Times" w:hAnsi="Times" w:cs="Times"/>
        </w:rPr>
        <w:t>ity</w:t>
      </w:r>
      <w:r w:rsidR="002E313A" w:rsidRPr="008573C5">
        <w:rPr>
          <w:rFonts w:ascii="Times" w:hAnsi="Times" w:cs="Times"/>
        </w:rPr>
        <w:t xml:space="preserve"> </w:t>
      </w:r>
      <w:r w:rsidR="0074676C" w:rsidRPr="008573C5">
        <w:rPr>
          <w:rFonts w:ascii="Times" w:hAnsi="Times" w:cs="Times"/>
        </w:rPr>
        <w:t>and the extent of</w:t>
      </w:r>
      <w:r w:rsidR="00FF5EDF" w:rsidRPr="008573C5">
        <w:rPr>
          <w:rFonts w:ascii="Times" w:hAnsi="Times" w:cs="Times"/>
        </w:rPr>
        <w:t xml:space="preserve"> disclosure by Nigerian listed companies. </w:t>
      </w:r>
    </w:p>
    <w:p w:rsidR="005103AB" w:rsidRPr="008573C5" w:rsidRDefault="005103AB" w:rsidP="005103AB">
      <w:pPr>
        <w:spacing w:line="360" w:lineRule="auto"/>
        <w:jc w:val="both"/>
        <w:rPr>
          <w:rFonts w:ascii="Times" w:hAnsi="Times" w:cs="Times"/>
        </w:rPr>
      </w:pPr>
      <w:r w:rsidRPr="008573C5">
        <w:rPr>
          <w:rFonts w:ascii="Times" w:hAnsi="Times" w:cs="Times"/>
        </w:rPr>
        <w:t>H</w:t>
      </w:r>
      <w:r w:rsidRPr="008573C5">
        <w:rPr>
          <w:rFonts w:ascii="Times" w:hAnsi="Times" w:cs="Times"/>
          <w:vertAlign w:val="subscript"/>
        </w:rPr>
        <w:t>1</w:t>
      </w:r>
      <w:r w:rsidRPr="008573C5">
        <w:rPr>
          <w:rFonts w:ascii="Times" w:hAnsi="Times" w:cs="Times"/>
        </w:rPr>
        <w:t xml:space="preserve">: </w:t>
      </w:r>
      <w:r w:rsidR="002E313A" w:rsidRPr="008573C5">
        <w:rPr>
          <w:rFonts w:ascii="Times" w:hAnsi="Times" w:cs="Times"/>
        </w:rPr>
        <w:t xml:space="preserve">There is </w:t>
      </w:r>
      <w:r w:rsidR="004F12A2" w:rsidRPr="008573C5">
        <w:rPr>
          <w:rFonts w:ascii="Times" w:hAnsi="Times" w:cs="Times"/>
        </w:rPr>
        <w:t>a</w:t>
      </w:r>
      <w:r w:rsidR="002E313A" w:rsidRPr="008573C5">
        <w:rPr>
          <w:rFonts w:ascii="Times" w:hAnsi="Times" w:cs="Times"/>
        </w:rPr>
        <w:t xml:space="preserve"> significant association between company size, profitability, leverage, company age, industry type, size of audit firm and multinational</w:t>
      </w:r>
      <w:r w:rsidR="004D2BFF" w:rsidRPr="008573C5">
        <w:rPr>
          <w:rFonts w:ascii="Times" w:hAnsi="Times" w:cs="Times"/>
        </w:rPr>
        <w:t>ity</w:t>
      </w:r>
      <w:r w:rsidR="002E313A" w:rsidRPr="008573C5">
        <w:rPr>
          <w:rFonts w:ascii="Times" w:hAnsi="Times" w:cs="Times"/>
        </w:rPr>
        <w:t xml:space="preserve"> and the extent of disclosure by Nigerian listed companies.</w:t>
      </w:r>
      <w:r w:rsidRPr="008573C5">
        <w:rPr>
          <w:rFonts w:ascii="Times" w:hAnsi="Times" w:cs="Times"/>
        </w:rPr>
        <w:t xml:space="preserve"> </w:t>
      </w:r>
    </w:p>
    <w:p w:rsidR="005103AB" w:rsidRPr="008573C5" w:rsidRDefault="005103AB" w:rsidP="00FF5EDF">
      <w:pPr>
        <w:spacing w:line="360" w:lineRule="auto"/>
        <w:jc w:val="both"/>
        <w:rPr>
          <w:rFonts w:ascii="Times" w:hAnsi="Times" w:cs="Times"/>
        </w:rPr>
      </w:pPr>
    </w:p>
    <w:p w:rsidR="00FF5EDF" w:rsidRPr="008573C5" w:rsidRDefault="00FF5EDF" w:rsidP="001A2E67">
      <w:pPr>
        <w:spacing w:line="360" w:lineRule="auto"/>
      </w:pPr>
      <w:r w:rsidRPr="008573C5">
        <w:t>Hypothes</w:t>
      </w:r>
      <w:r w:rsidR="00F37351" w:rsidRPr="008573C5">
        <w:t>is 5</w:t>
      </w:r>
    </w:p>
    <w:p w:rsidR="002E313A" w:rsidRPr="008573C5" w:rsidRDefault="002E313A" w:rsidP="00132F85">
      <w:pPr>
        <w:spacing w:line="360" w:lineRule="auto"/>
        <w:jc w:val="both"/>
      </w:pPr>
      <w:r w:rsidRPr="008573C5">
        <w:rPr>
          <w:rFonts w:ascii="Times" w:hAnsi="Times" w:cs="Times"/>
        </w:rPr>
        <w:t>H</w:t>
      </w:r>
      <w:r w:rsidRPr="008573C5">
        <w:rPr>
          <w:rFonts w:ascii="Times" w:hAnsi="Times" w:cs="Times"/>
          <w:vertAlign w:val="subscript"/>
        </w:rPr>
        <w:t>o</w:t>
      </w:r>
      <w:r w:rsidRPr="008573C5">
        <w:rPr>
          <w:rFonts w:ascii="Times" w:hAnsi="Times" w:cs="Times"/>
        </w:rPr>
        <w:t xml:space="preserve">: </w:t>
      </w:r>
      <w:r w:rsidR="00061D3B" w:rsidRPr="008573C5">
        <w:rPr>
          <w:rFonts w:ascii="Times" w:hAnsi="Times" w:cs="Times"/>
        </w:rPr>
        <w:t>There are</w:t>
      </w:r>
      <w:r w:rsidRPr="008573C5">
        <w:rPr>
          <w:rFonts w:ascii="Times" w:hAnsi="Times" w:cs="Times"/>
        </w:rPr>
        <w:t xml:space="preserve"> no </w:t>
      </w:r>
      <w:r w:rsidR="00061D3B" w:rsidRPr="008573C5">
        <w:t xml:space="preserve">consequences </w:t>
      </w:r>
      <w:r w:rsidR="00CD5A0B" w:rsidRPr="008573C5">
        <w:t>to</w:t>
      </w:r>
      <w:r w:rsidR="00061D3B" w:rsidRPr="008573C5">
        <w:t xml:space="preserve"> non-compliance with the disclosure requirements of the accounting standards.</w:t>
      </w:r>
      <w:r w:rsidRPr="008573C5">
        <w:t xml:space="preserve"> </w:t>
      </w:r>
    </w:p>
    <w:p w:rsidR="00542CC4" w:rsidRPr="008573C5" w:rsidRDefault="00542CC4" w:rsidP="00132F85">
      <w:pPr>
        <w:spacing w:line="360" w:lineRule="auto"/>
        <w:jc w:val="both"/>
      </w:pPr>
      <w:r w:rsidRPr="008573C5">
        <w:rPr>
          <w:rFonts w:ascii="Times" w:hAnsi="Times" w:cs="Times"/>
        </w:rPr>
        <w:t>H</w:t>
      </w:r>
      <w:r w:rsidRPr="008573C5">
        <w:rPr>
          <w:rFonts w:ascii="Times" w:hAnsi="Times" w:cs="Times"/>
          <w:vertAlign w:val="subscript"/>
        </w:rPr>
        <w:t>1</w:t>
      </w:r>
      <w:r w:rsidRPr="008573C5">
        <w:rPr>
          <w:rFonts w:ascii="Times" w:hAnsi="Times" w:cs="Times"/>
        </w:rPr>
        <w:t xml:space="preserve">: There </w:t>
      </w:r>
      <w:r w:rsidR="00061D3B" w:rsidRPr="008573C5">
        <w:rPr>
          <w:rFonts w:ascii="Times" w:hAnsi="Times" w:cs="Times"/>
        </w:rPr>
        <w:t xml:space="preserve">are </w:t>
      </w:r>
      <w:r w:rsidR="00061D3B" w:rsidRPr="008573C5">
        <w:t xml:space="preserve">consequences </w:t>
      </w:r>
      <w:r w:rsidR="00CD5A0B" w:rsidRPr="008573C5">
        <w:t>to</w:t>
      </w:r>
      <w:r w:rsidR="00061D3B" w:rsidRPr="008573C5">
        <w:t xml:space="preserve"> non-compliance with the disclosure requirements of the accounting standards.</w:t>
      </w:r>
    </w:p>
    <w:p w:rsidR="00132F85" w:rsidRPr="008573C5" w:rsidRDefault="00132F85" w:rsidP="00132F85">
      <w:pPr>
        <w:spacing w:line="360" w:lineRule="auto"/>
        <w:jc w:val="both"/>
      </w:pPr>
    </w:p>
    <w:p w:rsidR="00FF5EDF" w:rsidRPr="008573C5" w:rsidRDefault="009D201B" w:rsidP="00FF5EDF">
      <w:pPr>
        <w:spacing w:line="360" w:lineRule="auto"/>
        <w:jc w:val="both"/>
        <w:rPr>
          <w:b/>
          <w:sz w:val="28"/>
          <w:szCs w:val="28"/>
        </w:rPr>
      </w:pPr>
      <w:r w:rsidRPr="008573C5">
        <w:rPr>
          <w:b/>
          <w:sz w:val="28"/>
          <w:szCs w:val="28"/>
        </w:rPr>
        <w:t>1.5</w:t>
      </w:r>
      <w:r w:rsidR="00EF281F" w:rsidRPr="008573C5">
        <w:rPr>
          <w:b/>
          <w:sz w:val="28"/>
          <w:szCs w:val="28"/>
        </w:rPr>
        <w:t xml:space="preserve">   </w:t>
      </w:r>
      <w:r w:rsidR="00FF5EDF" w:rsidRPr="008573C5">
        <w:rPr>
          <w:b/>
          <w:sz w:val="28"/>
          <w:szCs w:val="28"/>
        </w:rPr>
        <w:t>S</w:t>
      </w:r>
      <w:r w:rsidR="00815A36" w:rsidRPr="008573C5">
        <w:rPr>
          <w:b/>
          <w:sz w:val="28"/>
          <w:szCs w:val="28"/>
        </w:rPr>
        <w:t>ignificance of the Study</w:t>
      </w:r>
    </w:p>
    <w:p w:rsidR="00BD2DB7" w:rsidRPr="008573C5" w:rsidRDefault="00E909B2" w:rsidP="00FB169E">
      <w:pPr>
        <w:spacing w:line="360" w:lineRule="auto"/>
        <w:jc w:val="both"/>
      </w:pPr>
      <w:r w:rsidRPr="008573C5">
        <w:t xml:space="preserve">Accurate </w:t>
      </w:r>
      <w:r w:rsidR="00B23CF0" w:rsidRPr="008573C5">
        <w:t>corporate</w:t>
      </w:r>
      <w:r w:rsidRPr="008573C5">
        <w:t xml:space="preserve"> reporting is a necessary tool for the short </w:t>
      </w:r>
      <w:r w:rsidR="00C50B0B" w:rsidRPr="008573C5">
        <w:t>–</w:t>
      </w:r>
      <w:r w:rsidRPr="008573C5">
        <w:t xml:space="preserve"> and</w:t>
      </w:r>
      <w:r w:rsidR="00C50B0B" w:rsidRPr="008573C5">
        <w:t xml:space="preserve"> </w:t>
      </w:r>
      <w:r w:rsidRPr="008573C5">
        <w:t>long term survival of any nation. It aids budgeting, planning and decision making. I</w:t>
      </w:r>
      <w:r w:rsidR="00FB169E" w:rsidRPr="008573C5">
        <w:t xml:space="preserve">t had been suggested by previous researchers that institutions in developed economy cannot be transplanted </w:t>
      </w:r>
      <w:r w:rsidR="00B23CF0" w:rsidRPr="008573C5">
        <w:t>in developing economies and so</w:t>
      </w:r>
      <w:r w:rsidR="00FB169E" w:rsidRPr="008573C5">
        <w:t xml:space="preserve"> research </w:t>
      </w:r>
      <w:r w:rsidR="00B23CF0" w:rsidRPr="008573C5">
        <w:t>on disclosure practices</w:t>
      </w:r>
      <w:r w:rsidR="00FB169E" w:rsidRPr="008573C5">
        <w:t xml:space="preserve"> in a country like Nigeria will enable us to have a thorough understanding of the nature of corporate reporting in developing countries </w:t>
      </w:r>
      <w:r w:rsidR="0026312E" w:rsidRPr="008573C5">
        <w:t>(Wallace, 1988:352).</w:t>
      </w:r>
      <w:r w:rsidR="001C5249" w:rsidRPr="008573C5">
        <w:t xml:space="preserve"> Disclosure practices by Nigerian companies </w:t>
      </w:r>
      <w:r w:rsidR="0027574B" w:rsidRPr="008573C5">
        <w:t>were</w:t>
      </w:r>
      <w:r w:rsidR="001C5249" w:rsidRPr="008573C5">
        <w:t xml:space="preserve"> empirically investigated by Wallace (1988:352)</w:t>
      </w:r>
      <w:r w:rsidR="001C5249" w:rsidRPr="008573C5">
        <w:rPr>
          <w:iCs/>
        </w:rPr>
        <w:t>, Okike (2000:39), Adeyemi (2006:</w:t>
      </w:r>
      <w:r w:rsidR="004804A9" w:rsidRPr="008573C5">
        <w:rPr>
          <w:iCs/>
        </w:rPr>
        <w:t>1</w:t>
      </w:r>
      <w:r w:rsidR="001C5249" w:rsidRPr="008573C5">
        <w:rPr>
          <w:iCs/>
        </w:rPr>
        <w:t>) and Ofoegbu and Okoye (2006:45)</w:t>
      </w:r>
      <w:r w:rsidR="00A92573" w:rsidRPr="008573C5">
        <w:rPr>
          <w:iCs/>
        </w:rPr>
        <w:t xml:space="preserve"> in the past, and</w:t>
      </w:r>
      <w:r w:rsidR="001C5249" w:rsidRPr="008573C5">
        <w:rPr>
          <w:iCs/>
        </w:rPr>
        <w:t xml:space="preserve"> </w:t>
      </w:r>
      <w:r w:rsidR="00A92573" w:rsidRPr="008573C5">
        <w:rPr>
          <w:iCs/>
        </w:rPr>
        <w:t>they all discovered that corporate reporting practices in Nigeria is def</w:t>
      </w:r>
      <w:r w:rsidR="00FB169E" w:rsidRPr="008573C5">
        <w:t>icient</w:t>
      </w:r>
      <w:r w:rsidR="001C5249" w:rsidRPr="008573C5">
        <w:t xml:space="preserve">. </w:t>
      </w:r>
      <w:r w:rsidR="00BD2DB7" w:rsidRPr="008573C5">
        <w:t>However, the following have been identified</w:t>
      </w:r>
      <w:r w:rsidR="00F97B0E" w:rsidRPr="008573C5">
        <w:t xml:space="preserve"> as t</w:t>
      </w:r>
      <w:r w:rsidR="00BD2DB7" w:rsidRPr="008573C5">
        <w:t>he existing gap in knowledge</w:t>
      </w:r>
      <w:r w:rsidR="00F97B0E" w:rsidRPr="008573C5">
        <w:t>:</w:t>
      </w:r>
    </w:p>
    <w:p w:rsidR="003908B0" w:rsidRPr="008573C5" w:rsidRDefault="002A5770" w:rsidP="00BD2DB7">
      <w:pPr>
        <w:pStyle w:val="ListParagraph"/>
        <w:numPr>
          <w:ilvl w:val="0"/>
          <w:numId w:val="33"/>
        </w:numPr>
        <w:spacing w:line="360" w:lineRule="auto"/>
        <w:jc w:val="both"/>
        <w:rPr>
          <w:rFonts w:ascii="Times New Roman" w:hAnsi="Times New Roman"/>
          <w:sz w:val="24"/>
          <w:szCs w:val="24"/>
        </w:rPr>
      </w:pPr>
      <w:r w:rsidRPr="008573C5">
        <w:rPr>
          <w:rFonts w:ascii="Times New Roman" w:hAnsi="Times New Roman"/>
          <w:sz w:val="24"/>
          <w:szCs w:val="24"/>
        </w:rPr>
        <w:t>There is no comprehensive research on the compliance of listed Nigerian companies with the accounting standards (local and International) and factors influencing them.</w:t>
      </w:r>
    </w:p>
    <w:p w:rsidR="003908B0" w:rsidRPr="008573C5" w:rsidRDefault="002A5770" w:rsidP="00BD2DB7">
      <w:pPr>
        <w:numPr>
          <w:ilvl w:val="0"/>
          <w:numId w:val="33"/>
        </w:numPr>
        <w:spacing w:line="360" w:lineRule="auto"/>
        <w:jc w:val="both"/>
      </w:pPr>
      <w:r w:rsidRPr="008573C5">
        <w:t>The analysis of previous researchers deals with only the accounting standards in issue at the period of their study. Accounting standards are being issued perpetually and there is a need to keep pace with the compliance of companies with these Standards.</w:t>
      </w:r>
    </w:p>
    <w:p w:rsidR="00BD2DB7" w:rsidRPr="008573C5" w:rsidRDefault="002A5770" w:rsidP="00FB169E">
      <w:pPr>
        <w:numPr>
          <w:ilvl w:val="0"/>
          <w:numId w:val="33"/>
        </w:numPr>
        <w:spacing w:line="360" w:lineRule="auto"/>
        <w:jc w:val="both"/>
      </w:pPr>
      <w:r w:rsidRPr="008573C5">
        <w:t xml:space="preserve">The rapidly changing global economic and financial environment calls for a constant update in this area of study. </w:t>
      </w:r>
    </w:p>
    <w:p w:rsidR="00B067C5" w:rsidRPr="008573C5" w:rsidRDefault="00B067C5" w:rsidP="00AE05F4">
      <w:pPr>
        <w:spacing w:line="360" w:lineRule="auto"/>
        <w:jc w:val="both"/>
        <w:rPr>
          <w:bCs/>
        </w:rPr>
      </w:pPr>
    </w:p>
    <w:p w:rsidR="00AE05F4" w:rsidRPr="008573C5" w:rsidRDefault="004C31E2" w:rsidP="00AE05F4">
      <w:pPr>
        <w:spacing w:line="360" w:lineRule="auto"/>
        <w:jc w:val="both"/>
        <w:rPr>
          <w:bCs/>
        </w:rPr>
      </w:pPr>
      <w:r w:rsidRPr="008573C5">
        <w:rPr>
          <w:bCs/>
        </w:rPr>
        <w:t>T</w:t>
      </w:r>
      <w:r w:rsidR="00AE05F4" w:rsidRPr="008573C5">
        <w:rPr>
          <w:bCs/>
        </w:rPr>
        <w:t xml:space="preserve">his study intends to fill the </w:t>
      </w:r>
      <w:r w:rsidRPr="008573C5">
        <w:rPr>
          <w:bCs/>
        </w:rPr>
        <w:t xml:space="preserve">currently observed </w:t>
      </w:r>
      <w:r w:rsidR="00AE05F4" w:rsidRPr="008573C5">
        <w:rPr>
          <w:bCs/>
        </w:rPr>
        <w:t xml:space="preserve">gap </w:t>
      </w:r>
      <w:r w:rsidR="00987554" w:rsidRPr="008573C5">
        <w:rPr>
          <w:bCs/>
        </w:rPr>
        <w:t>by</w:t>
      </w:r>
      <w:r w:rsidR="00AE05F4" w:rsidRPr="008573C5">
        <w:rPr>
          <w:bCs/>
        </w:rPr>
        <w:t xml:space="preserve"> considering</w:t>
      </w:r>
      <w:r w:rsidR="00FC75D0" w:rsidRPr="008573C5">
        <w:rPr>
          <w:bCs/>
        </w:rPr>
        <w:t xml:space="preserve"> the</w:t>
      </w:r>
      <w:r w:rsidR="00B733BD" w:rsidRPr="008573C5">
        <w:rPr>
          <w:bCs/>
        </w:rPr>
        <w:t>:</w:t>
      </w:r>
      <w:r w:rsidR="00AE05F4" w:rsidRPr="008573C5">
        <w:rPr>
          <w:bCs/>
        </w:rPr>
        <w:t xml:space="preserve"> </w:t>
      </w:r>
    </w:p>
    <w:p w:rsidR="00AE05F4" w:rsidRPr="008573C5" w:rsidRDefault="00B0379E" w:rsidP="00085210">
      <w:pPr>
        <w:numPr>
          <w:ilvl w:val="0"/>
          <w:numId w:val="28"/>
        </w:numPr>
        <w:spacing w:line="360" w:lineRule="auto"/>
        <w:jc w:val="both"/>
        <w:rPr>
          <w:bCs/>
        </w:rPr>
      </w:pPr>
      <w:r w:rsidRPr="008573C5">
        <w:rPr>
          <w:bCs/>
        </w:rPr>
        <w:t>latest available</w:t>
      </w:r>
      <w:r w:rsidR="00AE05F4" w:rsidRPr="008573C5">
        <w:rPr>
          <w:bCs/>
        </w:rPr>
        <w:t xml:space="preserve"> version of annual reports during the field work</w:t>
      </w:r>
      <w:r w:rsidR="00B733BD" w:rsidRPr="008573C5">
        <w:rPr>
          <w:bCs/>
        </w:rPr>
        <w:t xml:space="preserve"> (year 2006)</w:t>
      </w:r>
      <w:r w:rsidR="0027574B" w:rsidRPr="008573C5">
        <w:rPr>
          <w:bCs/>
        </w:rPr>
        <w:t>;</w:t>
      </w:r>
    </w:p>
    <w:p w:rsidR="00B733BD" w:rsidRPr="008573C5" w:rsidRDefault="00B733BD" w:rsidP="00085210">
      <w:pPr>
        <w:numPr>
          <w:ilvl w:val="0"/>
          <w:numId w:val="28"/>
        </w:numPr>
        <w:spacing w:line="360" w:lineRule="auto"/>
        <w:jc w:val="both"/>
        <w:rPr>
          <w:bCs/>
        </w:rPr>
      </w:pPr>
      <w:r w:rsidRPr="008573C5">
        <w:rPr>
          <w:bCs/>
        </w:rPr>
        <w:t xml:space="preserve">requirements of </w:t>
      </w:r>
      <w:r w:rsidR="00AE05F4" w:rsidRPr="008573C5">
        <w:rPr>
          <w:bCs/>
        </w:rPr>
        <w:t xml:space="preserve">local and international accounting standards operational </w:t>
      </w:r>
      <w:r w:rsidR="004D2BFF" w:rsidRPr="008573C5">
        <w:rPr>
          <w:bCs/>
        </w:rPr>
        <w:t>at the time of study;</w:t>
      </w:r>
      <w:r w:rsidR="00AE05F4" w:rsidRPr="008573C5">
        <w:rPr>
          <w:bCs/>
        </w:rPr>
        <w:t xml:space="preserve"> </w:t>
      </w:r>
    </w:p>
    <w:p w:rsidR="00AE05F4" w:rsidRPr="008573C5" w:rsidRDefault="004C31E2" w:rsidP="00085210">
      <w:pPr>
        <w:numPr>
          <w:ilvl w:val="0"/>
          <w:numId w:val="28"/>
        </w:numPr>
        <w:spacing w:line="360" w:lineRule="auto"/>
        <w:jc w:val="both"/>
        <w:rPr>
          <w:bCs/>
        </w:rPr>
      </w:pPr>
      <w:r w:rsidRPr="008573C5">
        <w:rPr>
          <w:bCs/>
        </w:rPr>
        <w:t>v</w:t>
      </w:r>
      <w:r w:rsidR="00B733BD" w:rsidRPr="008573C5">
        <w:rPr>
          <w:bCs/>
        </w:rPr>
        <w:t>o</w:t>
      </w:r>
      <w:r w:rsidR="00AE05F4" w:rsidRPr="008573C5">
        <w:rPr>
          <w:bCs/>
        </w:rPr>
        <w:t>luntary disclosur</w:t>
      </w:r>
      <w:r w:rsidRPr="008573C5">
        <w:rPr>
          <w:bCs/>
        </w:rPr>
        <w:t>es based on contemporary issues;</w:t>
      </w:r>
    </w:p>
    <w:p w:rsidR="00AE05F4" w:rsidRPr="008573C5" w:rsidRDefault="004C31E2" w:rsidP="00085210">
      <w:pPr>
        <w:numPr>
          <w:ilvl w:val="0"/>
          <w:numId w:val="28"/>
        </w:numPr>
        <w:spacing w:line="360" w:lineRule="auto"/>
        <w:jc w:val="both"/>
        <w:rPr>
          <w:bCs/>
        </w:rPr>
      </w:pPr>
      <w:r w:rsidRPr="008573C5">
        <w:rPr>
          <w:bCs/>
        </w:rPr>
        <w:t>f</w:t>
      </w:r>
      <w:r w:rsidR="00AE05F4" w:rsidRPr="008573C5">
        <w:rPr>
          <w:bCs/>
        </w:rPr>
        <w:t xml:space="preserve">actors influencing the extent of information disclosure in the annual reports of listed </w:t>
      </w:r>
      <w:r w:rsidR="004D2BFF" w:rsidRPr="008573C5">
        <w:rPr>
          <w:bCs/>
        </w:rPr>
        <w:t>companies</w:t>
      </w:r>
      <w:r w:rsidR="00AE05F4" w:rsidRPr="008573C5">
        <w:rPr>
          <w:bCs/>
        </w:rPr>
        <w:t xml:space="preserve"> in Nigeria</w:t>
      </w:r>
      <w:r w:rsidR="00B733BD" w:rsidRPr="008573C5">
        <w:rPr>
          <w:bCs/>
        </w:rPr>
        <w:t xml:space="preserve">. This </w:t>
      </w:r>
      <w:r w:rsidR="00031CA1" w:rsidRPr="008573C5">
        <w:rPr>
          <w:bCs/>
        </w:rPr>
        <w:t>is</w:t>
      </w:r>
      <w:r w:rsidR="00AE05F4" w:rsidRPr="008573C5">
        <w:rPr>
          <w:bCs/>
        </w:rPr>
        <w:t xml:space="preserve"> examined empirically to determine w</w:t>
      </w:r>
      <w:r w:rsidR="00AE05F4" w:rsidRPr="008573C5">
        <w:t xml:space="preserve">hether the corporate characteristics found relevant in previous studies are </w:t>
      </w:r>
      <w:r w:rsidRPr="008573C5">
        <w:t>also identified in this research</w:t>
      </w:r>
      <w:r w:rsidR="0027574B" w:rsidRPr="008573C5">
        <w:t xml:space="preserve"> or not</w:t>
      </w:r>
      <w:r w:rsidRPr="008573C5">
        <w:t>; and</w:t>
      </w:r>
      <w:r w:rsidR="00AE05F4" w:rsidRPr="008573C5">
        <w:t xml:space="preserve"> </w:t>
      </w:r>
    </w:p>
    <w:p w:rsidR="00AE05F4" w:rsidRPr="008573C5" w:rsidRDefault="00AE05F4" w:rsidP="00085210">
      <w:pPr>
        <w:numPr>
          <w:ilvl w:val="0"/>
          <w:numId w:val="28"/>
        </w:numPr>
        <w:spacing w:line="360" w:lineRule="auto"/>
        <w:jc w:val="both"/>
        <w:rPr>
          <w:bCs/>
        </w:rPr>
      </w:pPr>
      <w:r w:rsidRPr="008573C5">
        <w:t>view</w:t>
      </w:r>
      <w:r w:rsidR="00B733BD" w:rsidRPr="008573C5">
        <w:t>s</w:t>
      </w:r>
      <w:r w:rsidRPr="008573C5">
        <w:t xml:space="preserve"> of preparers, auditors and users of accounting </w:t>
      </w:r>
      <w:r w:rsidR="00B07B75" w:rsidRPr="008573C5">
        <w:t>information on</w:t>
      </w:r>
      <w:r w:rsidRPr="008573C5">
        <w:t xml:space="preserve"> the disclosure practices of listed </w:t>
      </w:r>
      <w:r w:rsidR="00B07B75" w:rsidRPr="008573C5">
        <w:t>c</w:t>
      </w:r>
      <w:r w:rsidRPr="008573C5">
        <w:t>ompanies</w:t>
      </w:r>
      <w:r w:rsidR="00B07B75" w:rsidRPr="008573C5">
        <w:t xml:space="preserve"> in Nigeria</w:t>
      </w:r>
      <w:r w:rsidRPr="008573C5">
        <w:t xml:space="preserve"> and on </w:t>
      </w:r>
      <w:r w:rsidR="00B07B75" w:rsidRPr="008573C5">
        <w:t xml:space="preserve">the </w:t>
      </w:r>
      <w:r w:rsidRPr="008573C5">
        <w:t>consequences of nondisclosure of relevant accounting information.</w:t>
      </w:r>
    </w:p>
    <w:p w:rsidR="00AE05F4" w:rsidRPr="008573C5" w:rsidRDefault="00AE05F4" w:rsidP="00FF5EDF">
      <w:pPr>
        <w:spacing w:line="360" w:lineRule="auto"/>
        <w:jc w:val="both"/>
      </w:pPr>
    </w:p>
    <w:p w:rsidR="00FB169E" w:rsidRPr="008573C5" w:rsidRDefault="00FB169E" w:rsidP="00FB169E">
      <w:pPr>
        <w:spacing w:line="360" w:lineRule="auto"/>
        <w:jc w:val="both"/>
        <w:rPr>
          <w:lang w:val="en-GB"/>
        </w:rPr>
      </w:pPr>
      <w:r w:rsidRPr="008573C5">
        <w:t xml:space="preserve">It has been identified that several </w:t>
      </w:r>
      <w:r w:rsidRPr="008573C5">
        <w:rPr>
          <w:lang w:val="en-GB"/>
        </w:rPr>
        <w:t>groups of people have vested interest in a business enterprise (Glautier and Underdown (1997: 11). The study is significant to government, investors, business manage</w:t>
      </w:r>
      <w:r w:rsidR="0026312E" w:rsidRPr="008573C5">
        <w:rPr>
          <w:lang w:val="en-GB"/>
        </w:rPr>
        <w:t>ment</w:t>
      </w:r>
      <w:r w:rsidRPr="008573C5">
        <w:rPr>
          <w:lang w:val="en-GB"/>
        </w:rPr>
        <w:t>, regulatory bodies, educators, researchers, accountants</w:t>
      </w:r>
      <w:r w:rsidR="0026312E" w:rsidRPr="008573C5">
        <w:rPr>
          <w:lang w:val="en-GB"/>
        </w:rPr>
        <w:t>,</w:t>
      </w:r>
      <w:r w:rsidRPr="008573C5">
        <w:rPr>
          <w:lang w:val="en-GB"/>
        </w:rPr>
        <w:t xml:space="preserve"> auditors</w:t>
      </w:r>
      <w:r w:rsidR="0026312E" w:rsidRPr="008573C5">
        <w:rPr>
          <w:lang w:val="en-GB"/>
        </w:rPr>
        <w:t xml:space="preserve"> and scholars particul</w:t>
      </w:r>
      <w:r w:rsidR="004D2BFF" w:rsidRPr="008573C5">
        <w:rPr>
          <w:lang w:val="en-GB"/>
        </w:rPr>
        <w:t>arly in the field of accounting</w:t>
      </w:r>
      <w:r w:rsidRPr="008573C5">
        <w:rPr>
          <w:lang w:val="en-GB"/>
        </w:rPr>
        <w:t xml:space="preserve">. </w:t>
      </w:r>
      <w:r w:rsidRPr="008573C5">
        <w:t>This research seeks to make theoretical and practical contributions to the field of accounting in the area of accounting disclosures.</w:t>
      </w:r>
      <w:r w:rsidR="0059201F" w:rsidRPr="008573C5">
        <w:t xml:space="preserve"> It will particularly enhance the quality of literature in the field of accounting in Nigeria.</w:t>
      </w:r>
      <w:r w:rsidRPr="008573C5">
        <w:t xml:space="preserve"> </w:t>
      </w:r>
      <w:r w:rsidRPr="008573C5">
        <w:rPr>
          <w:lang w:val="en-GB"/>
        </w:rPr>
        <w:t>Researchers in th</w:t>
      </w:r>
      <w:r w:rsidR="0059201F" w:rsidRPr="008573C5">
        <w:rPr>
          <w:lang w:val="en-GB"/>
        </w:rPr>
        <w:t xml:space="preserve">is </w:t>
      </w:r>
      <w:r w:rsidRPr="008573C5">
        <w:rPr>
          <w:lang w:val="en-GB"/>
        </w:rPr>
        <w:t xml:space="preserve">field would benefit from the study because it can serve as a bench mark for future research on corporate disclosure. </w:t>
      </w:r>
      <w:r w:rsidRPr="008573C5">
        <w:t xml:space="preserve">It throws more light and adds to understanding on the corporate disclosure practices which would be of advantage to </w:t>
      </w:r>
      <w:r w:rsidRPr="008573C5">
        <w:rPr>
          <w:lang w:val="en-GB"/>
        </w:rPr>
        <w:t>educators and students.</w:t>
      </w:r>
    </w:p>
    <w:p w:rsidR="00FB169E" w:rsidRPr="008573C5" w:rsidRDefault="00FB169E" w:rsidP="00FB169E">
      <w:pPr>
        <w:spacing w:line="360" w:lineRule="auto"/>
        <w:jc w:val="both"/>
        <w:rPr>
          <w:lang w:val="en-GB"/>
        </w:rPr>
      </w:pPr>
    </w:p>
    <w:p w:rsidR="004D1CEE" w:rsidRPr="008573C5" w:rsidRDefault="004D1CEE" w:rsidP="004D1CEE">
      <w:pPr>
        <w:spacing w:line="360" w:lineRule="auto"/>
        <w:jc w:val="both"/>
        <w:rPr>
          <w:lang w:val="en-GB"/>
        </w:rPr>
      </w:pPr>
      <w:r w:rsidRPr="008573C5">
        <w:rPr>
          <w:lang w:val="en-GB"/>
        </w:rPr>
        <w:t xml:space="preserve">With the outcome of this research, the regulatory authorities, such as the Nigerian Accounting Standards Board (NASB), </w:t>
      </w:r>
      <w:r w:rsidRPr="008573C5">
        <w:t>Nigerian Stock Exchange (NSE) and Securities and Exchange Commission (SEC) would be able to ascertain the extent of compliance with the mandatory national standards. This will help them to issue out necessary compliance directive</w:t>
      </w:r>
      <w:r w:rsidR="00376C6E" w:rsidRPr="008573C5">
        <w:t>s</w:t>
      </w:r>
      <w:r w:rsidRPr="008573C5">
        <w:t xml:space="preserve"> and </w:t>
      </w:r>
      <w:r w:rsidR="003554EF" w:rsidRPr="008573C5">
        <w:t>improve</w:t>
      </w:r>
      <w:r w:rsidRPr="008573C5">
        <w:t xml:space="preserve"> the </w:t>
      </w:r>
      <w:r w:rsidR="00376C6E" w:rsidRPr="008573C5">
        <w:t xml:space="preserve">compliance mechanisms </w:t>
      </w:r>
      <w:r w:rsidRPr="008573C5">
        <w:t xml:space="preserve">to ensure </w:t>
      </w:r>
      <w:r w:rsidR="00376C6E" w:rsidRPr="008573C5">
        <w:t xml:space="preserve">a reasonable level of </w:t>
      </w:r>
      <w:r w:rsidRPr="008573C5">
        <w:t>compliance</w:t>
      </w:r>
      <w:r w:rsidR="00376C6E" w:rsidRPr="008573C5">
        <w:t xml:space="preserve"> by all co</w:t>
      </w:r>
      <w:r w:rsidR="00073DE9" w:rsidRPr="008573C5">
        <w:t>m</w:t>
      </w:r>
      <w:r w:rsidR="00376C6E" w:rsidRPr="008573C5">
        <w:t>panies</w:t>
      </w:r>
      <w:r w:rsidRPr="008573C5">
        <w:t xml:space="preserve">. </w:t>
      </w:r>
      <w:r w:rsidR="00376C6E" w:rsidRPr="008573C5">
        <w:t xml:space="preserve">With the knowledge of the </w:t>
      </w:r>
      <w:r w:rsidRPr="008573C5">
        <w:t xml:space="preserve">extent of compliance with the </w:t>
      </w:r>
      <w:r w:rsidR="00376C6E" w:rsidRPr="008573C5">
        <w:t>IASs/</w:t>
      </w:r>
      <w:r w:rsidRPr="008573C5">
        <w:t>I</w:t>
      </w:r>
      <w:r w:rsidRPr="008573C5">
        <w:rPr>
          <w:lang w:val="en-GB"/>
        </w:rPr>
        <w:t>FRSs</w:t>
      </w:r>
      <w:r w:rsidR="00376C6E" w:rsidRPr="008573C5">
        <w:rPr>
          <w:lang w:val="en-GB"/>
        </w:rPr>
        <w:t xml:space="preserve">, the government </w:t>
      </w:r>
      <w:r w:rsidRPr="008573C5">
        <w:rPr>
          <w:lang w:val="en-GB"/>
        </w:rPr>
        <w:t xml:space="preserve">will </w:t>
      </w:r>
      <w:r w:rsidR="00376C6E" w:rsidRPr="008573C5">
        <w:rPr>
          <w:lang w:val="en-GB"/>
        </w:rPr>
        <w:t xml:space="preserve">enforce directives that would </w:t>
      </w:r>
      <w:r w:rsidRPr="008573C5">
        <w:rPr>
          <w:lang w:val="en-GB"/>
        </w:rPr>
        <w:t>help in facilitating the harmonization process with the international standards.</w:t>
      </w:r>
      <w:r w:rsidR="00B07B75" w:rsidRPr="008573C5">
        <w:rPr>
          <w:lang w:val="en-GB"/>
        </w:rPr>
        <w:t xml:space="preserve"> </w:t>
      </w:r>
    </w:p>
    <w:p w:rsidR="004D1CEE" w:rsidRPr="008573C5" w:rsidRDefault="004D1CEE" w:rsidP="004A2500">
      <w:pPr>
        <w:spacing w:line="360" w:lineRule="auto"/>
        <w:jc w:val="both"/>
        <w:rPr>
          <w:lang w:val="en-GB"/>
        </w:rPr>
      </w:pPr>
    </w:p>
    <w:p w:rsidR="00FF5EDF" w:rsidRPr="008573C5" w:rsidRDefault="00FF5EDF" w:rsidP="00FF5EDF">
      <w:pPr>
        <w:spacing w:line="360" w:lineRule="auto"/>
        <w:jc w:val="both"/>
        <w:rPr>
          <w:lang w:val="en-GB"/>
        </w:rPr>
      </w:pPr>
      <w:r w:rsidRPr="008573C5">
        <w:t xml:space="preserve">The disclosure index generated in this study and the factors influencing disclosure </w:t>
      </w:r>
      <w:r w:rsidR="003554EF" w:rsidRPr="008573C5">
        <w:t>are</w:t>
      </w:r>
      <w:r w:rsidRPr="008573C5">
        <w:t xml:space="preserve"> expected to assist local and foreign investors in making more informed d</w:t>
      </w:r>
      <w:r w:rsidR="000C6D2E" w:rsidRPr="008573C5">
        <w:t xml:space="preserve">ecisions. </w:t>
      </w:r>
      <w:r w:rsidR="00987554" w:rsidRPr="008573C5">
        <w:t>In previous research</w:t>
      </w:r>
      <w:r w:rsidRPr="008573C5">
        <w:t xml:space="preserve"> it </w:t>
      </w:r>
      <w:r w:rsidR="0027574B" w:rsidRPr="008573C5">
        <w:t>was</w:t>
      </w:r>
      <w:r w:rsidRPr="008573C5">
        <w:t xml:space="preserve"> discovered that the quality of</w:t>
      </w:r>
      <w:r w:rsidR="0027574B" w:rsidRPr="008573C5">
        <w:t xml:space="preserve"> corporate disclosure influenced</w:t>
      </w:r>
      <w:r w:rsidRPr="008573C5">
        <w:t xml:space="preserve"> the quality of investment decision made by investors (Singhvi and Desai, 1971: 129). Adequate corporate disclosure will raise confidence of current and potential investors</w:t>
      </w:r>
      <w:r w:rsidR="000C6D2E" w:rsidRPr="008573C5">
        <w:t xml:space="preserve"> in the Nigerian economy</w:t>
      </w:r>
      <w:r w:rsidRPr="008573C5">
        <w:t xml:space="preserve">. </w:t>
      </w:r>
      <w:r w:rsidRPr="008573C5">
        <w:rPr>
          <w:lang w:val="en-GB"/>
        </w:rPr>
        <w:t xml:space="preserve">The managers of listed companies can assess their present level of compliance using the disclosure index generated by this research. This will help them to improve on their disclosure practices. </w:t>
      </w:r>
      <w:r w:rsidRPr="008573C5">
        <w:t>It will enable the listed companies to compete globally and facilitate free flow capital across the Nigerian borders.</w:t>
      </w:r>
      <w:r w:rsidR="00B07B75" w:rsidRPr="008573C5">
        <w:t xml:space="preserve"> </w:t>
      </w:r>
      <w:r w:rsidR="00B07B75" w:rsidRPr="008573C5">
        <w:rPr>
          <w:lang w:val="en-GB"/>
        </w:rPr>
        <w:t xml:space="preserve">Accountants, the preparers of financial statements and auditors can also utilize the disclosure index developed in this study to assess the extent of compliance by companies. </w:t>
      </w:r>
    </w:p>
    <w:p w:rsidR="00BA492A" w:rsidRPr="008573C5" w:rsidRDefault="00BA492A" w:rsidP="00FF5EDF">
      <w:pPr>
        <w:spacing w:line="360" w:lineRule="auto"/>
        <w:jc w:val="both"/>
        <w:rPr>
          <w:lang w:val="en-GB"/>
        </w:rPr>
      </w:pPr>
    </w:p>
    <w:p w:rsidR="00FF5EDF" w:rsidRPr="008573C5" w:rsidRDefault="009D201B" w:rsidP="00FF5EDF">
      <w:pPr>
        <w:spacing w:line="360" w:lineRule="auto"/>
        <w:jc w:val="both"/>
        <w:rPr>
          <w:b/>
          <w:sz w:val="28"/>
          <w:szCs w:val="28"/>
        </w:rPr>
      </w:pPr>
      <w:r w:rsidRPr="008573C5">
        <w:rPr>
          <w:b/>
          <w:sz w:val="28"/>
          <w:szCs w:val="28"/>
        </w:rPr>
        <w:t>1.6</w:t>
      </w:r>
      <w:r w:rsidR="00EF281F" w:rsidRPr="008573C5">
        <w:rPr>
          <w:b/>
          <w:sz w:val="28"/>
          <w:szCs w:val="28"/>
        </w:rPr>
        <w:t xml:space="preserve">   </w:t>
      </w:r>
      <w:r w:rsidR="00FF5EDF" w:rsidRPr="008573C5">
        <w:rPr>
          <w:b/>
          <w:sz w:val="28"/>
          <w:szCs w:val="28"/>
        </w:rPr>
        <w:t>S</w:t>
      </w:r>
      <w:r w:rsidR="00815A36" w:rsidRPr="008573C5">
        <w:rPr>
          <w:b/>
          <w:sz w:val="28"/>
          <w:szCs w:val="28"/>
        </w:rPr>
        <w:t xml:space="preserve">cope </w:t>
      </w:r>
      <w:r w:rsidR="00CA6CB9" w:rsidRPr="008573C5">
        <w:rPr>
          <w:b/>
          <w:sz w:val="28"/>
          <w:szCs w:val="28"/>
        </w:rPr>
        <w:t>and Limitation</w:t>
      </w:r>
      <w:r w:rsidR="009E0778" w:rsidRPr="008573C5">
        <w:rPr>
          <w:b/>
          <w:sz w:val="28"/>
          <w:szCs w:val="28"/>
        </w:rPr>
        <w:t>s</w:t>
      </w:r>
      <w:r w:rsidR="00CA6CB9" w:rsidRPr="008573C5">
        <w:rPr>
          <w:b/>
          <w:sz w:val="28"/>
          <w:szCs w:val="28"/>
        </w:rPr>
        <w:t xml:space="preserve"> </w:t>
      </w:r>
      <w:r w:rsidR="00815A36" w:rsidRPr="008573C5">
        <w:rPr>
          <w:b/>
          <w:sz w:val="28"/>
          <w:szCs w:val="28"/>
        </w:rPr>
        <w:t>of the Study</w:t>
      </w:r>
    </w:p>
    <w:p w:rsidR="00D26DE5" w:rsidRPr="008573C5" w:rsidRDefault="006C6FC4" w:rsidP="00D26DE5">
      <w:pPr>
        <w:autoSpaceDE w:val="0"/>
        <w:autoSpaceDN w:val="0"/>
        <w:adjustRightInd w:val="0"/>
        <w:spacing w:line="360" w:lineRule="auto"/>
        <w:jc w:val="both"/>
        <w:rPr>
          <w:bCs/>
        </w:rPr>
      </w:pPr>
      <w:r w:rsidRPr="008573C5">
        <w:rPr>
          <w:rFonts w:ascii="Times" w:hAnsi="Times" w:cs="Times"/>
        </w:rPr>
        <w:t xml:space="preserve">Based on the nature of this research, two approaches were adopted in executing the objectives: survey and content analysis method. </w:t>
      </w:r>
      <w:r w:rsidR="00557E0B" w:rsidRPr="008573C5">
        <w:rPr>
          <w:rFonts w:ascii="Times" w:hAnsi="Times" w:cs="Times"/>
        </w:rPr>
        <w:t xml:space="preserve">The </w:t>
      </w:r>
      <w:r w:rsidR="0056064D" w:rsidRPr="008573C5">
        <w:rPr>
          <w:rFonts w:ascii="Times" w:hAnsi="Times" w:cs="Times"/>
        </w:rPr>
        <w:t>survey research entailed administering questionnaire to a random sample of auditors, accountants and accounting information users (bankers, stockbrokers, financial analysts and educators) from the six geopolitical zones in Nigeria.</w:t>
      </w:r>
      <w:r w:rsidR="00D26DE5" w:rsidRPr="008573C5">
        <w:rPr>
          <w:rFonts w:ascii="Times" w:hAnsi="Times" w:cs="Times"/>
        </w:rPr>
        <w:t xml:space="preserve"> The </w:t>
      </w:r>
      <w:r w:rsidR="00B778C9" w:rsidRPr="008573C5">
        <w:rPr>
          <w:rFonts w:ascii="Times" w:hAnsi="Times" w:cs="Times"/>
        </w:rPr>
        <w:t>primary survey</w:t>
      </w:r>
      <w:r w:rsidR="00D26DE5" w:rsidRPr="008573C5">
        <w:rPr>
          <w:rFonts w:ascii="Times" w:hAnsi="Times" w:cs="Times"/>
        </w:rPr>
        <w:t xml:space="preserve"> was conducted </w:t>
      </w:r>
      <w:r w:rsidR="00890396" w:rsidRPr="008573C5">
        <w:rPr>
          <w:rFonts w:ascii="Times" w:hAnsi="Times" w:cs="Times"/>
        </w:rPr>
        <w:t xml:space="preserve">during </w:t>
      </w:r>
      <w:r w:rsidR="00D26DE5" w:rsidRPr="008573C5">
        <w:rPr>
          <w:rFonts w:ascii="Times" w:hAnsi="Times" w:cs="Times"/>
        </w:rPr>
        <w:t>the second half of year 2008</w:t>
      </w:r>
      <w:r w:rsidR="00890396" w:rsidRPr="008573C5">
        <w:rPr>
          <w:rFonts w:ascii="Times" w:hAnsi="Times" w:cs="Times"/>
        </w:rPr>
        <w:t xml:space="preserve"> to the first quarter of 2009</w:t>
      </w:r>
      <w:r w:rsidR="00D26DE5" w:rsidRPr="008573C5">
        <w:rPr>
          <w:rFonts w:ascii="Times" w:hAnsi="Times" w:cs="Times"/>
        </w:rPr>
        <w:t>.</w:t>
      </w:r>
      <w:r w:rsidR="00EF32FD" w:rsidRPr="008573C5">
        <w:rPr>
          <w:rFonts w:ascii="Times" w:hAnsi="Times" w:cs="Times"/>
        </w:rPr>
        <w:t xml:space="preserve"> </w:t>
      </w:r>
      <w:r w:rsidR="00D26DE5" w:rsidRPr="008573C5">
        <w:rPr>
          <w:rFonts w:ascii="Times" w:hAnsi="Times" w:cs="Times"/>
        </w:rPr>
        <w:t xml:space="preserve">It </w:t>
      </w:r>
      <w:r w:rsidR="00D26DE5" w:rsidRPr="008573C5">
        <w:rPr>
          <w:bCs/>
        </w:rPr>
        <w:t xml:space="preserve">identifies the opinion of </w:t>
      </w:r>
      <w:r w:rsidRPr="008573C5">
        <w:rPr>
          <w:bCs/>
        </w:rPr>
        <w:t>respondents o</w:t>
      </w:r>
      <w:r w:rsidR="00D26DE5" w:rsidRPr="008573C5">
        <w:rPr>
          <w:bCs/>
        </w:rPr>
        <w:t xml:space="preserve">n disclosure practices </w:t>
      </w:r>
      <w:r w:rsidRPr="008573C5">
        <w:rPr>
          <w:bCs/>
        </w:rPr>
        <w:t xml:space="preserve">of listed Nigerian companies </w:t>
      </w:r>
      <w:r w:rsidR="00D26DE5" w:rsidRPr="008573C5">
        <w:rPr>
          <w:bCs/>
        </w:rPr>
        <w:t xml:space="preserve">and </w:t>
      </w:r>
      <w:r w:rsidRPr="008573C5">
        <w:rPr>
          <w:bCs/>
        </w:rPr>
        <w:t xml:space="preserve">on </w:t>
      </w:r>
      <w:r w:rsidR="00D26DE5" w:rsidRPr="008573C5">
        <w:rPr>
          <w:bCs/>
        </w:rPr>
        <w:t>consequences of non-disclosure.</w:t>
      </w:r>
      <w:r w:rsidR="00D26DE5" w:rsidRPr="008573C5">
        <w:t xml:space="preserve"> Due to the nature of research, the </w:t>
      </w:r>
      <w:r w:rsidR="008C65BE" w:rsidRPr="008573C5">
        <w:t>respondents are</w:t>
      </w:r>
      <w:r w:rsidR="00D26DE5" w:rsidRPr="008573C5">
        <w:t xml:space="preserve"> limited to preparers, auditors a</w:t>
      </w:r>
      <w:r w:rsidR="008C65BE" w:rsidRPr="008573C5">
        <w:t>nd knowledgeable users conversant with t</w:t>
      </w:r>
      <w:r w:rsidR="00D26DE5" w:rsidRPr="008573C5">
        <w:t xml:space="preserve">he disclosure requirements </w:t>
      </w:r>
      <w:r w:rsidR="008D6D3A" w:rsidRPr="008573C5">
        <w:t xml:space="preserve">of the </w:t>
      </w:r>
      <w:r w:rsidR="00D26DE5" w:rsidRPr="008573C5">
        <w:t>accounting standards.</w:t>
      </w:r>
    </w:p>
    <w:p w:rsidR="00FF5EDF" w:rsidRPr="008573C5" w:rsidRDefault="0056064D" w:rsidP="004804A9">
      <w:pPr>
        <w:spacing w:before="100" w:beforeAutospacing="1" w:after="100" w:afterAutospacing="1" w:line="360" w:lineRule="auto"/>
        <w:jc w:val="both"/>
      </w:pPr>
      <w:r w:rsidRPr="008573C5">
        <w:rPr>
          <w:rFonts w:ascii="Times" w:hAnsi="Times" w:cs="Times"/>
        </w:rPr>
        <w:t xml:space="preserve">The </w:t>
      </w:r>
      <w:r w:rsidR="00CE259D" w:rsidRPr="008573C5">
        <w:rPr>
          <w:rFonts w:ascii="Times" w:hAnsi="Times" w:cs="Times"/>
        </w:rPr>
        <w:t xml:space="preserve">annual report </w:t>
      </w:r>
      <w:r w:rsidR="006C6FC4" w:rsidRPr="008573C5">
        <w:rPr>
          <w:rFonts w:ascii="Times" w:hAnsi="Times" w:cs="Times"/>
        </w:rPr>
        <w:t xml:space="preserve">(content analysis) </w:t>
      </w:r>
      <w:r w:rsidR="00CE259D" w:rsidRPr="008573C5">
        <w:rPr>
          <w:rFonts w:ascii="Times" w:hAnsi="Times" w:cs="Times"/>
        </w:rPr>
        <w:t>research</w:t>
      </w:r>
      <w:r w:rsidR="0027574B" w:rsidRPr="008573C5">
        <w:rPr>
          <w:rFonts w:ascii="Times" w:hAnsi="Times" w:cs="Times"/>
        </w:rPr>
        <w:t xml:space="preserve"> entails</w:t>
      </w:r>
      <w:r w:rsidRPr="008573C5">
        <w:rPr>
          <w:rFonts w:ascii="Times" w:hAnsi="Times" w:cs="Times"/>
        </w:rPr>
        <w:t xml:space="preserve"> a sample of</w:t>
      </w:r>
      <w:r w:rsidR="00FF5EDF" w:rsidRPr="008573C5">
        <w:rPr>
          <w:rFonts w:ascii="Times" w:hAnsi="Times" w:cs="Times"/>
        </w:rPr>
        <w:t xml:space="preserve"> companies from the </w:t>
      </w:r>
      <w:r w:rsidR="007F14F3" w:rsidRPr="008573C5">
        <w:rPr>
          <w:rFonts w:ascii="Times" w:hAnsi="Times" w:cs="Times"/>
        </w:rPr>
        <w:t xml:space="preserve">equity/ main </w:t>
      </w:r>
      <w:r w:rsidR="00FF5EDF" w:rsidRPr="008573C5">
        <w:rPr>
          <w:rFonts w:ascii="Times" w:hAnsi="Times" w:cs="Times"/>
        </w:rPr>
        <w:t xml:space="preserve">list </w:t>
      </w:r>
      <w:r w:rsidR="00EF32FD" w:rsidRPr="008573C5">
        <w:rPr>
          <w:rFonts w:ascii="Times" w:hAnsi="Times" w:cs="Times"/>
        </w:rPr>
        <w:t>of the Nigerian Stock Exchange</w:t>
      </w:r>
      <w:r w:rsidR="00D26DE5" w:rsidRPr="008573C5">
        <w:rPr>
          <w:rFonts w:ascii="Times" w:hAnsi="Times" w:cs="Times"/>
        </w:rPr>
        <w:t>. The study covers the annual reports with period ending, January to December 2006.</w:t>
      </w:r>
      <w:r w:rsidR="007F14F3" w:rsidRPr="008573C5">
        <w:rPr>
          <w:rFonts w:ascii="Times" w:hAnsi="Times" w:cs="Times"/>
        </w:rPr>
        <w:t xml:space="preserve"> As at December 2006 there were a total of 288 list</w:t>
      </w:r>
      <w:r w:rsidR="00B0379E" w:rsidRPr="008573C5">
        <w:rPr>
          <w:rFonts w:ascii="Times" w:hAnsi="Times" w:cs="Times"/>
        </w:rPr>
        <w:t>ed securities, th</w:t>
      </w:r>
      <w:r w:rsidR="008C65BE" w:rsidRPr="008573C5">
        <w:rPr>
          <w:rFonts w:ascii="Times" w:hAnsi="Times" w:cs="Times"/>
        </w:rPr>
        <w:t>ese</w:t>
      </w:r>
      <w:r w:rsidR="00B0379E" w:rsidRPr="008573C5">
        <w:rPr>
          <w:rFonts w:ascii="Times" w:hAnsi="Times" w:cs="Times"/>
        </w:rPr>
        <w:t xml:space="preserve"> </w:t>
      </w:r>
      <w:r w:rsidR="0094631E" w:rsidRPr="008573C5">
        <w:rPr>
          <w:rFonts w:ascii="Times" w:hAnsi="Times" w:cs="Times"/>
        </w:rPr>
        <w:t>comprise 186</w:t>
      </w:r>
      <w:r w:rsidR="007F14F3" w:rsidRPr="008573C5">
        <w:rPr>
          <w:rFonts w:ascii="Times" w:hAnsi="Times" w:cs="Times"/>
        </w:rPr>
        <w:t xml:space="preserve"> listed equity/ </w:t>
      </w:r>
      <w:r w:rsidR="00D61773" w:rsidRPr="008573C5">
        <w:rPr>
          <w:rFonts w:ascii="Times" w:hAnsi="Times" w:cs="Times"/>
        </w:rPr>
        <w:t xml:space="preserve">main list, 16 listed equity / </w:t>
      </w:r>
      <w:r w:rsidR="00D61773" w:rsidRPr="008573C5">
        <w:t>second-tier</w:t>
      </w:r>
      <w:r w:rsidR="00D61773" w:rsidRPr="008573C5">
        <w:rPr>
          <w:rFonts w:ascii="Times" w:hAnsi="Times" w:cs="Times"/>
        </w:rPr>
        <w:t xml:space="preserve"> security list</w:t>
      </w:r>
      <w:r w:rsidR="007F14F3" w:rsidRPr="008573C5">
        <w:rPr>
          <w:rFonts w:ascii="Times" w:hAnsi="Times" w:cs="Times"/>
        </w:rPr>
        <w:t>, 47 listed industrial loan preference shares and 39 listed federal and state government stock</w:t>
      </w:r>
      <w:r w:rsidR="00B0379E" w:rsidRPr="008573C5">
        <w:rPr>
          <w:rFonts w:ascii="Times" w:hAnsi="Times" w:cs="Times"/>
        </w:rPr>
        <w:t>s</w:t>
      </w:r>
      <w:r w:rsidR="007F14F3" w:rsidRPr="008573C5">
        <w:rPr>
          <w:rFonts w:ascii="Times" w:hAnsi="Times" w:cs="Times"/>
        </w:rPr>
        <w:t xml:space="preserve"> (</w:t>
      </w:r>
      <w:r w:rsidR="007F14F3" w:rsidRPr="008573C5">
        <w:rPr>
          <w:lang w:val="en-GB" w:eastAsia="en-GB"/>
        </w:rPr>
        <w:t>Securities and Exchange Commission</w:t>
      </w:r>
      <w:r w:rsidR="007F14F3" w:rsidRPr="008573C5">
        <w:rPr>
          <w:rFonts w:ascii="Times" w:hAnsi="Times" w:cs="Times"/>
        </w:rPr>
        <w:t>, n.d)</w:t>
      </w:r>
      <w:r w:rsidR="00CE259D" w:rsidRPr="008573C5">
        <w:rPr>
          <w:rFonts w:ascii="Times" w:hAnsi="Times" w:cs="Times"/>
        </w:rPr>
        <w:t xml:space="preserve">. </w:t>
      </w:r>
      <w:r w:rsidR="00FF5EDF" w:rsidRPr="008573C5">
        <w:rPr>
          <w:rFonts w:ascii="Times" w:hAnsi="Times" w:cs="Times"/>
        </w:rPr>
        <w:t>The companies are generated from both the financial and non-fi</w:t>
      </w:r>
      <w:r w:rsidR="004819EC" w:rsidRPr="008573C5">
        <w:rPr>
          <w:rFonts w:ascii="Times" w:hAnsi="Times" w:cs="Times"/>
        </w:rPr>
        <w:t>n</w:t>
      </w:r>
      <w:r w:rsidR="00FF5EDF" w:rsidRPr="008573C5">
        <w:rPr>
          <w:rFonts w:ascii="Times" w:hAnsi="Times" w:cs="Times"/>
        </w:rPr>
        <w:t>ancial sectors. A r</w:t>
      </w:r>
      <w:r w:rsidR="0027574B" w:rsidRPr="008573C5">
        <w:rPr>
          <w:rFonts w:ascii="Times" w:hAnsi="Times" w:cs="Times"/>
        </w:rPr>
        <w:t>esearcher-developed checklist i</w:t>
      </w:r>
      <w:r w:rsidR="00FF5EDF" w:rsidRPr="008573C5">
        <w:rPr>
          <w:rFonts w:ascii="Times" w:hAnsi="Times" w:cs="Times"/>
        </w:rPr>
        <w:t>s constructed containing 16</w:t>
      </w:r>
      <w:r w:rsidR="00EF32FD" w:rsidRPr="008573C5">
        <w:rPr>
          <w:rFonts w:ascii="Times" w:hAnsi="Times" w:cs="Times"/>
        </w:rPr>
        <w:t>5</w:t>
      </w:r>
      <w:r w:rsidR="00FF5EDF" w:rsidRPr="008573C5">
        <w:rPr>
          <w:rFonts w:ascii="Times" w:hAnsi="Times" w:cs="Times"/>
        </w:rPr>
        <w:t xml:space="preserve"> information disclosure items (SAS 82 items; IFRS 73 items, voluntary 10 items). </w:t>
      </w:r>
      <w:r w:rsidR="00CE259D" w:rsidRPr="008573C5">
        <w:t xml:space="preserve">The annual report </w:t>
      </w:r>
      <w:r w:rsidR="00FF5EDF" w:rsidRPr="008573C5">
        <w:t>study is restricted to the first-tier market of the Nigerian stock exchange because it is of paramount interest to investors. The second-tier market and companies not quoted at</w:t>
      </w:r>
      <w:r w:rsidR="0027574B" w:rsidRPr="008573C5">
        <w:t xml:space="preserve"> the Nigerian stock exchange ar</w:t>
      </w:r>
      <w:r w:rsidR="00FF5EDF" w:rsidRPr="008573C5">
        <w:t>e not put</w:t>
      </w:r>
      <w:r w:rsidR="00246D9E" w:rsidRPr="008573C5">
        <w:t xml:space="preserve"> into consideration</w:t>
      </w:r>
      <w:r w:rsidR="00FF5EDF" w:rsidRPr="008573C5">
        <w:t xml:space="preserve"> due</w:t>
      </w:r>
      <w:r w:rsidR="00EF32FD" w:rsidRPr="008573C5">
        <w:t xml:space="preserve"> to</w:t>
      </w:r>
      <w:r w:rsidR="00CE259D" w:rsidRPr="008573C5">
        <w:t xml:space="preserve"> </w:t>
      </w:r>
      <w:r w:rsidR="008C65BE" w:rsidRPr="008573C5">
        <w:t xml:space="preserve">non availability </w:t>
      </w:r>
      <w:r w:rsidR="00B0379E" w:rsidRPr="008573C5">
        <w:t>of data</w:t>
      </w:r>
      <w:r w:rsidR="00FF5EDF" w:rsidRPr="008573C5">
        <w:t xml:space="preserve"> and time constraint.</w:t>
      </w:r>
      <w:r w:rsidR="00246D9E" w:rsidRPr="008573C5">
        <w:t xml:space="preserve"> Moreover, they are outside the scope of this work.</w:t>
      </w:r>
    </w:p>
    <w:p w:rsidR="003801F8" w:rsidRPr="008573C5" w:rsidRDefault="003801F8" w:rsidP="003801F8">
      <w:pPr>
        <w:spacing w:line="360" w:lineRule="auto"/>
        <w:jc w:val="both"/>
        <w:rPr>
          <w:rFonts w:ascii="Times" w:hAnsi="Times" w:cs="Times"/>
        </w:rPr>
      </w:pPr>
      <w:r w:rsidRPr="008573C5">
        <w:rPr>
          <w:rFonts w:ascii="TimesNewRomanPSMT" w:hAnsi="TimesNewRomanPSMT" w:cs="TimesNewRomanPSMT"/>
        </w:rPr>
        <w:t xml:space="preserve">Based on previous studies, availability of data and its relevance to the socio-economic environment of Nigeria, </w:t>
      </w:r>
      <w:r w:rsidR="00C50B0B" w:rsidRPr="008573C5">
        <w:rPr>
          <w:rFonts w:ascii="TimesNewRomanPSMT" w:hAnsi="TimesNewRomanPSMT" w:cs="TimesNewRomanPSMT"/>
        </w:rPr>
        <w:t xml:space="preserve">only </w:t>
      </w:r>
      <w:r w:rsidRPr="008573C5">
        <w:rPr>
          <w:rFonts w:ascii="TimesNewRomanPSMT" w:hAnsi="TimesNewRomanPSMT" w:cs="TimesNewRomanPSMT"/>
        </w:rPr>
        <w:t xml:space="preserve">seven independent variables </w:t>
      </w:r>
      <w:r w:rsidR="0027574B" w:rsidRPr="008573C5">
        <w:rPr>
          <w:rFonts w:ascii="TimesNewRomanPSMT" w:hAnsi="TimesNewRomanPSMT" w:cs="TimesNewRomanPSMT"/>
        </w:rPr>
        <w:t>are</w:t>
      </w:r>
      <w:r w:rsidRPr="008573C5">
        <w:rPr>
          <w:rFonts w:ascii="TimesNewRomanPSMT" w:hAnsi="TimesNewRomanPSMT" w:cs="TimesNewRomanPSMT"/>
        </w:rPr>
        <w:t xml:space="preserve"> selected as proxies for corporate attributes. These variables are: company size, profitability, leverage, company age, industry type, size of audit firm, number of shareholders and multinational affiliation. </w:t>
      </w:r>
    </w:p>
    <w:p w:rsidR="00FF5EDF" w:rsidRPr="008573C5" w:rsidRDefault="00FF5EDF" w:rsidP="00FF5EDF">
      <w:pPr>
        <w:spacing w:line="360" w:lineRule="auto"/>
        <w:jc w:val="both"/>
      </w:pPr>
    </w:p>
    <w:p w:rsidR="00FF5EDF" w:rsidRPr="008573C5" w:rsidRDefault="009D201B" w:rsidP="00FF5EDF">
      <w:pPr>
        <w:autoSpaceDE w:val="0"/>
        <w:autoSpaceDN w:val="0"/>
        <w:adjustRightInd w:val="0"/>
        <w:spacing w:line="360" w:lineRule="auto"/>
        <w:jc w:val="both"/>
        <w:rPr>
          <w:b/>
          <w:sz w:val="28"/>
          <w:szCs w:val="28"/>
        </w:rPr>
      </w:pPr>
      <w:r w:rsidRPr="008573C5">
        <w:rPr>
          <w:b/>
        </w:rPr>
        <w:t>1.7</w:t>
      </w:r>
      <w:r w:rsidR="00EF281F" w:rsidRPr="008573C5">
        <w:rPr>
          <w:b/>
        </w:rPr>
        <w:tab/>
      </w:r>
      <w:r w:rsidR="00FF5EDF" w:rsidRPr="008573C5">
        <w:rPr>
          <w:b/>
          <w:sz w:val="28"/>
          <w:szCs w:val="28"/>
        </w:rPr>
        <w:t>S</w:t>
      </w:r>
      <w:r w:rsidR="00B579A5" w:rsidRPr="008573C5">
        <w:rPr>
          <w:b/>
          <w:sz w:val="28"/>
          <w:szCs w:val="28"/>
        </w:rPr>
        <w:t>ummary of Research Methodology</w:t>
      </w:r>
    </w:p>
    <w:p w:rsidR="002B219E" w:rsidRPr="008573C5" w:rsidRDefault="00446A29" w:rsidP="00FF5EDF">
      <w:pPr>
        <w:autoSpaceDE w:val="0"/>
        <w:autoSpaceDN w:val="0"/>
        <w:adjustRightInd w:val="0"/>
        <w:spacing w:line="360" w:lineRule="auto"/>
        <w:jc w:val="both"/>
        <w:rPr>
          <w:rFonts w:ascii="Times" w:hAnsi="Times" w:cs="Times"/>
        </w:rPr>
      </w:pPr>
      <w:r w:rsidRPr="008573C5">
        <w:rPr>
          <w:rFonts w:ascii="Times" w:hAnsi="Times" w:cs="Times"/>
        </w:rPr>
        <w:t>This section briefly summarises the methodology adopted in this study. A de</w:t>
      </w:r>
      <w:r w:rsidR="008D6D3A" w:rsidRPr="008573C5">
        <w:rPr>
          <w:rFonts w:ascii="Times" w:hAnsi="Times" w:cs="Times"/>
        </w:rPr>
        <w:t>tailed methodology is narrate</w:t>
      </w:r>
      <w:r w:rsidR="00B0379E" w:rsidRPr="008573C5">
        <w:rPr>
          <w:rFonts w:ascii="Times" w:hAnsi="Times" w:cs="Times"/>
        </w:rPr>
        <w:t xml:space="preserve">d in </w:t>
      </w:r>
      <w:r w:rsidR="008D6D3A" w:rsidRPr="008573C5">
        <w:rPr>
          <w:rFonts w:ascii="Times" w:hAnsi="Times" w:cs="Times"/>
        </w:rPr>
        <w:t>Chapter three of this thesis.</w:t>
      </w:r>
      <w:r w:rsidR="001A0971" w:rsidRPr="008573C5">
        <w:rPr>
          <w:rFonts w:ascii="Times" w:hAnsi="Times" w:cs="Times"/>
        </w:rPr>
        <w:t xml:space="preserve"> Two </w:t>
      </w:r>
      <w:r w:rsidRPr="008573C5">
        <w:rPr>
          <w:rFonts w:ascii="Times" w:hAnsi="Times" w:cs="Times"/>
        </w:rPr>
        <w:t xml:space="preserve">approaches </w:t>
      </w:r>
      <w:r w:rsidR="0027574B" w:rsidRPr="008573C5">
        <w:rPr>
          <w:rFonts w:ascii="Times" w:hAnsi="Times" w:cs="Times"/>
        </w:rPr>
        <w:t>are</w:t>
      </w:r>
      <w:r w:rsidRPr="008573C5">
        <w:rPr>
          <w:rFonts w:ascii="Times" w:hAnsi="Times" w:cs="Times"/>
        </w:rPr>
        <w:t xml:space="preserve"> adopted in </w:t>
      </w:r>
      <w:r w:rsidR="00EF32FD" w:rsidRPr="008573C5">
        <w:rPr>
          <w:rFonts w:ascii="Times" w:hAnsi="Times" w:cs="Times"/>
        </w:rPr>
        <w:t>executing the</w:t>
      </w:r>
      <w:r w:rsidRPr="008573C5">
        <w:rPr>
          <w:rFonts w:ascii="Times" w:hAnsi="Times" w:cs="Times"/>
        </w:rPr>
        <w:t xml:space="preserve"> objectives: s</w:t>
      </w:r>
      <w:r w:rsidR="00FF5EDF" w:rsidRPr="008573C5">
        <w:rPr>
          <w:rFonts w:ascii="Times" w:hAnsi="Times" w:cs="Times"/>
        </w:rPr>
        <w:t>urvey and content analysis method</w:t>
      </w:r>
      <w:r w:rsidRPr="008573C5">
        <w:rPr>
          <w:rFonts w:ascii="Times" w:hAnsi="Times" w:cs="Times"/>
        </w:rPr>
        <w:t>.</w:t>
      </w:r>
      <w:r w:rsidR="00FF5EDF" w:rsidRPr="008573C5">
        <w:rPr>
          <w:rFonts w:ascii="Times" w:hAnsi="Times" w:cs="Times"/>
        </w:rPr>
        <w:t xml:space="preserve"> For the survey method,</w:t>
      </w:r>
      <w:r w:rsidR="00696742" w:rsidRPr="008573C5">
        <w:rPr>
          <w:rFonts w:ascii="Times" w:hAnsi="Times" w:cs="Times"/>
        </w:rPr>
        <w:t xml:space="preserve"> questionnaire </w:t>
      </w:r>
      <w:r w:rsidR="00B0379E" w:rsidRPr="008573C5">
        <w:rPr>
          <w:rFonts w:ascii="Times" w:hAnsi="Times" w:cs="Times"/>
        </w:rPr>
        <w:t>were</w:t>
      </w:r>
      <w:r w:rsidR="00696742" w:rsidRPr="008573C5">
        <w:rPr>
          <w:rFonts w:ascii="Times" w:hAnsi="Times" w:cs="Times"/>
        </w:rPr>
        <w:t xml:space="preserve"> administered to a random sample of auditors, accountants and accounting information users (bankers, stockbrokers, financial analysts and educators) from the six geopolitical zones in Nigeria. </w:t>
      </w:r>
      <w:r w:rsidR="00FF5EDF" w:rsidRPr="008573C5">
        <w:rPr>
          <w:rFonts w:ascii="Times" w:hAnsi="Times" w:cs="Times"/>
        </w:rPr>
        <w:t xml:space="preserve">  For the content analysis, the extent of compliance by Nigerian listed companies was measured using disclosure index on </w:t>
      </w:r>
      <w:r w:rsidR="00696742" w:rsidRPr="008573C5">
        <w:rPr>
          <w:rFonts w:ascii="Times" w:hAnsi="Times" w:cs="Times"/>
        </w:rPr>
        <w:t>ninety</w:t>
      </w:r>
      <w:r w:rsidR="00FF5EDF" w:rsidRPr="008573C5">
        <w:rPr>
          <w:rFonts w:ascii="Times" w:hAnsi="Times" w:cs="Times"/>
        </w:rPr>
        <w:t xml:space="preserve"> listed companies, selected using stratified random sampling. The disclosure index method </w:t>
      </w:r>
      <w:r w:rsidR="0027574B" w:rsidRPr="008573C5">
        <w:rPr>
          <w:rFonts w:ascii="Times" w:hAnsi="Times" w:cs="Times"/>
        </w:rPr>
        <w:t>was</w:t>
      </w:r>
      <w:r w:rsidR="00FF5EDF" w:rsidRPr="008573C5">
        <w:rPr>
          <w:rFonts w:ascii="Times" w:hAnsi="Times" w:cs="Times"/>
        </w:rPr>
        <w:t xml:space="preserve"> seen by researchers in time past (Singhvi and Desai, 1971:130) as an adequate model for financial disclosure and </w:t>
      </w:r>
      <w:r w:rsidR="0027574B" w:rsidRPr="008573C5">
        <w:rPr>
          <w:rFonts w:ascii="Times" w:hAnsi="Times" w:cs="Times"/>
        </w:rPr>
        <w:t>was</w:t>
      </w:r>
      <w:r w:rsidR="00FF5EDF" w:rsidRPr="008573C5">
        <w:rPr>
          <w:rFonts w:ascii="Times" w:hAnsi="Times" w:cs="Times"/>
        </w:rPr>
        <w:t xml:space="preserve"> used by various researchers. The disclosure index was calculated using a researcher-de</w:t>
      </w:r>
      <w:r w:rsidR="009F10DF" w:rsidRPr="008573C5">
        <w:rPr>
          <w:rFonts w:ascii="Times" w:hAnsi="Times" w:cs="Times"/>
        </w:rPr>
        <w:t>veloped checklist containing 165</w:t>
      </w:r>
      <w:r w:rsidR="00FF5EDF" w:rsidRPr="008573C5">
        <w:rPr>
          <w:rFonts w:ascii="Times" w:hAnsi="Times" w:cs="Times"/>
        </w:rPr>
        <w:t xml:space="preserve"> information disclosure items (SAS 82 items; IFRS 73 items, voluntary 10 items). </w:t>
      </w:r>
    </w:p>
    <w:p w:rsidR="002B219E" w:rsidRPr="008573C5" w:rsidRDefault="002B219E" w:rsidP="00FF5EDF">
      <w:pPr>
        <w:autoSpaceDE w:val="0"/>
        <w:autoSpaceDN w:val="0"/>
        <w:adjustRightInd w:val="0"/>
        <w:spacing w:line="360" w:lineRule="auto"/>
        <w:jc w:val="both"/>
        <w:rPr>
          <w:rFonts w:ascii="Times" w:hAnsi="Times" w:cs="Times"/>
        </w:rPr>
      </w:pPr>
    </w:p>
    <w:p w:rsidR="00FF5EDF" w:rsidRPr="008573C5" w:rsidRDefault="00FF5EDF" w:rsidP="00FF5EDF">
      <w:pPr>
        <w:autoSpaceDE w:val="0"/>
        <w:autoSpaceDN w:val="0"/>
        <w:adjustRightInd w:val="0"/>
        <w:spacing w:line="360" w:lineRule="auto"/>
        <w:jc w:val="both"/>
        <w:rPr>
          <w:rFonts w:ascii="Times" w:hAnsi="Times" w:cs="Times"/>
        </w:rPr>
      </w:pPr>
      <w:r w:rsidRPr="008573C5">
        <w:rPr>
          <w:rFonts w:ascii="Times" w:hAnsi="Times" w:cs="Times"/>
        </w:rPr>
        <w:t>The main dependent variable is the overall disclosure index which comprises the SAS, IFRS, and Voluntary indexes.</w:t>
      </w:r>
      <w:r w:rsidR="0027574B" w:rsidRPr="008573C5">
        <w:rPr>
          <w:rFonts w:ascii="Times" w:hAnsi="Times" w:cs="Times"/>
        </w:rPr>
        <w:t xml:space="preserve"> The overall disclosure index i</w:t>
      </w:r>
      <w:r w:rsidRPr="008573C5">
        <w:rPr>
          <w:rFonts w:ascii="Times" w:hAnsi="Times" w:cs="Times"/>
        </w:rPr>
        <w:t>s further broken down into its three constituent parts, thereby giving us four dependent variables namely Overall disclosure index, SAS disclosure index, IFRS disclosure index and Voluntary disclosure index. The independent variables are size, profitability, company listing age, leverage, auditor type, industry and multinational</w:t>
      </w:r>
      <w:r w:rsidR="00A52626" w:rsidRPr="008573C5">
        <w:rPr>
          <w:rFonts w:ascii="Times" w:hAnsi="Times" w:cs="Times"/>
        </w:rPr>
        <w:t>ity</w:t>
      </w:r>
      <w:r w:rsidR="00031CA1" w:rsidRPr="008573C5">
        <w:rPr>
          <w:rFonts w:ascii="Times" w:hAnsi="Times" w:cs="Times"/>
        </w:rPr>
        <w:t>. Multivariate analysis i</w:t>
      </w:r>
      <w:r w:rsidRPr="008573C5">
        <w:rPr>
          <w:rFonts w:ascii="Times" w:hAnsi="Times" w:cs="Times"/>
        </w:rPr>
        <w:t xml:space="preserve">s used to explore the relationship and patterns between disclosure level and corporate attributes.  The ranked and unranked Ordinary Least Square </w:t>
      </w:r>
      <w:r w:rsidR="00A52626" w:rsidRPr="008573C5">
        <w:rPr>
          <w:rFonts w:ascii="Times" w:hAnsi="Times" w:cs="Times"/>
        </w:rPr>
        <w:t>methods were</w:t>
      </w:r>
      <w:r w:rsidRPr="008573C5">
        <w:rPr>
          <w:rFonts w:ascii="Times" w:hAnsi="Times" w:cs="Times"/>
        </w:rPr>
        <w:t xml:space="preserve"> employed for the regression models. Factor analysis </w:t>
      </w:r>
      <w:r w:rsidR="00031CA1" w:rsidRPr="008573C5">
        <w:rPr>
          <w:rFonts w:ascii="Times" w:hAnsi="Times" w:cs="Times"/>
        </w:rPr>
        <w:t>is utilised</w:t>
      </w:r>
      <w:r w:rsidRPr="008573C5">
        <w:rPr>
          <w:rFonts w:ascii="Times" w:hAnsi="Times" w:cs="Times"/>
        </w:rPr>
        <w:t xml:space="preserve"> in computing a factor score for the size variables </w:t>
      </w:r>
      <w:r w:rsidR="00BA492A" w:rsidRPr="008573C5">
        <w:rPr>
          <w:rFonts w:ascii="Times" w:hAnsi="Times" w:cs="Times"/>
        </w:rPr>
        <w:t>of</w:t>
      </w:r>
      <w:r w:rsidRPr="008573C5">
        <w:rPr>
          <w:rFonts w:ascii="Times" w:hAnsi="Times" w:cs="Times"/>
        </w:rPr>
        <w:t xml:space="preserve"> eight </w:t>
      </w:r>
      <w:r w:rsidR="00031CA1" w:rsidRPr="008573C5">
        <w:rPr>
          <w:rFonts w:ascii="Times" w:hAnsi="Times" w:cs="Times"/>
        </w:rPr>
        <w:t xml:space="preserve">out of sixteen </w:t>
      </w:r>
      <w:r w:rsidR="009F10DF" w:rsidRPr="008573C5">
        <w:rPr>
          <w:rFonts w:ascii="Times" w:hAnsi="Times" w:cs="Times"/>
        </w:rPr>
        <w:t>equations</w:t>
      </w:r>
      <w:r w:rsidRPr="008573C5">
        <w:rPr>
          <w:rFonts w:ascii="Times" w:hAnsi="Times" w:cs="Times"/>
        </w:rPr>
        <w:t xml:space="preserve">. </w:t>
      </w:r>
      <w:r w:rsidR="00C36443" w:rsidRPr="008573C5">
        <w:rPr>
          <w:rFonts w:ascii="Times" w:hAnsi="Times" w:cs="Times"/>
        </w:rPr>
        <w:t>Furthermore, a</w:t>
      </w:r>
      <w:r w:rsidRPr="008573C5">
        <w:rPr>
          <w:rFonts w:ascii="Times" w:hAnsi="Times" w:cs="Times"/>
        </w:rPr>
        <w:t>n ag</w:t>
      </w:r>
      <w:r w:rsidRPr="008573C5">
        <w:t xml:space="preserve">glomerative hierarchical clustering analysis of the </w:t>
      </w:r>
      <w:r w:rsidR="009F10DF" w:rsidRPr="008573C5">
        <w:t xml:space="preserve">voluntary </w:t>
      </w:r>
      <w:r w:rsidRPr="008573C5">
        <w:t>discl</w:t>
      </w:r>
      <w:r w:rsidR="00C36443" w:rsidRPr="008573C5">
        <w:t xml:space="preserve">osure items </w:t>
      </w:r>
      <w:r w:rsidR="0027574B" w:rsidRPr="008573C5">
        <w:t xml:space="preserve">is used </w:t>
      </w:r>
      <w:r w:rsidRPr="008573C5">
        <w:t xml:space="preserve">to </w:t>
      </w:r>
      <w:r w:rsidR="00BA492A" w:rsidRPr="008573C5">
        <w:rPr>
          <w:rFonts w:eastAsia="Calibri"/>
        </w:rPr>
        <w:t>determine</w:t>
      </w:r>
      <w:r w:rsidRPr="008573C5">
        <w:rPr>
          <w:rFonts w:eastAsia="Calibri"/>
        </w:rPr>
        <w:t xml:space="preserve"> the </w:t>
      </w:r>
      <w:r w:rsidR="00A52626" w:rsidRPr="008573C5">
        <w:rPr>
          <w:rFonts w:eastAsia="Calibri"/>
        </w:rPr>
        <w:t>companies’</w:t>
      </w:r>
      <w:r w:rsidR="00C36443" w:rsidRPr="008573C5">
        <w:rPr>
          <w:rFonts w:eastAsia="Calibri"/>
        </w:rPr>
        <w:t xml:space="preserve"> </w:t>
      </w:r>
      <w:r w:rsidR="00BA492A" w:rsidRPr="008573C5">
        <w:rPr>
          <w:rFonts w:eastAsia="Calibri"/>
        </w:rPr>
        <w:t xml:space="preserve">voluntary </w:t>
      </w:r>
      <w:r w:rsidR="00C36443" w:rsidRPr="008573C5">
        <w:rPr>
          <w:rFonts w:eastAsia="Calibri"/>
        </w:rPr>
        <w:t>disclosure pattern.</w:t>
      </w:r>
      <w:r w:rsidRPr="008573C5">
        <w:rPr>
          <w:rFonts w:eastAsia="Calibri"/>
        </w:rPr>
        <w:t xml:space="preserve"> </w:t>
      </w:r>
    </w:p>
    <w:p w:rsidR="00C802EE" w:rsidRPr="008573C5" w:rsidRDefault="00C802EE" w:rsidP="00FF5EDF">
      <w:pPr>
        <w:autoSpaceDE w:val="0"/>
        <w:autoSpaceDN w:val="0"/>
        <w:adjustRightInd w:val="0"/>
        <w:spacing w:line="360" w:lineRule="auto"/>
        <w:jc w:val="both"/>
        <w:rPr>
          <w:b/>
          <w:sz w:val="28"/>
          <w:szCs w:val="28"/>
        </w:rPr>
      </w:pPr>
    </w:p>
    <w:p w:rsidR="00FF5EDF" w:rsidRPr="008573C5" w:rsidRDefault="009D201B" w:rsidP="00FF5EDF">
      <w:pPr>
        <w:autoSpaceDE w:val="0"/>
        <w:autoSpaceDN w:val="0"/>
        <w:adjustRightInd w:val="0"/>
        <w:spacing w:line="360" w:lineRule="auto"/>
        <w:jc w:val="both"/>
        <w:rPr>
          <w:b/>
          <w:sz w:val="28"/>
          <w:szCs w:val="28"/>
        </w:rPr>
      </w:pPr>
      <w:r w:rsidRPr="008573C5">
        <w:rPr>
          <w:b/>
          <w:sz w:val="28"/>
          <w:szCs w:val="28"/>
        </w:rPr>
        <w:t>1.8</w:t>
      </w:r>
      <w:r w:rsidR="00EF281F" w:rsidRPr="008573C5">
        <w:rPr>
          <w:b/>
          <w:sz w:val="28"/>
          <w:szCs w:val="28"/>
        </w:rPr>
        <w:tab/>
      </w:r>
      <w:r w:rsidR="00FF5EDF" w:rsidRPr="008573C5">
        <w:rPr>
          <w:b/>
          <w:sz w:val="28"/>
          <w:szCs w:val="28"/>
        </w:rPr>
        <w:t>S</w:t>
      </w:r>
      <w:r w:rsidR="00815A36" w:rsidRPr="008573C5">
        <w:rPr>
          <w:b/>
          <w:sz w:val="28"/>
          <w:szCs w:val="28"/>
        </w:rPr>
        <w:t>ources of Data</w:t>
      </w:r>
    </w:p>
    <w:p w:rsidR="00FF5EDF" w:rsidRPr="008573C5" w:rsidRDefault="00FF5EDF" w:rsidP="00FF5EDF">
      <w:pPr>
        <w:autoSpaceDE w:val="0"/>
        <w:autoSpaceDN w:val="0"/>
        <w:adjustRightInd w:val="0"/>
        <w:spacing w:line="360" w:lineRule="auto"/>
        <w:jc w:val="both"/>
        <w:rPr>
          <w:b/>
        </w:rPr>
      </w:pPr>
      <w:r w:rsidRPr="008573C5">
        <w:t xml:space="preserve">The sources of data for the study are both primary and secondary. </w:t>
      </w:r>
      <w:r w:rsidRPr="008573C5">
        <w:rPr>
          <w:rFonts w:ascii="Times" w:hAnsi="Times" w:cs="Times"/>
        </w:rPr>
        <w:t xml:space="preserve">For the primary data, questionnaires were administered to </w:t>
      </w:r>
      <w:r w:rsidR="004804A9" w:rsidRPr="008573C5">
        <w:rPr>
          <w:rFonts w:ascii="Times" w:hAnsi="Times" w:cs="Times"/>
        </w:rPr>
        <w:t xml:space="preserve">one thousand respondents </w:t>
      </w:r>
      <w:r w:rsidR="00170DF4" w:rsidRPr="008573C5">
        <w:rPr>
          <w:rFonts w:ascii="Times" w:hAnsi="Times" w:cs="Times"/>
        </w:rPr>
        <w:t xml:space="preserve">- auditors, accountants and accounting information users (bankers, stockbrokers, financial analysts and educators) - from the six geopolitical zones in Nigeria. </w:t>
      </w:r>
      <w:r w:rsidRPr="008573C5">
        <w:t xml:space="preserve">The </w:t>
      </w:r>
      <w:r w:rsidR="00170DF4" w:rsidRPr="008573C5">
        <w:t>auditors</w:t>
      </w:r>
      <w:r w:rsidRPr="008573C5">
        <w:t xml:space="preserve"> were </w:t>
      </w:r>
      <w:r w:rsidR="00B61340" w:rsidRPr="008573C5">
        <w:t>contacted</w:t>
      </w:r>
      <w:r w:rsidRPr="008573C5">
        <w:t xml:space="preserve"> </w:t>
      </w:r>
      <w:r w:rsidR="00B61340" w:rsidRPr="008573C5">
        <w:t xml:space="preserve">at </w:t>
      </w:r>
      <w:r w:rsidRPr="008573C5">
        <w:t xml:space="preserve">the ‘Big Four’ audit firms, namely, PriceWaterhouseCoopers, KPMG, Akintola Williams Deloite and Touche, and Ernst and Young; </w:t>
      </w:r>
      <w:r w:rsidR="00170DF4" w:rsidRPr="008573C5">
        <w:t xml:space="preserve">the accountants were </w:t>
      </w:r>
      <w:r w:rsidR="00B61340" w:rsidRPr="008573C5">
        <w:t xml:space="preserve">contacted at </w:t>
      </w:r>
      <w:r w:rsidR="00170DF4" w:rsidRPr="008573C5">
        <w:t xml:space="preserve">listed Nigerian companies while the knowledgeable users </w:t>
      </w:r>
      <w:r w:rsidR="00B61340" w:rsidRPr="008573C5">
        <w:t xml:space="preserve">are contacted at Banks, Stock broking firms, Consultancy firms, Universities, </w:t>
      </w:r>
      <w:r w:rsidRPr="008573C5">
        <w:t xml:space="preserve">Nigerian Stock Exchange and Securities and Exchange Commission. For the secondary data, annual reports of </w:t>
      </w:r>
      <w:r w:rsidR="00B61340" w:rsidRPr="008573C5">
        <w:t xml:space="preserve">ninety </w:t>
      </w:r>
      <w:r w:rsidRPr="008573C5">
        <w:t>companies with year end between January 2006 and December 2006 were obtained from the Nigerian Stock Exchange</w:t>
      </w:r>
      <w:r w:rsidR="008E0003" w:rsidRPr="008573C5">
        <w:t xml:space="preserve"> (NSE)</w:t>
      </w:r>
      <w:r w:rsidRPr="008573C5">
        <w:t xml:space="preserve"> between June 2007 and March 2008. The annual report not found at the NSE was collected from the Company’s</w:t>
      </w:r>
      <w:r w:rsidR="00B61340" w:rsidRPr="008573C5">
        <w:t xml:space="preserve"> c</w:t>
      </w:r>
      <w:r w:rsidRPr="008573C5">
        <w:t>orporate department</w:t>
      </w:r>
      <w:r w:rsidR="00A52626" w:rsidRPr="008573C5">
        <w:t>.</w:t>
      </w:r>
      <w:r w:rsidRPr="008573C5">
        <w:t xml:space="preserve"> In order to extract the information items, all areas (financial and non–financial) of the annual reports </w:t>
      </w:r>
      <w:r w:rsidR="00B0379E" w:rsidRPr="008573C5">
        <w:t>were</w:t>
      </w:r>
      <w:r w:rsidRPr="008573C5">
        <w:t xml:space="preserve"> considered viz, chairman’s statement, reports of directors, report of auditors, audit committee’s report, corporate governance report, statement of accounting policies, profit and loss account, balance sheet, statement of cash flows, note to the accounts, statement of value added, five year financial summary, graphic illustrations, financial ratios and notes.</w:t>
      </w:r>
    </w:p>
    <w:p w:rsidR="00FF5EDF" w:rsidRPr="008573C5" w:rsidRDefault="00FF5EDF" w:rsidP="00FF5EDF">
      <w:pPr>
        <w:spacing w:line="360" w:lineRule="auto"/>
        <w:rPr>
          <w:b/>
        </w:rPr>
      </w:pPr>
    </w:p>
    <w:p w:rsidR="00B445CA" w:rsidRPr="008573C5" w:rsidRDefault="00B445CA" w:rsidP="00BB4909">
      <w:pPr>
        <w:spacing w:line="360" w:lineRule="auto"/>
        <w:rPr>
          <w:b/>
          <w:sz w:val="28"/>
          <w:szCs w:val="28"/>
        </w:rPr>
      </w:pPr>
    </w:p>
    <w:p w:rsidR="00B445CA" w:rsidRPr="008573C5" w:rsidRDefault="00B445CA" w:rsidP="00BB4909">
      <w:pPr>
        <w:spacing w:line="360" w:lineRule="auto"/>
        <w:rPr>
          <w:b/>
          <w:sz w:val="28"/>
          <w:szCs w:val="28"/>
        </w:rPr>
      </w:pPr>
    </w:p>
    <w:p w:rsidR="00B445CA" w:rsidRPr="008573C5" w:rsidRDefault="00B445CA" w:rsidP="00BB4909">
      <w:pPr>
        <w:spacing w:line="360" w:lineRule="auto"/>
        <w:rPr>
          <w:b/>
          <w:sz w:val="28"/>
          <w:szCs w:val="28"/>
        </w:rPr>
      </w:pPr>
    </w:p>
    <w:p w:rsidR="00B445CA" w:rsidRPr="008573C5" w:rsidRDefault="00B445CA" w:rsidP="00BB4909">
      <w:pPr>
        <w:spacing w:line="360" w:lineRule="auto"/>
        <w:rPr>
          <w:b/>
          <w:sz w:val="28"/>
          <w:szCs w:val="28"/>
        </w:rPr>
      </w:pPr>
    </w:p>
    <w:p w:rsidR="00BB4909" w:rsidRPr="008573C5" w:rsidRDefault="009D201B" w:rsidP="00BB4909">
      <w:pPr>
        <w:spacing w:line="360" w:lineRule="auto"/>
        <w:rPr>
          <w:b/>
          <w:sz w:val="28"/>
          <w:szCs w:val="28"/>
        </w:rPr>
      </w:pPr>
      <w:r w:rsidRPr="008573C5">
        <w:rPr>
          <w:b/>
          <w:sz w:val="28"/>
          <w:szCs w:val="28"/>
        </w:rPr>
        <w:t>1.9</w:t>
      </w:r>
      <w:r w:rsidR="00EF281F" w:rsidRPr="008573C5">
        <w:rPr>
          <w:b/>
          <w:sz w:val="28"/>
          <w:szCs w:val="28"/>
        </w:rPr>
        <w:t xml:space="preserve"> </w:t>
      </w:r>
      <w:r w:rsidR="00EF281F" w:rsidRPr="008573C5">
        <w:rPr>
          <w:b/>
          <w:sz w:val="28"/>
          <w:szCs w:val="28"/>
        </w:rPr>
        <w:tab/>
      </w:r>
      <w:r w:rsidR="00BB4909" w:rsidRPr="008573C5">
        <w:rPr>
          <w:b/>
          <w:sz w:val="28"/>
          <w:szCs w:val="28"/>
        </w:rPr>
        <w:t>Operational Definition of Terms</w:t>
      </w:r>
    </w:p>
    <w:p w:rsidR="00BB4909" w:rsidRPr="008573C5" w:rsidRDefault="00BB4909" w:rsidP="00BB4909">
      <w:pPr>
        <w:spacing w:line="360" w:lineRule="auto"/>
        <w:jc w:val="both"/>
        <w:rPr>
          <w:lang w:val="en-GB"/>
        </w:rPr>
      </w:pPr>
      <w:r w:rsidRPr="008573C5">
        <w:rPr>
          <w:b/>
          <w:lang w:val="en-GB"/>
        </w:rPr>
        <w:t>Accounting Standards</w:t>
      </w:r>
      <w:r w:rsidRPr="008573C5">
        <w:rPr>
          <w:lang w:val="en-GB"/>
        </w:rPr>
        <w:t xml:space="preserve"> are policy documents or rules that guide the preparation and presentation of financial information.</w:t>
      </w:r>
    </w:p>
    <w:p w:rsidR="008E0003" w:rsidRPr="008573C5" w:rsidRDefault="008E0003" w:rsidP="008E0003">
      <w:pPr>
        <w:spacing w:line="360" w:lineRule="auto"/>
        <w:rPr>
          <w:rFonts w:eastAsia="Calibri"/>
        </w:rPr>
      </w:pPr>
      <w:r w:rsidRPr="008573C5">
        <w:rPr>
          <w:b/>
        </w:rPr>
        <w:t xml:space="preserve">Big four audit firms </w:t>
      </w:r>
      <w:r w:rsidRPr="008573C5">
        <w:t xml:space="preserve">refer to the four largest international audit firms in Nigeria, these are </w:t>
      </w:r>
      <w:r w:rsidRPr="008573C5">
        <w:rPr>
          <w:rFonts w:eastAsia="Calibri"/>
        </w:rPr>
        <w:t>PricewaterhouseCoopers, Erne</w:t>
      </w:r>
      <w:r w:rsidR="00A52626" w:rsidRPr="008573C5">
        <w:rPr>
          <w:rFonts w:eastAsia="Calibri"/>
        </w:rPr>
        <w:t>st and Young,</w:t>
      </w:r>
      <w:r w:rsidRPr="008573C5">
        <w:rPr>
          <w:rFonts w:eastAsia="Calibri"/>
        </w:rPr>
        <w:t xml:space="preserve"> Akintola Williams Deloitte and Touch and KPMG. </w:t>
      </w:r>
    </w:p>
    <w:p w:rsidR="00BB4909" w:rsidRPr="008573C5" w:rsidRDefault="00BB4909" w:rsidP="00BB4909">
      <w:pPr>
        <w:spacing w:line="360" w:lineRule="auto"/>
        <w:jc w:val="both"/>
      </w:pPr>
      <w:r w:rsidRPr="008573C5">
        <w:rPr>
          <w:b/>
        </w:rPr>
        <w:t>Convergence</w:t>
      </w:r>
      <w:r w:rsidRPr="008573C5">
        <w:t xml:space="preserve"> refers to the process of narrowing differences between IFRS and the accounting standards of countries that retain their own standards.</w:t>
      </w:r>
    </w:p>
    <w:p w:rsidR="00BB4909" w:rsidRPr="008573C5" w:rsidRDefault="00BB4909" w:rsidP="00BB4909">
      <w:pPr>
        <w:spacing w:line="360" w:lineRule="auto"/>
        <w:jc w:val="both"/>
      </w:pPr>
      <w:r w:rsidRPr="008573C5">
        <w:rPr>
          <w:b/>
        </w:rPr>
        <w:t xml:space="preserve">Corporate Attributes </w:t>
      </w:r>
      <w:r w:rsidRPr="008573C5">
        <w:t>are</w:t>
      </w:r>
      <w:r w:rsidRPr="008573C5">
        <w:rPr>
          <w:b/>
        </w:rPr>
        <w:t xml:space="preserve"> </w:t>
      </w:r>
      <w:r w:rsidRPr="008573C5">
        <w:t>company characteristics that can influence corporate disclosure.</w:t>
      </w:r>
    </w:p>
    <w:p w:rsidR="00BB4909" w:rsidRPr="008573C5" w:rsidRDefault="00BB4909" w:rsidP="00BB4909">
      <w:pPr>
        <w:spacing w:line="360" w:lineRule="auto"/>
        <w:jc w:val="both"/>
      </w:pPr>
      <w:r w:rsidRPr="008573C5">
        <w:rPr>
          <w:b/>
        </w:rPr>
        <w:t>Disclosure</w:t>
      </w:r>
      <w:r w:rsidRPr="008573C5">
        <w:t xml:space="preserve"> is the appearance of quantitative or qualitative economic information relating to a business enterprise in the annual reports. </w:t>
      </w:r>
    </w:p>
    <w:p w:rsidR="008E0003" w:rsidRPr="008573C5" w:rsidRDefault="008E0003" w:rsidP="008E0003">
      <w:pPr>
        <w:spacing w:line="360" w:lineRule="auto"/>
      </w:pPr>
      <w:r w:rsidRPr="008573C5">
        <w:rPr>
          <w:b/>
        </w:rPr>
        <w:t xml:space="preserve">GAAP </w:t>
      </w:r>
      <w:r w:rsidRPr="008573C5">
        <w:t>is the generally accepted accounting principles</w:t>
      </w:r>
      <w:r w:rsidR="00A52626" w:rsidRPr="008573C5">
        <w:t>.</w:t>
      </w:r>
    </w:p>
    <w:p w:rsidR="00BB4909" w:rsidRPr="008573C5" w:rsidRDefault="00BB4909" w:rsidP="00BB4909">
      <w:pPr>
        <w:spacing w:line="360" w:lineRule="auto"/>
        <w:jc w:val="both"/>
        <w:rPr>
          <w:lang w:val="en-GB"/>
        </w:rPr>
      </w:pPr>
      <w:r w:rsidRPr="008573C5">
        <w:rPr>
          <w:b/>
          <w:lang w:val="en-GB"/>
        </w:rPr>
        <w:t xml:space="preserve">International Accounting Standard (IAS) </w:t>
      </w:r>
      <w:r w:rsidRPr="008573C5">
        <w:rPr>
          <w:lang w:val="en-GB"/>
        </w:rPr>
        <w:t>is a body of accounting standard issued by the International Accounting Standards Committee (IASC) now known as IASB.</w:t>
      </w:r>
    </w:p>
    <w:p w:rsidR="00BB4909" w:rsidRPr="008573C5" w:rsidRDefault="00BB4909" w:rsidP="00BB4909">
      <w:pPr>
        <w:spacing w:line="360" w:lineRule="auto"/>
        <w:jc w:val="both"/>
        <w:rPr>
          <w:lang w:val="en-GB"/>
        </w:rPr>
      </w:pPr>
      <w:r w:rsidRPr="008573C5">
        <w:rPr>
          <w:b/>
          <w:lang w:val="en-GB"/>
        </w:rPr>
        <w:t>International Accounting Standards Board (IASB)</w:t>
      </w:r>
      <w:r w:rsidRPr="008573C5">
        <w:rPr>
          <w:lang w:val="en-GB"/>
        </w:rPr>
        <w:t xml:space="preserve"> is the international standard setting body responsible for issuing International Financial Reporting Standards.</w:t>
      </w:r>
    </w:p>
    <w:p w:rsidR="00BB4909" w:rsidRPr="008573C5" w:rsidRDefault="00BB4909" w:rsidP="00BB4909">
      <w:pPr>
        <w:spacing w:line="360" w:lineRule="auto"/>
        <w:jc w:val="both"/>
      </w:pPr>
      <w:r w:rsidRPr="008573C5">
        <w:rPr>
          <w:b/>
          <w:lang w:val="en-GB"/>
        </w:rPr>
        <w:t>International Financial Reporting Standard (IFRS)</w:t>
      </w:r>
      <w:r w:rsidRPr="008573C5">
        <w:rPr>
          <w:lang w:val="en-GB"/>
        </w:rPr>
        <w:t xml:space="preserve"> is a body of accounting and financial reporting standard promulgated by the IASB;</w:t>
      </w:r>
      <w:r w:rsidRPr="008573C5">
        <w:t xml:space="preserve"> it includes standards and interpretations adopted by the IASB.</w:t>
      </w:r>
    </w:p>
    <w:p w:rsidR="00BB4909" w:rsidRPr="008573C5" w:rsidRDefault="00BB4909" w:rsidP="00BB4909">
      <w:pPr>
        <w:spacing w:line="360" w:lineRule="auto"/>
        <w:jc w:val="both"/>
        <w:rPr>
          <w:lang w:val="en-GB"/>
        </w:rPr>
      </w:pPr>
      <w:r w:rsidRPr="008573C5">
        <w:rPr>
          <w:b/>
          <w:lang w:val="en-GB"/>
        </w:rPr>
        <w:t xml:space="preserve">Mandatory disclosure </w:t>
      </w:r>
      <w:r w:rsidRPr="008573C5">
        <w:rPr>
          <w:lang w:val="en-GB"/>
        </w:rPr>
        <w:t>refers to the information companies are obliged to disclose by the accounting standards setting body.</w:t>
      </w:r>
    </w:p>
    <w:p w:rsidR="00BB4909" w:rsidRPr="008573C5" w:rsidRDefault="00BB4909" w:rsidP="00BB4909">
      <w:pPr>
        <w:spacing w:line="360" w:lineRule="auto"/>
        <w:jc w:val="both"/>
        <w:rPr>
          <w:lang w:val="en-GB"/>
        </w:rPr>
      </w:pPr>
      <w:r w:rsidRPr="008573C5">
        <w:rPr>
          <w:b/>
          <w:lang w:val="en-GB"/>
        </w:rPr>
        <w:t xml:space="preserve">Nigerian Accounting Standards Board (NASB) </w:t>
      </w:r>
      <w:r w:rsidRPr="008573C5">
        <w:rPr>
          <w:lang w:val="en-GB"/>
        </w:rPr>
        <w:t xml:space="preserve">is the Nigerian accounting standards setting body responsible for issuing Statement of Accounting Standards (SAS). </w:t>
      </w:r>
    </w:p>
    <w:p w:rsidR="00BB4909" w:rsidRPr="008573C5" w:rsidRDefault="00BB4909" w:rsidP="00BB4909">
      <w:pPr>
        <w:spacing w:line="360" w:lineRule="auto"/>
        <w:jc w:val="both"/>
        <w:rPr>
          <w:lang w:val="en-GB"/>
        </w:rPr>
      </w:pPr>
      <w:r w:rsidRPr="008573C5">
        <w:rPr>
          <w:b/>
          <w:lang w:val="en-GB"/>
        </w:rPr>
        <w:t xml:space="preserve">Statement of Accounting Standard (SAS) </w:t>
      </w:r>
      <w:r w:rsidRPr="008573C5">
        <w:rPr>
          <w:lang w:val="en-GB"/>
        </w:rPr>
        <w:t>is the accounting standard issued by the Nigerian Accounting Standards Board.</w:t>
      </w:r>
    </w:p>
    <w:p w:rsidR="00BB4909" w:rsidRPr="008573C5" w:rsidRDefault="00BB4909" w:rsidP="00BB4909">
      <w:pPr>
        <w:autoSpaceDE w:val="0"/>
        <w:autoSpaceDN w:val="0"/>
        <w:adjustRightInd w:val="0"/>
        <w:spacing w:line="360" w:lineRule="auto"/>
        <w:rPr>
          <w:b/>
        </w:rPr>
      </w:pPr>
      <w:r w:rsidRPr="008573C5">
        <w:rPr>
          <w:rFonts w:eastAsia="Calibri"/>
          <w:b/>
        </w:rPr>
        <w:t>Voluntary disclosure</w:t>
      </w:r>
      <w:r w:rsidRPr="008573C5">
        <w:rPr>
          <w:rFonts w:eastAsia="Calibri"/>
        </w:rPr>
        <w:t xml:space="preserve"> refers to the discretionary release of financial information over and above the mandatory disclosure.</w:t>
      </w:r>
    </w:p>
    <w:p w:rsidR="00BB4909" w:rsidRPr="008573C5" w:rsidRDefault="00BB4909" w:rsidP="00BB4909">
      <w:pPr>
        <w:spacing w:line="360" w:lineRule="auto"/>
        <w:rPr>
          <w:b/>
          <w:sz w:val="28"/>
          <w:szCs w:val="28"/>
        </w:rPr>
      </w:pPr>
    </w:p>
    <w:p w:rsidR="007104A5" w:rsidRPr="008573C5" w:rsidRDefault="007104A5" w:rsidP="00FF5EDF">
      <w:pPr>
        <w:spacing w:before="100" w:beforeAutospacing="1" w:after="100" w:afterAutospacing="1" w:line="360" w:lineRule="auto"/>
        <w:jc w:val="center"/>
        <w:rPr>
          <w:b/>
          <w:sz w:val="32"/>
          <w:szCs w:val="32"/>
        </w:rPr>
      </w:pPr>
    </w:p>
    <w:p w:rsidR="00FF5EDF" w:rsidRPr="008573C5" w:rsidRDefault="00B579A5" w:rsidP="00B445CA">
      <w:pPr>
        <w:spacing w:line="360" w:lineRule="auto"/>
        <w:jc w:val="center"/>
        <w:rPr>
          <w:b/>
          <w:sz w:val="32"/>
          <w:szCs w:val="32"/>
        </w:rPr>
      </w:pPr>
      <w:r w:rsidRPr="008573C5">
        <w:rPr>
          <w:b/>
          <w:sz w:val="32"/>
          <w:szCs w:val="32"/>
        </w:rPr>
        <w:t>C</w:t>
      </w:r>
      <w:r w:rsidR="00FF5EDF" w:rsidRPr="008573C5">
        <w:rPr>
          <w:b/>
          <w:sz w:val="32"/>
          <w:szCs w:val="32"/>
        </w:rPr>
        <w:t>HAPTER TWO</w:t>
      </w:r>
    </w:p>
    <w:p w:rsidR="00FF5EDF" w:rsidRPr="008573C5" w:rsidRDefault="00FF5EDF" w:rsidP="00B445CA">
      <w:pPr>
        <w:jc w:val="center"/>
        <w:rPr>
          <w:b/>
          <w:sz w:val="32"/>
          <w:szCs w:val="32"/>
        </w:rPr>
      </w:pPr>
      <w:r w:rsidRPr="008573C5">
        <w:rPr>
          <w:b/>
          <w:sz w:val="32"/>
          <w:szCs w:val="32"/>
        </w:rPr>
        <w:t xml:space="preserve">LITERATURE REVIEW </w:t>
      </w:r>
      <w:r w:rsidR="00B579A5" w:rsidRPr="008573C5">
        <w:rPr>
          <w:b/>
          <w:sz w:val="32"/>
          <w:szCs w:val="32"/>
        </w:rPr>
        <w:t>AND THEORETICAL FRAMEWORK</w:t>
      </w:r>
    </w:p>
    <w:p w:rsidR="00FF5EDF" w:rsidRPr="008573C5" w:rsidRDefault="00FF5EDF" w:rsidP="00FF5EDF">
      <w:pPr>
        <w:spacing w:before="100" w:beforeAutospacing="1" w:after="100" w:afterAutospacing="1" w:line="360" w:lineRule="auto"/>
        <w:rPr>
          <w:b/>
          <w:sz w:val="28"/>
          <w:szCs w:val="28"/>
        </w:rPr>
      </w:pPr>
      <w:r w:rsidRPr="008573C5">
        <w:rPr>
          <w:b/>
          <w:sz w:val="28"/>
          <w:szCs w:val="28"/>
        </w:rPr>
        <w:t>2.0</w:t>
      </w:r>
      <w:r w:rsidRPr="008573C5">
        <w:rPr>
          <w:b/>
          <w:sz w:val="28"/>
          <w:szCs w:val="28"/>
        </w:rPr>
        <w:tab/>
        <w:t>I</w:t>
      </w:r>
      <w:r w:rsidR="00CE2EA1" w:rsidRPr="008573C5">
        <w:rPr>
          <w:b/>
          <w:sz w:val="28"/>
          <w:szCs w:val="28"/>
        </w:rPr>
        <w:t>ntroduction</w:t>
      </w:r>
    </w:p>
    <w:p w:rsidR="00FF5EDF" w:rsidRPr="008573C5" w:rsidRDefault="00FF5EDF" w:rsidP="00FF5EDF">
      <w:pPr>
        <w:spacing w:line="360" w:lineRule="auto"/>
        <w:jc w:val="both"/>
        <w:rPr>
          <w:rFonts w:ascii="TimesNewRomanPSMT" w:hAnsi="TimesNewRomanPSMT" w:cs="TimesNewRomanPSMT"/>
        </w:rPr>
      </w:pPr>
      <w:r w:rsidRPr="008573C5">
        <w:t xml:space="preserve">This chapter places the study in </w:t>
      </w:r>
      <w:r w:rsidR="005F775D" w:rsidRPr="008573C5">
        <w:t xml:space="preserve">context </w:t>
      </w:r>
      <w:r w:rsidR="008B4C73" w:rsidRPr="008573C5">
        <w:t>by</w:t>
      </w:r>
      <w:r w:rsidRPr="008573C5">
        <w:t xml:space="preserve"> reviewing the</w:t>
      </w:r>
      <w:r w:rsidR="00D00F9C" w:rsidRPr="008573C5">
        <w:t xml:space="preserve"> relevant literature</w:t>
      </w:r>
      <w:r w:rsidRPr="008573C5">
        <w:t xml:space="preserve"> and theories on financial reporting disclosures. This chapter is divided into four sections. </w:t>
      </w:r>
      <w:r w:rsidR="00005744" w:rsidRPr="008573C5">
        <w:t>Section</w:t>
      </w:r>
      <w:r w:rsidR="00C127FB" w:rsidRPr="008573C5">
        <w:t xml:space="preserve"> </w:t>
      </w:r>
      <w:r w:rsidRPr="008573C5">
        <w:t xml:space="preserve">2.1 reviews the legal framework, </w:t>
      </w:r>
      <w:r w:rsidR="00005744" w:rsidRPr="008573C5">
        <w:t>Section</w:t>
      </w:r>
      <w:r w:rsidR="00CA6CB9" w:rsidRPr="008573C5">
        <w:t xml:space="preserve"> 2.</w:t>
      </w:r>
      <w:r w:rsidR="00040B96" w:rsidRPr="008573C5">
        <w:t>2</w:t>
      </w:r>
      <w:r w:rsidR="00CA6CB9" w:rsidRPr="008573C5">
        <w:t xml:space="preserve"> reviews the relevant literature on disclosures</w:t>
      </w:r>
      <w:r w:rsidR="00A91114" w:rsidRPr="008573C5">
        <w:t xml:space="preserve"> and corporate attributes</w:t>
      </w:r>
      <w:r w:rsidR="00040B96" w:rsidRPr="008573C5">
        <w:t xml:space="preserve">, </w:t>
      </w:r>
      <w:r w:rsidR="00005744" w:rsidRPr="008573C5">
        <w:t>Section</w:t>
      </w:r>
      <w:r w:rsidRPr="008573C5">
        <w:t xml:space="preserve"> 2.</w:t>
      </w:r>
      <w:r w:rsidR="00040B96" w:rsidRPr="008573C5">
        <w:t>3</w:t>
      </w:r>
      <w:r w:rsidRPr="008573C5">
        <w:t xml:space="preserve"> explores the theories that are relevant in explaining financial disclosures</w:t>
      </w:r>
      <w:r w:rsidR="00040B96" w:rsidRPr="008573C5">
        <w:t>, and finally</w:t>
      </w:r>
      <w:r w:rsidR="00244DEC" w:rsidRPr="008573C5">
        <w:t xml:space="preserve">, </w:t>
      </w:r>
      <w:r w:rsidR="00005744" w:rsidRPr="008573C5">
        <w:t>Section</w:t>
      </w:r>
      <w:r w:rsidR="00040B96" w:rsidRPr="008573C5">
        <w:t xml:space="preserve"> 2.4 highlights the conceptual framework</w:t>
      </w:r>
      <w:r w:rsidR="00244DEC" w:rsidRPr="008573C5">
        <w:t>.</w:t>
      </w:r>
    </w:p>
    <w:p w:rsidR="00FF5EDF" w:rsidRPr="008573C5" w:rsidRDefault="00FF5EDF" w:rsidP="00FF5EDF">
      <w:pPr>
        <w:spacing w:line="360" w:lineRule="auto"/>
        <w:rPr>
          <w:b/>
        </w:rPr>
      </w:pPr>
    </w:p>
    <w:p w:rsidR="00FF5EDF" w:rsidRPr="008573C5" w:rsidRDefault="00FF5EDF" w:rsidP="00FF5EDF">
      <w:pPr>
        <w:spacing w:line="360" w:lineRule="auto"/>
        <w:rPr>
          <w:b/>
          <w:sz w:val="28"/>
          <w:szCs w:val="28"/>
        </w:rPr>
      </w:pPr>
      <w:r w:rsidRPr="008573C5">
        <w:rPr>
          <w:b/>
          <w:sz w:val="28"/>
          <w:szCs w:val="28"/>
        </w:rPr>
        <w:t>2.1</w:t>
      </w:r>
      <w:r w:rsidRPr="008573C5">
        <w:rPr>
          <w:b/>
          <w:sz w:val="28"/>
          <w:szCs w:val="28"/>
        </w:rPr>
        <w:tab/>
        <w:t>L</w:t>
      </w:r>
      <w:r w:rsidR="00746B7B" w:rsidRPr="008573C5">
        <w:rPr>
          <w:b/>
          <w:sz w:val="28"/>
          <w:szCs w:val="28"/>
        </w:rPr>
        <w:t xml:space="preserve">egal </w:t>
      </w:r>
      <w:r w:rsidR="00CE2EA1" w:rsidRPr="008573C5">
        <w:rPr>
          <w:b/>
          <w:sz w:val="28"/>
          <w:szCs w:val="28"/>
        </w:rPr>
        <w:t xml:space="preserve"> Framework</w:t>
      </w:r>
    </w:p>
    <w:p w:rsidR="00FF5EDF" w:rsidRPr="008573C5" w:rsidRDefault="00FF5EDF" w:rsidP="00FF5EDF">
      <w:pPr>
        <w:autoSpaceDE w:val="0"/>
        <w:autoSpaceDN w:val="0"/>
        <w:adjustRightInd w:val="0"/>
        <w:spacing w:after="120" w:line="360" w:lineRule="auto"/>
        <w:jc w:val="both"/>
        <w:rPr>
          <w:lang w:val="en-GB" w:eastAsia="en-GB"/>
        </w:rPr>
      </w:pPr>
      <w:r w:rsidRPr="008573C5">
        <w:rPr>
          <w:lang w:val="en-GB" w:eastAsia="en-GB"/>
        </w:rPr>
        <w:t>Accounting and financial reporting requirements of companies in Nigeria are regulated by a multiplicity of laws and bodies</w:t>
      </w:r>
      <w:r w:rsidR="0008391B" w:rsidRPr="008573C5">
        <w:rPr>
          <w:lang w:val="en-GB" w:eastAsia="en-GB"/>
        </w:rPr>
        <w:t xml:space="preserve"> </w:t>
      </w:r>
      <w:r w:rsidR="00C127FB" w:rsidRPr="008573C5">
        <w:rPr>
          <w:lang w:val="en-GB" w:eastAsia="en-GB"/>
        </w:rPr>
        <w:t>(</w:t>
      </w:r>
      <w:r w:rsidR="00097DEC" w:rsidRPr="008573C5">
        <w:rPr>
          <w:lang w:val="en-GB" w:eastAsia="en-GB"/>
        </w:rPr>
        <w:t>World Bank, 2004:2)</w:t>
      </w:r>
      <w:r w:rsidRPr="008573C5">
        <w:t xml:space="preserve">. These </w:t>
      </w:r>
      <w:r w:rsidRPr="008573C5">
        <w:rPr>
          <w:lang w:val="en-GB" w:eastAsia="en-GB"/>
        </w:rPr>
        <w:t xml:space="preserve">include </w:t>
      </w:r>
      <w:r w:rsidR="00A1793C" w:rsidRPr="008573C5">
        <w:t>Companies and Allied Matters Act CAP. 20 L.F.N. 2004,</w:t>
      </w:r>
      <w:r w:rsidRPr="008573C5">
        <w:rPr>
          <w:lang w:val="en-GB" w:eastAsia="en-GB"/>
        </w:rPr>
        <w:t xml:space="preserve"> Securities and Exchange Commission Rules and Regulation</w:t>
      </w:r>
      <w:r w:rsidR="004B5B5F" w:rsidRPr="008573C5">
        <w:rPr>
          <w:lang w:val="en-GB" w:eastAsia="en-GB"/>
        </w:rPr>
        <w:t>s</w:t>
      </w:r>
      <w:r w:rsidRPr="008573C5">
        <w:rPr>
          <w:lang w:val="en-GB" w:eastAsia="en-GB"/>
        </w:rPr>
        <w:t xml:space="preserve"> (1999), </w:t>
      </w:r>
      <w:r w:rsidR="00A1793C" w:rsidRPr="008573C5">
        <w:t>Investments and Securities Act CAP.124 L.F.N. 2004</w:t>
      </w:r>
      <w:r w:rsidRPr="008573C5">
        <w:rPr>
          <w:lang w:val="en-GB" w:eastAsia="en-GB"/>
        </w:rPr>
        <w:t>, Nigerian Stock Exchanges Act (1961), Banks and Other Financial Institutions Act (1991), Nigerian Insurance Act (2003), Nigerian Accounting Standards Board Act (2003), Institute of Chartered Accountant</w:t>
      </w:r>
      <w:r w:rsidR="00C127FB" w:rsidRPr="008573C5">
        <w:rPr>
          <w:lang w:val="en-GB" w:eastAsia="en-GB"/>
        </w:rPr>
        <w:t xml:space="preserve">s of Nigeria Act (1965) and </w:t>
      </w:r>
      <w:r w:rsidRPr="008573C5">
        <w:rPr>
          <w:lang w:val="en-GB" w:eastAsia="en-GB"/>
        </w:rPr>
        <w:t xml:space="preserve">Association of National Accountants of Nigeria Act (1993). </w:t>
      </w:r>
    </w:p>
    <w:p w:rsidR="00B445CA" w:rsidRPr="008573C5" w:rsidRDefault="00B445CA" w:rsidP="007950F7">
      <w:pPr>
        <w:autoSpaceDE w:val="0"/>
        <w:autoSpaceDN w:val="0"/>
        <w:adjustRightInd w:val="0"/>
        <w:spacing w:after="120" w:line="360" w:lineRule="auto"/>
        <w:jc w:val="both"/>
      </w:pPr>
    </w:p>
    <w:p w:rsidR="001F2EA1" w:rsidRPr="008573C5" w:rsidRDefault="00FF5EDF" w:rsidP="007950F7">
      <w:pPr>
        <w:autoSpaceDE w:val="0"/>
        <w:autoSpaceDN w:val="0"/>
        <w:adjustRightInd w:val="0"/>
        <w:spacing w:after="120" w:line="360" w:lineRule="auto"/>
        <w:jc w:val="both"/>
      </w:pPr>
      <w:r w:rsidRPr="008573C5">
        <w:t xml:space="preserve">The main legal framework for corporate accounting practices in Nigeria is the Companies and Allied Matters Act </w:t>
      </w:r>
      <w:r w:rsidR="00A1793C" w:rsidRPr="008573C5">
        <w:t>CAP. 20 L.F.N. 2004</w:t>
      </w:r>
      <w:r w:rsidRPr="008573C5">
        <w:t>.</w:t>
      </w:r>
      <w:r w:rsidR="007950F7" w:rsidRPr="008573C5">
        <w:t xml:space="preserve"> </w:t>
      </w:r>
      <w:r w:rsidRPr="008573C5">
        <w:t xml:space="preserve">The SEC regulates securities market participants under the Investments and Securities Act </w:t>
      </w:r>
      <w:r w:rsidR="00A1793C" w:rsidRPr="008573C5">
        <w:t>CAP.124 L.F.N. 2004</w:t>
      </w:r>
      <w:r w:rsidRPr="008573C5">
        <w:t xml:space="preserve"> and the Securities and Exchange Commission Rules and Regulations (1999). The Nigerian Stock Exchange, established by the Nigerian Stock Exchange Act of 1961, supports the Securities and Exchange Commission to supervise the securities market operations</w:t>
      </w:r>
      <w:r w:rsidR="001F2EA1" w:rsidRPr="008573C5">
        <w:t xml:space="preserve">, and regulates the </w:t>
      </w:r>
      <w:r w:rsidRPr="008573C5">
        <w:t>capital market.</w:t>
      </w:r>
      <w:r w:rsidR="001F2EA1" w:rsidRPr="008573C5">
        <w:t xml:space="preserve"> Within the capital market there exists the primary and secondary market. The primary market issues new securities and the secondary market deals with existing</w:t>
      </w:r>
      <w:r w:rsidR="000D2987" w:rsidRPr="008573C5">
        <w:t xml:space="preserve"> securities</w:t>
      </w:r>
      <w:r w:rsidR="001F2EA1" w:rsidRPr="008573C5">
        <w:t>.</w:t>
      </w:r>
    </w:p>
    <w:p w:rsidR="001F2EA1" w:rsidRPr="008573C5" w:rsidRDefault="001F2EA1" w:rsidP="007950F7">
      <w:pPr>
        <w:autoSpaceDE w:val="0"/>
        <w:autoSpaceDN w:val="0"/>
        <w:adjustRightInd w:val="0"/>
        <w:spacing w:after="120" w:line="360" w:lineRule="auto"/>
        <w:jc w:val="both"/>
      </w:pPr>
    </w:p>
    <w:p w:rsidR="00FF5EDF" w:rsidRPr="008573C5" w:rsidRDefault="00FF5EDF" w:rsidP="007950F7">
      <w:pPr>
        <w:autoSpaceDE w:val="0"/>
        <w:autoSpaceDN w:val="0"/>
        <w:adjustRightInd w:val="0"/>
        <w:spacing w:after="120" w:line="360" w:lineRule="auto"/>
        <w:jc w:val="both"/>
      </w:pPr>
      <w:r w:rsidRPr="008573C5">
        <w:t xml:space="preserve">The Central Bank of Nigeria is the main statutory regulator of banks and nonbanking financial institutions under the </w:t>
      </w:r>
      <w:r w:rsidR="004154E2" w:rsidRPr="008573C5">
        <w:t>provisions</w:t>
      </w:r>
      <w:r w:rsidRPr="008573C5">
        <w:t xml:space="preserve"> of the Banks and Other Financial Institutions Act (1991). The Banks and Other Financial Institutions Act (1991) contain</w:t>
      </w:r>
      <w:r w:rsidR="004B5B5F" w:rsidRPr="008573C5">
        <w:t>s</w:t>
      </w:r>
      <w:r w:rsidRPr="008573C5">
        <w:t xml:space="preserve"> provision on financial reporting by banks in addition to CAMA requirements. The National Insurance Commission regulates financial reporting practices of insurance companies under the Nigerian Insurance Act of 2003. CAMA </w:t>
      </w:r>
      <w:r w:rsidR="00E079AE" w:rsidRPr="008573C5">
        <w:t>2004 as amended</w:t>
      </w:r>
      <w:r w:rsidRPr="008573C5">
        <w:t xml:space="preserve"> requires financial statements of companies in Nigeria to comply with the accounting standards as laid down from time to time by the Nigerian Accounting Standard Board as constituted.  </w:t>
      </w:r>
      <w:r w:rsidRPr="008573C5">
        <w:rPr>
          <w:lang w:val="en-GB" w:eastAsia="en-GB"/>
        </w:rPr>
        <w:t xml:space="preserve"> </w:t>
      </w:r>
    </w:p>
    <w:p w:rsidR="00FF5EDF" w:rsidRPr="008573C5" w:rsidRDefault="00FF5EDF" w:rsidP="007950F7">
      <w:pPr>
        <w:spacing w:line="360" w:lineRule="auto"/>
        <w:jc w:val="both"/>
      </w:pPr>
    </w:p>
    <w:p w:rsidR="00E079AE" w:rsidRPr="008573C5" w:rsidRDefault="00CE2EA1" w:rsidP="007950F7">
      <w:pPr>
        <w:spacing w:line="360" w:lineRule="auto"/>
        <w:jc w:val="both"/>
        <w:rPr>
          <w:b/>
          <w:sz w:val="28"/>
          <w:szCs w:val="28"/>
        </w:rPr>
      </w:pPr>
      <w:r w:rsidRPr="008573C5">
        <w:rPr>
          <w:b/>
          <w:sz w:val="28"/>
          <w:szCs w:val="28"/>
        </w:rPr>
        <w:t xml:space="preserve">2.1.1   </w:t>
      </w:r>
      <w:r w:rsidR="00FF5EDF" w:rsidRPr="008573C5">
        <w:rPr>
          <w:b/>
          <w:sz w:val="28"/>
          <w:szCs w:val="28"/>
        </w:rPr>
        <w:t xml:space="preserve">Companies and Allied Matters Act (CAMA) </w:t>
      </w:r>
      <w:r w:rsidR="00404464" w:rsidRPr="008573C5">
        <w:rPr>
          <w:b/>
          <w:sz w:val="28"/>
          <w:szCs w:val="28"/>
        </w:rPr>
        <w:t xml:space="preserve">CAP. C20 L.F.N. </w:t>
      </w:r>
      <w:r w:rsidR="00E079AE" w:rsidRPr="008573C5">
        <w:rPr>
          <w:b/>
          <w:sz w:val="28"/>
          <w:szCs w:val="28"/>
        </w:rPr>
        <w:t>2004</w:t>
      </w:r>
    </w:p>
    <w:p w:rsidR="00FF5EDF" w:rsidRPr="008573C5" w:rsidRDefault="00FF5EDF" w:rsidP="007950F7">
      <w:pPr>
        <w:spacing w:line="360" w:lineRule="auto"/>
        <w:jc w:val="both"/>
      </w:pPr>
      <w:r w:rsidRPr="008573C5">
        <w:t xml:space="preserve">Corporate financial reporting in Nigeria is currently guided by CAMA </w:t>
      </w:r>
      <w:r w:rsidR="00E079AE" w:rsidRPr="008573C5">
        <w:t>2004 (as amended)</w:t>
      </w:r>
      <w:r w:rsidRPr="008573C5">
        <w:t>. This is the major legislation governing financial reporting of companies in Nigeria.  The basic requirement relating to corporate financial reporting is contained in Part XI- Financial Statements and Audit. Section</w:t>
      </w:r>
      <w:r w:rsidR="001B1E23" w:rsidRPr="008573C5">
        <w:t>s 331- 356 relate</w:t>
      </w:r>
      <w:r w:rsidRPr="008573C5">
        <w:t xml:space="preserve"> to financial statements while section</w:t>
      </w:r>
      <w:r w:rsidR="001B1E23" w:rsidRPr="008573C5">
        <w:t>s 357 to 369 relate</w:t>
      </w:r>
      <w:r w:rsidRPr="008573C5">
        <w:t xml:space="preserve"> to Audit. </w:t>
      </w:r>
    </w:p>
    <w:p w:rsidR="00F47D7D" w:rsidRPr="008573C5" w:rsidRDefault="00F47D7D" w:rsidP="007950F7">
      <w:pPr>
        <w:spacing w:line="360" w:lineRule="auto"/>
        <w:jc w:val="both"/>
      </w:pPr>
    </w:p>
    <w:p w:rsidR="00FF5EDF" w:rsidRPr="008573C5" w:rsidRDefault="0055015E" w:rsidP="007950F7">
      <w:pPr>
        <w:spacing w:line="360" w:lineRule="auto"/>
        <w:jc w:val="both"/>
      </w:pPr>
      <w:r w:rsidRPr="008573C5">
        <w:t xml:space="preserve">Section 331 </w:t>
      </w:r>
      <w:r w:rsidR="00FF5EDF" w:rsidRPr="008573C5">
        <w:t>compels all companies to keep accounting records. These accounting records should contain all matters in respect of all receipt and expenditure. The accounting records should be sufficient to show and disclose with reasonable accuracy, at any time, the financial position of the company.</w:t>
      </w:r>
    </w:p>
    <w:p w:rsidR="0055015E" w:rsidRPr="008573C5" w:rsidRDefault="0055015E" w:rsidP="007950F7">
      <w:pPr>
        <w:spacing w:line="360" w:lineRule="auto"/>
        <w:jc w:val="both"/>
      </w:pPr>
    </w:p>
    <w:p w:rsidR="00FF5EDF" w:rsidRPr="008573C5" w:rsidRDefault="00FF5EDF" w:rsidP="007950F7">
      <w:pPr>
        <w:spacing w:line="360" w:lineRule="auto"/>
        <w:jc w:val="both"/>
      </w:pPr>
      <w:r w:rsidRPr="008573C5">
        <w:t>Section 332</w:t>
      </w:r>
      <w:r w:rsidR="0055015E" w:rsidRPr="008573C5">
        <w:t xml:space="preserve"> </w:t>
      </w:r>
      <w:r w:rsidRPr="008573C5">
        <w:t>states that the accounting records should be kept in a registered office or such other place</w:t>
      </w:r>
      <w:r w:rsidR="00624B14" w:rsidRPr="008573C5">
        <w:t>s</w:t>
      </w:r>
      <w:r w:rsidRPr="008573C5">
        <w:t xml:space="preserve"> deemed fit by the directors, subject to subsection 2 of thi</w:t>
      </w:r>
      <w:r w:rsidR="001B1E23" w:rsidRPr="008573C5">
        <w:t>s section which is in respect of</w:t>
      </w:r>
      <w:r w:rsidRPr="008573C5">
        <w:t xml:space="preserve"> the disposal of records under winding up rules.</w:t>
      </w:r>
    </w:p>
    <w:p w:rsidR="0055015E" w:rsidRPr="008573C5" w:rsidRDefault="0055015E" w:rsidP="007950F7">
      <w:pPr>
        <w:spacing w:line="360" w:lineRule="auto"/>
        <w:jc w:val="both"/>
      </w:pPr>
    </w:p>
    <w:p w:rsidR="00FF5EDF" w:rsidRPr="008573C5" w:rsidRDefault="00FF5EDF" w:rsidP="007950F7">
      <w:pPr>
        <w:spacing w:line="360" w:lineRule="auto"/>
        <w:jc w:val="both"/>
      </w:pPr>
      <w:r w:rsidRPr="008573C5">
        <w:t>Section 333</w:t>
      </w:r>
      <w:r w:rsidR="0055015E" w:rsidRPr="008573C5">
        <w:t xml:space="preserve"> d</w:t>
      </w:r>
      <w:r w:rsidRPr="008573C5">
        <w:t>eals with penalties for non-compliance with the provisions of sections 331 and 332 of the CAMA.</w:t>
      </w:r>
    </w:p>
    <w:p w:rsidR="00F47D7D" w:rsidRPr="008573C5" w:rsidRDefault="00F47D7D" w:rsidP="007950F7">
      <w:pPr>
        <w:spacing w:line="360" w:lineRule="auto"/>
        <w:jc w:val="both"/>
      </w:pPr>
    </w:p>
    <w:p w:rsidR="00FF5EDF" w:rsidRPr="008573C5" w:rsidRDefault="0055015E" w:rsidP="007950F7">
      <w:pPr>
        <w:spacing w:line="360" w:lineRule="auto"/>
        <w:jc w:val="both"/>
      </w:pPr>
      <w:r w:rsidRPr="008573C5">
        <w:t xml:space="preserve">Section 334 </w:t>
      </w:r>
      <w:r w:rsidR="00FF5EDF" w:rsidRPr="008573C5">
        <w:t xml:space="preserve">requires directors of every company to prepare financial statements in respect of each year of the company. </w:t>
      </w:r>
      <w:r w:rsidR="004B5B5F" w:rsidRPr="008573C5">
        <w:t>S.</w:t>
      </w:r>
      <w:r w:rsidR="00FF5EDF" w:rsidRPr="008573C5">
        <w:t>334(2) states that the financial statements  should include:</w:t>
      </w:r>
    </w:p>
    <w:p w:rsidR="00FF5EDF" w:rsidRPr="008573C5" w:rsidRDefault="00FF5EDF" w:rsidP="007950F7">
      <w:pPr>
        <w:spacing w:line="360" w:lineRule="auto"/>
        <w:jc w:val="both"/>
      </w:pPr>
      <w:r w:rsidRPr="008573C5">
        <w:t>a)</w:t>
      </w:r>
      <w:r w:rsidRPr="008573C5">
        <w:tab/>
        <w:t>statement of accounting policies;</w:t>
      </w:r>
    </w:p>
    <w:p w:rsidR="00FF5EDF" w:rsidRPr="008573C5" w:rsidRDefault="00FF5EDF" w:rsidP="007950F7">
      <w:pPr>
        <w:spacing w:line="360" w:lineRule="auto"/>
        <w:jc w:val="both"/>
      </w:pPr>
      <w:r w:rsidRPr="008573C5">
        <w:t>b)</w:t>
      </w:r>
      <w:r w:rsidRPr="008573C5">
        <w:tab/>
        <w:t>the balance sheet as at the last date of the year;</w:t>
      </w:r>
    </w:p>
    <w:p w:rsidR="00FF5EDF" w:rsidRPr="008573C5" w:rsidRDefault="00FF5EDF" w:rsidP="007950F7">
      <w:pPr>
        <w:spacing w:line="360" w:lineRule="auto"/>
        <w:ind w:left="720" w:hanging="720"/>
        <w:jc w:val="both"/>
      </w:pPr>
      <w:r w:rsidRPr="008573C5">
        <w:t>c)</w:t>
      </w:r>
      <w:r w:rsidRPr="008573C5">
        <w:tab/>
        <w:t>a profit and loss account or, in the case of company not trading for profit</w:t>
      </w:r>
      <w:r w:rsidR="004B5B5F" w:rsidRPr="008573C5">
        <w:t>,</w:t>
      </w:r>
      <w:r w:rsidRPr="008573C5">
        <w:t xml:space="preserve">  an income and expenditure account for the year;</w:t>
      </w:r>
    </w:p>
    <w:p w:rsidR="00FF5EDF" w:rsidRPr="008573C5" w:rsidRDefault="00FF5EDF" w:rsidP="007950F7">
      <w:pPr>
        <w:spacing w:line="360" w:lineRule="auto"/>
        <w:jc w:val="both"/>
      </w:pPr>
      <w:r w:rsidRPr="008573C5">
        <w:t>d)</w:t>
      </w:r>
      <w:r w:rsidRPr="008573C5">
        <w:tab/>
        <w:t>notes on the account;</w:t>
      </w:r>
    </w:p>
    <w:p w:rsidR="00FF5EDF" w:rsidRPr="008573C5" w:rsidRDefault="00FF5EDF" w:rsidP="007950F7">
      <w:pPr>
        <w:spacing w:line="360" w:lineRule="auto"/>
        <w:jc w:val="both"/>
      </w:pPr>
      <w:r w:rsidRPr="008573C5">
        <w:t>e)</w:t>
      </w:r>
      <w:r w:rsidRPr="008573C5">
        <w:tab/>
        <w:t>the auditors</w:t>
      </w:r>
      <w:r w:rsidR="00C45BFB" w:rsidRPr="008573C5">
        <w:t>’</w:t>
      </w:r>
      <w:r w:rsidRPr="008573C5">
        <w:t xml:space="preserve"> report;</w:t>
      </w:r>
    </w:p>
    <w:p w:rsidR="00FF5EDF" w:rsidRPr="008573C5" w:rsidRDefault="00FF5EDF" w:rsidP="007950F7">
      <w:pPr>
        <w:spacing w:line="360" w:lineRule="auto"/>
        <w:jc w:val="both"/>
      </w:pPr>
      <w:r w:rsidRPr="008573C5">
        <w:t>f)</w:t>
      </w:r>
      <w:r w:rsidRPr="008573C5">
        <w:tab/>
        <w:t>the directors’ report;</w:t>
      </w:r>
    </w:p>
    <w:p w:rsidR="00FF5EDF" w:rsidRPr="008573C5" w:rsidRDefault="005F3644" w:rsidP="007950F7">
      <w:pPr>
        <w:spacing w:line="360" w:lineRule="auto"/>
        <w:ind w:left="720" w:hanging="720"/>
        <w:jc w:val="both"/>
      </w:pPr>
      <w:r w:rsidRPr="008573C5">
        <w:t>g)</w:t>
      </w:r>
      <w:r w:rsidRPr="008573C5">
        <w:tab/>
      </w:r>
      <w:r w:rsidR="00FF5EDF" w:rsidRPr="008573C5">
        <w:t>a statement of source and application of funds</w:t>
      </w:r>
      <w:r w:rsidRPr="008573C5">
        <w:t xml:space="preserve"> (</w:t>
      </w:r>
      <w:r w:rsidR="00FF5EDF" w:rsidRPr="008573C5">
        <w:t>now replaced by statement of cash flow since 1997);</w:t>
      </w:r>
    </w:p>
    <w:p w:rsidR="00FF5EDF" w:rsidRPr="008573C5" w:rsidRDefault="00FF5EDF" w:rsidP="007950F7">
      <w:pPr>
        <w:spacing w:line="360" w:lineRule="auto"/>
        <w:ind w:left="720" w:hanging="720"/>
        <w:jc w:val="both"/>
      </w:pPr>
      <w:r w:rsidRPr="008573C5">
        <w:t>h)</w:t>
      </w:r>
      <w:r w:rsidRPr="008573C5">
        <w:tab/>
        <w:t>a value added statement of the year;</w:t>
      </w:r>
    </w:p>
    <w:p w:rsidR="00FF5EDF" w:rsidRPr="008573C5" w:rsidRDefault="00FF5EDF" w:rsidP="007950F7">
      <w:pPr>
        <w:spacing w:line="360" w:lineRule="auto"/>
        <w:ind w:left="720" w:hanging="720"/>
        <w:jc w:val="both"/>
      </w:pPr>
      <w:r w:rsidRPr="008573C5">
        <w:t>i)</w:t>
      </w:r>
      <w:r w:rsidRPr="008573C5">
        <w:tab/>
        <w:t>a five-year financial summary; and</w:t>
      </w:r>
    </w:p>
    <w:p w:rsidR="00FF5EDF" w:rsidRPr="008573C5" w:rsidRDefault="00FF5EDF" w:rsidP="007950F7">
      <w:pPr>
        <w:spacing w:line="360" w:lineRule="auto"/>
        <w:ind w:left="720" w:hanging="720"/>
        <w:jc w:val="both"/>
      </w:pPr>
      <w:r w:rsidRPr="008573C5">
        <w:t>g)</w:t>
      </w:r>
      <w:r w:rsidRPr="008573C5">
        <w:tab/>
        <w:t>for holding company, a group financial statement.</w:t>
      </w:r>
    </w:p>
    <w:p w:rsidR="00C45BFB" w:rsidRPr="008573C5" w:rsidRDefault="00C45BFB" w:rsidP="007950F7">
      <w:pPr>
        <w:spacing w:line="360" w:lineRule="auto"/>
        <w:ind w:left="720" w:hanging="720"/>
        <w:jc w:val="both"/>
      </w:pPr>
    </w:p>
    <w:p w:rsidR="00FF5EDF" w:rsidRPr="008573C5" w:rsidRDefault="00C45BFB" w:rsidP="007950F7">
      <w:pPr>
        <w:spacing w:line="360" w:lineRule="auto"/>
        <w:ind w:left="720" w:hanging="720"/>
        <w:jc w:val="both"/>
      </w:pPr>
      <w:r w:rsidRPr="008573C5">
        <w:t>S.</w:t>
      </w:r>
      <w:r w:rsidR="00FF5EDF" w:rsidRPr="008573C5">
        <w:t xml:space="preserve">334 (3) exempts private company from the matters as stated in paragraphs (a), (g), (h) and (i).  </w:t>
      </w:r>
    </w:p>
    <w:p w:rsidR="00FF5EDF" w:rsidRPr="008573C5" w:rsidRDefault="00FF5EDF" w:rsidP="007950F7">
      <w:pPr>
        <w:spacing w:line="360" w:lineRule="auto"/>
        <w:jc w:val="both"/>
      </w:pPr>
      <w:r w:rsidRPr="008573C5">
        <w:t>Section 335 states the form and content of individual fi</w:t>
      </w:r>
      <w:r w:rsidR="001D784B" w:rsidRPr="008573C5">
        <w:t xml:space="preserve">nancial statements. It requires </w:t>
      </w:r>
      <w:r w:rsidRPr="008573C5">
        <w:t>the financial statements of a company to comply with the requirements of Schedule 2 to this Act (as far as applicable) and with the accounting standard as laid down from time to time by the Nigerian Accounting Standard Board as constituted.</w:t>
      </w:r>
    </w:p>
    <w:p w:rsidR="00F47D7D" w:rsidRPr="008573C5" w:rsidRDefault="00F47D7D" w:rsidP="007950F7">
      <w:pPr>
        <w:spacing w:line="360" w:lineRule="auto"/>
        <w:ind w:left="720" w:hanging="720"/>
        <w:jc w:val="both"/>
      </w:pPr>
    </w:p>
    <w:p w:rsidR="00FF5EDF" w:rsidRPr="008573C5" w:rsidRDefault="00FF5EDF" w:rsidP="007950F7">
      <w:pPr>
        <w:spacing w:line="360" w:lineRule="auto"/>
        <w:jc w:val="both"/>
      </w:pPr>
      <w:r w:rsidRPr="008573C5">
        <w:t>S</w:t>
      </w:r>
      <w:r w:rsidR="0055015E" w:rsidRPr="008573C5">
        <w:t xml:space="preserve">ection </w:t>
      </w:r>
      <w:r w:rsidRPr="008573C5">
        <w:t>336 compel</w:t>
      </w:r>
      <w:r w:rsidR="0055015E" w:rsidRPr="008573C5">
        <w:t>s</w:t>
      </w:r>
      <w:r w:rsidRPr="008573C5">
        <w:t xml:space="preserve"> companies that have subsidiaries to prepare individual and group accounts for the year. The group financial statement should consist of a consolidation of balance sheet and the profit and loss account of the company and its subsidiaries. S</w:t>
      </w:r>
      <w:r w:rsidR="0055015E" w:rsidRPr="008573C5">
        <w:t xml:space="preserve">ection </w:t>
      </w:r>
      <w:r w:rsidRPr="008573C5">
        <w:t xml:space="preserve">337 states the form and content of group financial </w:t>
      </w:r>
      <w:r w:rsidR="00E079AE" w:rsidRPr="008573C5">
        <w:t>statements;</w:t>
      </w:r>
      <w:r w:rsidRPr="008573C5">
        <w:t xml:space="preserve"> this should comply with the requirements of Schedule 2 of the Act. S</w:t>
      </w:r>
      <w:r w:rsidR="0055015E" w:rsidRPr="008573C5">
        <w:t xml:space="preserve">ection </w:t>
      </w:r>
      <w:r w:rsidRPr="008573C5">
        <w:t xml:space="preserve">338 states the meaning of ‘holding company’, ‘subsidiary’ and ‘wholly owned subsidiary’. </w:t>
      </w:r>
    </w:p>
    <w:p w:rsidR="001D784B" w:rsidRPr="008573C5" w:rsidRDefault="001D784B" w:rsidP="007950F7">
      <w:pPr>
        <w:spacing w:line="360" w:lineRule="auto"/>
        <w:ind w:left="720" w:hanging="720"/>
        <w:jc w:val="both"/>
      </w:pPr>
    </w:p>
    <w:p w:rsidR="00FF5EDF" w:rsidRPr="008573C5" w:rsidRDefault="0055015E" w:rsidP="007950F7">
      <w:pPr>
        <w:spacing w:line="360" w:lineRule="auto"/>
        <w:jc w:val="both"/>
      </w:pPr>
      <w:r w:rsidRPr="008573C5">
        <w:t>Section 339</w:t>
      </w:r>
      <w:r w:rsidR="00FF5EDF" w:rsidRPr="008573C5">
        <w:t xml:space="preserve"> deals with additional disclosure required in notes to financial statement as contained in Schedule 3 to the Act. Schedule 3 deals with the following:</w:t>
      </w:r>
    </w:p>
    <w:p w:rsidR="00FF5EDF" w:rsidRPr="008573C5" w:rsidRDefault="00FF5EDF" w:rsidP="005F3644">
      <w:pPr>
        <w:spacing w:line="360" w:lineRule="auto"/>
        <w:ind w:left="1440" w:hanging="720"/>
        <w:jc w:val="both"/>
      </w:pPr>
      <w:r w:rsidRPr="008573C5">
        <w:t>a)</w:t>
      </w:r>
      <w:r w:rsidRPr="008573C5">
        <w:tab/>
        <w:t>Parts I and II deal respectively with the disclosure of the particulars of subsidiary and its shareholders;</w:t>
      </w:r>
    </w:p>
    <w:p w:rsidR="00FF5EDF" w:rsidRPr="008573C5" w:rsidRDefault="00FF5EDF" w:rsidP="007950F7">
      <w:pPr>
        <w:spacing w:line="360" w:lineRule="auto"/>
        <w:ind w:left="720" w:hanging="720"/>
        <w:jc w:val="both"/>
      </w:pPr>
      <w:r w:rsidRPr="008573C5">
        <w:tab/>
        <w:t>b)</w:t>
      </w:r>
      <w:r w:rsidRPr="008573C5">
        <w:tab/>
        <w:t>Part III deals with disclosure of financial information of subsidiaries;</w:t>
      </w:r>
    </w:p>
    <w:p w:rsidR="00FF5EDF" w:rsidRPr="008573C5" w:rsidRDefault="00FF5EDF" w:rsidP="007950F7">
      <w:pPr>
        <w:spacing w:line="360" w:lineRule="auto"/>
        <w:ind w:left="720" w:hanging="720"/>
        <w:jc w:val="both"/>
      </w:pPr>
      <w:r w:rsidRPr="008573C5">
        <w:tab/>
        <w:t>c)</w:t>
      </w:r>
      <w:r w:rsidRPr="008573C5">
        <w:tab/>
        <w:t>Part IV requires subsidiaries to disclose its ultimate holding company;</w:t>
      </w:r>
    </w:p>
    <w:p w:rsidR="00FF5EDF" w:rsidRPr="008573C5" w:rsidRDefault="00FF5EDF" w:rsidP="007950F7">
      <w:pPr>
        <w:spacing w:line="360" w:lineRule="auto"/>
        <w:ind w:left="720" w:hanging="720"/>
        <w:jc w:val="both"/>
      </w:pPr>
      <w:r w:rsidRPr="008573C5">
        <w:tab/>
        <w:t>d)</w:t>
      </w:r>
      <w:r w:rsidRPr="008573C5">
        <w:tab/>
        <w:t xml:space="preserve">Part V deals with emoluments and compensation to directors and past </w:t>
      </w:r>
    </w:p>
    <w:p w:rsidR="00FF5EDF" w:rsidRPr="008573C5" w:rsidRDefault="00FF5EDF" w:rsidP="007950F7">
      <w:pPr>
        <w:spacing w:line="360" w:lineRule="auto"/>
        <w:ind w:left="720" w:firstLine="720"/>
        <w:jc w:val="both"/>
      </w:pPr>
      <w:r w:rsidRPr="008573C5">
        <w:t>directors;</w:t>
      </w:r>
    </w:p>
    <w:p w:rsidR="00FF5EDF" w:rsidRPr="008573C5" w:rsidRDefault="00FF5EDF" w:rsidP="005F3644">
      <w:pPr>
        <w:spacing w:line="360" w:lineRule="auto"/>
        <w:ind w:left="1440" w:hanging="720"/>
        <w:jc w:val="both"/>
      </w:pPr>
      <w:r w:rsidRPr="008573C5">
        <w:t>e)</w:t>
      </w:r>
      <w:r w:rsidRPr="008573C5">
        <w:tab/>
        <w:t>Part VI deals with the disclosure of the number of employees of the company with high remunerations.</w:t>
      </w:r>
    </w:p>
    <w:p w:rsidR="00F47D7D" w:rsidRPr="008573C5" w:rsidRDefault="00F47D7D" w:rsidP="007950F7">
      <w:pPr>
        <w:spacing w:line="360" w:lineRule="auto"/>
        <w:jc w:val="both"/>
      </w:pPr>
    </w:p>
    <w:p w:rsidR="00FF5EDF" w:rsidRPr="008573C5" w:rsidRDefault="00FF5EDF" w:rsidP="007950F7">
      <w:pPr>
        <w:tabs>
          <w:tab w:val="left" w:pos="0"/>
        </w:tabs>
        <w:spacing w:line="360" w:lineRule="auto"/>
        <w:jc w:val="both"/>
      </w:pPr>
      <w:r w:rsidRPr="008573C5">
        <w:t>Section</w:t>
      </w:r>
      <w:r w:rsidR="001B1E23" w:rsidRPr="008573C5">
        <w:t>s</w:t>
      </w:r>
      <w:r w:rsidRPr="008573C5">
        <w:t xml:space="preserve"> 340</w:t>
      </w:r>
      <w:r w:rsidR="0055015E" w:rsidRPr="008573C5">
        <w:t xml:space="preserve"> </w:t>
      </w:r>
      <w:r w:rsidRPr="008573C5">
        <w:t>- 341 deal with the disclosure of loans in favour of directors and connected persons in accordance with Part I and Part II of Schedule 4 of this Act (so far as applicable).  Part I of the Schedule 4 is in relating to disclosure of transactions, arrangements and agreements mentioned therein, including loans, quasi loans and other dealing in favour of director. Part II of Schedule 4 is with regards to transactions, arrangements and agreements made by the company or subsidiary of it for persons who at any time during the year were officers of the company but not directors.</w:t>
      </w:r>
      <w:r w:rsidR="00F47D7D" w:rsidRPr="008573C5">
        <w:t xml:space="preserve"> </w:t>
      </w:r>
      <w:r w:rsidRPr="008573C5">
        <w:t>Section 342</w:t>
      </w:r>
      <w:r w:rsidR="0055015E" w:rsidRPr="008573C5">
        <w:t xml:space="preserve"> </w:t>
      </w:r>
      <w:r w:rsidRPr="008573C5">
        <w:t>requires every company to prepare in respect to each year a report by the directors in accordance with Schedule 5 of the Act. It also states the penalties for non-compliance.</w:t>
      </w:r>
    </w:p>
    <w:p w:rsidR="00F47D7D" w:rsidRPr="008573C5" w:rsidRDefault="00F47D7D" w:rsidP="007950F7">
      <w:pPr>
        <w:spacing w:line="360" w:lineRule="auto"/>
        <w:jc w:val="both"/>
      </w:pPr>
    </w:p>
    <w:p w:rsidR="00FF5EDF" w:rsidRPr="008573C5" w:rsidRDefault="00FF5EDF" w:rsidP="007950F7">
      <w:pPr>
        <w:spacing w:line="360" w:lineRule="auto"/>
        <w:jc w:val="both"/>
      </w:pPr>
      <w:r w:rsidRPr="008573C5">
        <w:t>Sections 343</w:t>
      </w:r>
      <w:r w:rsidR="0055015E" w:rsidRPr="008573C5">
        <w:t xml:space="preserve"> - 349</w:t>
      </w:r>
      <w:r w:rsidRPr="008573C5">
        <w:t xml:space="preserve"> deal with procedure on completion of financial statements. Section 343 requires two of the directors of the company to sign the balance sheet and documents annexed thereto. Section 344 states persons entitled to receive financial statements as of right. Section 345 states the duration of time for delivery of the financial sta</w:t>
      </w:r>
      <w:r w:rsidR="005736FF" w:rsidRPr="008573C5">
        <w:t>tements. Sections 346-348 state</w:t>
      </w:r>
      <w:r w:rsidRPr="008573C5">
        <w:t xml:space="preserve"> the penalty for non-compliance with Section 345 and penalty for laying or delivering defective financial statements. Section 349 states the shareholder’s right to obtain copies of financial statement.</w:t>
      </w:r>
    </w:p>
    <w:p w:rsidR="00F47D7D" w:rsidRPr="008573C5" w:rsidRDefault="00F47D7D" w:rsidP="007950F7">
      <w:pPr>
        <w:spacing w:line="360" w:lineRule="auto"/>
        <w:jc w:val="both"/>
      </w:pPr>
    </w:p>
    <w:p w:rsidR="00FF5EDF" w:rsidRPr="008573C5" w:rsidRDefault="0055015E" w:rsidP="007950F7">
      <w:pPr>
        <w:spacing w:line="360" w:lineRule="auto"/>
        <w:jc w:val="both"/>
      </w:pPr>
      <w:r w:rsidRPr="008573C5">
        <w:t>Sections 350-353</w:t>
      </w:r>
      <w:r w:rsidR="00FF5EDF" w:rsidRPr="008573C5">
        <w:t xml:space="preserve"> deal with modified individual and group financial statements. Section 350 deals with the entitlement to deliver financial statements in modified form. Section 351 deals with qualification of a small company, Section 352 deals with modification of individual financial statements, while Section 353 deals with modification of financial statements of holding company.</w:t>
      </w:r>
    </w:p>
    <w:p w:rsidR="00F47D7D" w:rsidRPr="008573C5" w:rsidRDefault="00F47D7D" w:rsidP="007950F7">
      <w:pPr>
        <w:spacing w:line="360" w:lineRule="auto"/>
        <w:jc w:val="both"/>
      </w:pPr>
    </w:p>
    <w:p w:rsidR="00FF5EDF" w:rsidRPr="008573C5" w:rsidRDefault="0055015E" w:rsidP="007950F7">
      <w:pPr>
        <w:spacing w:line="360" w:lineRule="auto"/>
        <w:jc w:val="both"/>
      </w:pPr>
      <w:r w:rsidRPr="008573C5">
        <w:t xml:space="preserve">Section 354 </w:t>
      </w:r>
      <w:r w:rsidR="00FF5EDF" w:rsidRPr="008573C5">
        <w:t xml:space="preserve">applies to the publication by a company of full individual or group financial statements. These financial statements must be laid </w:t>
      </w:r>
      <w:r w:rsidR="004154E2" w:rsidRPr="008573C5">
        <w:t>before</w:t>
      </w:r>
      <w:r w:rsidR="00FF5EDF" w:rsidRPr="008573C5">
        <w:t xml:space="preserve"> the company in general and delivered to the Corporate Affairs Commission including the directors</w:t>
      </w:r>
      <w:r w:rsidR="00624B14" w:rsidRPr="008573C5">
        <w:t>’</w:t>
      </w:r>
      <w:r w:rsidR="00FF5EDF" w:rsidRPr="008573C5">
        <w:t xml:space="preserve"> and auditors</w:t>
      </w:r>
      <w:r w:rsidR="00624B14" w:rsidRPr="008573C5">
        <w:t>’</w:t>
      </w:r>
      <w:r w:rsidR="00FF5EDF" w:rsidRPr="008573C5">
        <w:t xml:space="preserve"> report. It also deals with contraventions to this provision.</w:t>
      </w:r>
      <w:r w:rsidR="00624B14" w:rsidRPr="008573C5">
        <w:t xml:space="preserve"> </w:t>
      </w:r>
      <w:r w:rsidR="00FF5EDF" w:rsidRPr="008573C5">
        <w:t>Section 355- requires a company to publish abridged financial statement. It applies to any balance sheet or profit and loss account relating to a year of the company or purporting to deal with any such year, otherwise than as part of full financial statement to which section 354 of the Act applies.</w:t>
      </w:r>
    </w:p>
    <w:p w:rsidR="00F47D7D" w:rsidRPr="008573C5" w:rsidRDefault="00F47D7D" w:rsidP="007950F7">
      <w:pPr>
        <w:spacing w:line="360" w:lineRule="auto"/>
        <w:jc w:val="both"/>
      </w:pPr>
    </w:p>
    <w:p w:rsidR="00FF5EDF" w:rsidRPr="008573C5" w:rsidRDefault="0055015E" w:rsidP="007950F7">
      <w:pPr>
        <w:spacing w:line="360" w:lineRule="auto"/>
        <w:jc w:val="both"/>
      </w:pPr>
      <w:r w:rsidRPr="008573C5">
        <w:t xml:space="preserve">Section 356 </w:t>
      </w:r>
      <w:r w:rsidR="00FF5EDF" w:rsidRPr="008573C5">
        <w:t>address</w:t>
      </w:r>
      <w:r w:rsidR="001B1E23" w:rsidRPr="008573C5">
        <w:t>es</w:t>
      </w:r>
      <w:r w:rsidR="00FF5EDF" w:rsidRPr="008573C5">
        <w:t xml:space="preserve"> the power to alter accounting requirements by the Minister after consultation with the Nigerian Accounting Standard Board.</w:t>
      </w:r>
      <w:r w:rsidR="00F47D7D" w:rsidRPr="008573C5">
        <w:t xml:space="preserve"> </w:t>
      </w:r>
      <w:r w:rsidR="005F3644" w:rsidRPr="008573C5">
        <w:t>Sections 357-369</w:t>
      </w:r>
      <w:r w:rsidR="00FF5EDF" w:rsidRPr="008573C5">
        <w:t xml:space="preserve"> provide for Audit of the financial statements. It provide</w:t>
      </w:r>
      <w:r w:rsidR="00624B14" w:rsidRPr="008573C5">
        <w:t>s</w:t>
      </w:r>
      <w:r w:rsidR="00FF5EDF" w:rsidRPr="008573C5">
        <w:t xml:space="preserve"> for appointment of auditors, qualification of auditors, auditors’ report, auditors’ duties and powers, remuneration of auditors, removal of auditors, auditors’ right, resignation of auditors, and the liability of auditors for negligence.</w:t>
      </w:r>
    </w:p>
    <w:p w:rsidR="00FF5EDF" w:rsidRPr="008573C5" w:rsidRDefault="00FF5EDF" w:rsidP="007950F7">
      <w:pPr>
        <w:spacing w:line="360" w:lineRule="auto"/>
        <w:jc w:val="both"/>
      </w:pPr>
    </w:p>
    <w:p w:rsidR="00FF5EDF" w:rsidRPr="008573C5" w:rsidRDefault="00CE2EA1" w:rsidP="00C45BFB">
      <w:pPr>
        <w:autoSpaceDE w:val="0"/>
        <w:autoSpaceDN w:val="0"/>
        <w:adjustRightInd w:val="0"/>
        <w:jc w:val="both"/>
        <w:rPr>
          <w:b/>
          <w:sz w:val="28"/>
          <w:szCs w:val="28"/>
        </w:rPr>
      </w:pPr>
      <w:r w:rsidRPr="008573C5">
        <w:rPr>
          <w:b/>
          <w:sz w:val="28"/>
          <w:szCs w:val="28"/>
        </w:rPr>
        <w:t>2.1.2</w:t>
      </w:r>
      <w:r w:rsidR="00FF5EDF" w:rsidRPr="008573C5">
        <w:rPr>
          <w:b/>
          <w:sz w:val="28"/>
          <w:szCs w:val="28"/>
        </w:rPr>
        <w:tab/>
        <w:t>Develo</w:t>
      </w:r>
      <w:r w:rsidR="006521C0" w:rsidRPr="008573C5">
        <w:rPr>
          <w:b/>
          <w:sz w:val="28"/>
          <w:szCs w:val="28"/>
        </w:rPr>
        <w:t>pment of Accounting Standards (</w:t>
      </w:r>
      <w:r w:rsidR="00FF5EDF" w:rsidRPr="008573C5">
        <w:rPr>
          <w:b/>
          <w:sz w:val="28"/>
          <w:szCs w:val="28"/>
        </w:rPr>
        <w:t>National and International)</w:t>
      </w:r>
    </w:p>
    <w:p w:rsidR="00C45BFB" w:rsidRPr="008573C5" w:rsidRDefault="00C45BFB" w:rsidP="00C45BFB">
      <w:pPr>
        <w:autoSpaceDE w:val="0"/>
        <w:autoSpaceDN w:val="0"/>
        <w:adjustRightInd w:val="0"/>
        <w:jc w:val="both"/>
        <w:rPr>
          <w:rFonts w:ascii="TimesNewRomanPSMT" w:hAnsi="TimesNewRomanPSMT" w:cs="TimesNewRomanPSMT"/>
          <w:sz w:val="28"/>
          <w:szCs w:val="28"/>
        </w:rPr>
      </w:pPr>
    </w:p>
    <w:p w:rsidR="00FF5EDF" w:rsidRPr="008573C5" w:rsidRDefault="00FF5EDF" w:rsidP="007950F7">
      <w:pPr>
        <w:tabs>
          <w:tab w:val="left" w:pos="2520"/>
        </w:tabs>
        <w:autoSpaceDE w:val="0"/>
        <w:autoSpaceDN w:val="0"/>
        <w:adjustRightInd w:val="0"/>
        <w:spacing w:line="360" w:lineRule="auto"/>
        <w:jc w:val="both"/>
        <w:rPr>
          <w:rFonts w:ascii="Times" w:hAnsi="Times" w:cs="Times"/>
        </w:rPr>
      </w:pPr>
      <w:r w:rsidRPr="008573C5">
        <w:t>The practice of Accountancy worldwide is guided by sets of guidelines and rules. The rules</w:t>
      </w:r>
      <w:r w:rsidRPr="008573C5">
        <w:rPr>
          <w:rFonts w:ascii="Times" w:hAnsi="Times" w:cs="Times"/>
        </w:rPr>
        <w:t xml:space="preserve"> and guidelines are compiled into accounting standards</w:t>
      </w:r>
      <w:r w:rsidR="00DC7D87" w:rsidRPr="008573C5">
        <w:rPr>
          <w:rFonts w:ascii="Times" w:hAnsi="Times" w:cs="Times"/>
        </w:rPr>
        <w:t xml:space="preserve"> (</w:t>
      </w:r>
      <w:r w:rsidR="00DC7D87" w:rsidRPr="008573C5">
        <w:t>Izedonmi and Ola, 2001:11)</w:t>
      </w:r>
      <w:r w:rsidRPr="008573C5">
        <w:rPr>
          <w:rFonts w:ascii="Times" w:hAnsi="Times" w:cs="Times"/>
        </w:rPr>
        <w:t>. They are</w:t>
      </w:r>
      <w:r w:rsidRPr="008573C5">
        <w:t xml:space="preserve"> statements of principle</w:t>
      </w:r>
      <w:r w:rsidRPr="008573C5">
        <w:rPr>
          <w:rFonts w:ascii="Times" w:hAnsi="Times" w:cs="Times"/>
        </w:rPr>
        <w:t xml:space="preserve"> that </w:t>
      </w:r>
      <w:r w:rsidR="004154E2" w:rsidRPr="008573C5">
        <w:t>discuss</w:t>
      </w:r>
      <w:r w:rsidRPr="008573C5">
        <w:t xml:space="preserve"> the accounting treatment and disclosure of a particular item or group of items. </w:t>
      </w:r>
      <w:r w:rsidRPr="008573C5">
        <w:rPr>
          <w:rFonts w:ascii="Times" w:hAnsi="Times" w:cs="Times"/>
        </w:rPr>
        <w:t>There are two sets of standards governing the accounting practice in Nigeria, the national accounting standards and the international accounting standards. The national accounting standards, known as Statements of Accounting Standards (SASs) are issued by the Nigerian Accounting Standard Board (NASB), while the international accounting standard formerly known as International Accounting Standards (IASs) but now known as International Financial Reporting Standard</w:t>
      </w:r>
      <w:r w:rsidR="005F3644" w:rsidRPr="008573C5">
        <w:rPr>
          <w:rFonts w:ascii="Times" w:hAnsi="Times" w:cs="Times"/>
        </w:rPr>
        <w:t>s</w:t>
      </w:r>
      <w:r w:rsidRPr="008573C5">
        <w:rPr>
          <w:rFonts w:ascii="Times" w:hAnsi="Times" w:cs="Times"/>
        </w:rPr>
        <w:t xml:space="preserve"> (IFRS</w:t>
      </w:r>
      <w:r w:rsidR="005F3644" w:rsidRPr="008573C5">
        <w:rPr>
          <w:rFonts w:ascii="Times" w:hAnsi="Times" w:cs="Times"/>
        </w:rPr>
        <w:t>s</w:t>
      </w:r>
      <w:r w:rsidRPr="008573C5">
        <w:rPr>
          <w:rFonts w:ascii="Times" w:hAnsi="Times" w:cs="Times"/>
        </w:rPr>
        <w:t>) are issued by the International Accounting Standard Board.</w:t>
      </w:r>
    </w:p>
    <w:p w:rsidR="00FF5EDF" w:rsidRPr="008573C5" w:rsidRDefault="00FF5EDF" w:rsidP="007950F7">
      <w:pPr>
        <w:tabs>
          <w:tab w:val="left" w:pos="2520"/>
        </w:tabs>
        <w:autoSpaceDE w:val="0"/>
        <w:autoSpaceDN w:val="0"/>
        <w:adjustRightInd w:val="0"/>
        <w:spacing w:line="360" w:lineRule="auto"/>
        <w:jc w:val="both"/>
        <w:rPr>
          <w:rFonts w:ascii="Times" w:hAnsi="Times" w:cs="Times"/>
          <w:b/>
        </w:rPr>
      </w:pPr>
    </w:p>
    <w:p w:rsidR="00FF5EDF" w:rsidRPr="008573C5" w:rsidRDefault="00CE2EA1" w:rsidP="007950F7">
      <w:pPr>
        <w:tabs>
          <w:tab w:val="left" w:pos="2520"/>
        </w:tabs>
        <w:autoSpaceDE w:val="0"/>
        <w:autoSpaceDN w:val="0"/>
        <w:adjustRightInd w:val="0"/>
        <w:spacing w:line="360" w:lineRule="auto"/>
        <w:jc w:val="both"/>
        <w:rPr>
          <w:rFonts w:ascii="Times" w:hAnsi="Times" w:cs="Times"/>
          <w:b/>
          <w:sz w:val="28"/>
          <w:szCs w:val="28"/>
        </w:rPr>
      </w:pPr>
      <w:r w:rsidRPr="008573C5">
        <w:rPr>
          <w:rFonts w:ascii="Times" w:hAnsi="Times" w:cs="Times"/>
          <w:b/>
          <w:sz w:val="28"/>
          <w:szCs w:val="28"/>
        </w:rPr>
        <w:t xml:space="preserve">2.1.3   </w:t>
      </w:r>
      <w:r w:rsidR="00FF5EDF" w:rsidRPr="008573C5">
        <w:rPr>
          <w:rFonts w:ascii="Times" w:hAnsi="Times" w:cs="Times"/>
          <w:b/>
          <w:sz w:val="28"/>
          <w:szCs w:val="28"/>
        </w:rPr>
        <w:t>Nigerian Accounting Standard</w:t>
      </w:r>
      <w:r w:rsidR="00624B14" w:rsidRPr="008573C5">
        <w:rPr>
          <w:rFonts w:ascii="Times" w:hAnsi="Times" w:cs="Times"/>
          <w:b/>
          <w:sz w:val="28"/>
          <w:szCs w:val="28"/>
        </w:rPr>
        <w:t>s</w:t>
      </w:r>
      <w:r w:rsidR="00FF5EDF" w:rsidRPr="008573C5">
        <w:rPr>
          <w:rFonts w:ascii="Times" w:hAnsi="Times" w:cs="Times"/>
          <w:b/>
          <w:sz w:val="28"/>
          <w:szCs w:val="28"/>
        </w:rPr>
        <w:t xml:space="preserve"> Board</w:t>
      </w:r>
    </w:p>
    <w:p w:rsidR="00FF5EDF" w:rsidRPr="008573C5" w:rsidRDefault="00FF5EDF" w:rsidP="007950F7">
      <w:pPr>
        <w:autoSpaceDE w:val="0"/>
        <w:autoSpaceDN w:val="0"/>
        <w:adjustRightInd w:val="0"/>
        <w:spacing w:after="120" w:line="360" w:lineRule="auto"/>
        <w:jc w:val="both"/>
      </w:pPr>
      <w:r w:rsidRPr="008573C5">
        <w:rPr>
          <w:rFonts w:ascii="Times" w:hAnsi="Times" w:cs="Times"/>
        </w:rPr>
        <w:t xml:space="preserve">The Nigerian Accounting Standard Board (NASB) is a parastatal of </w:t>
      </w:r>
      <w:r w:rsidRPr="008573C5">
        <w:t xml:space="preserve">the Federal government founded on September 9, 1982 but enacted </w:t>
      </w:r>
      <w:r w:rsidR="004154E2" w:rsidRPr="008573C5">
        <w:t>as</w:t>
      </w:r>
      <w:r w:rsidRPr="008573C5">
        <w:t xml:space="preserve"> the NASB Act of 2003. The board came into being after the Nigerian Enterprises Promotion Decree was promulgated to transfer ownership of companies to Nigerians. The companies existing at that time exploited the fact that there was no uniform accounting practice. They utilize</w:t>
      </w:r>
      <w:r w:rsidR="00624B14" w:rsidRPr="008573C5">
        <w:t>d</w:t>
      </w:r>
      <w:r w:rsidRPr="008573C5">
        <w:t xml:space="preserve"> any accounting measure that seem</w:t>
      </w:r>
      <w:r w:rsidR="00624B14" w:rsidRPr="008573C5">
        <w:t>ed</w:t>
      </w:r>
      <w:r w:rsidRPr="008573C5">
        <w:t xml:space="preserve"> suitable to them. Those companies whose parents were residents outside Nigeria followed the dictates of their parents outside the shore of Nigeria</w:t>
      </w:r>
      <w:r w:rsidR="0026312E" w:rsidRPr="008573C5">
        <w:t>, t</w:t>
      </w:r>
      <w:r w:rsidRPr="008573C5">
        <w:t xml:space="preserve">hereby, resulting to non- coherent accounting practices. NASB was therefore established at that time to stop the unpalatable conditions that existed before and after indigenization. </w:t>
      </w:r>
    </w:p>
    <w:p w:rsidR="00FF5EDF" w:rsidRPr="008573C5" w:rsidRDefault="00FF5EDF" w:rsidP="007950F7">
      <w:pPr>
        <w:autoSpaceDE w:val="0"/>
        <w:autoSpaceDN w:val="0"/>
        <w:adjustRightInd w:val="0"/>
        <w:spacing w:after="120" w:line="360" w:lineRule="auto"/>
        <w:jc w:val="both"/>
      </w:pPr>
      <w:r w:rsidRPr="008573C5">
        <w:t>Specifically NASB</w:t>
      </w:r>
      <w:r w:rsidR="007950F7" w:rsidRPr="008573C5">
        <w:t xml:space="preserve"> </w:t>
      </w:r>
      <w:r w:rsidR="00624B14" w:rsidRPr="008573C5">
        <w:t>was set up to</w:t>
      </w:r>
      <w:r w:rsidRPr="008573C5">
        <w:t xml:space="preserve"> narrow areas of differences in practices so that financial statements are structurally uniform and meaningful; produce accounting information relevant to the eco</w:t>
      </w:r>
      <w:r w:rsidR="00624B14" w:rsidRPr="008573C5">
        <w:t>nomic environment and</w:t>
      </w:r>
      <w:r w:rsidRPr="008573C5">
        <w:t xml:space="preserve"> introduce measures that will enhance the readability and validity of the accounting information</w:t>
      </w:r>
      <w:r w:rsidR="007950F7" w:rsidRPr="008573C5">
        <w:t xml:space="preserve"> (NASB, 2007)</w:t>
      </w:r>
      <w:r w:rsidRPr="008573C5">
        <w:t xml:space="preserve">. The standards are rules governing the preparation of the financial statements and they are </w:t>
      </w:r>
      <w:r w:rsidR="00624B14" w:rsidRPr="008573C5">
        <w:t>essential because they result in</w:t>
      </w:r>
      <w:r w:rsidRPr="008573C5">
        <w:t xml:space="preserve"> efficient allocation of resources within the economy. The NASB was given a legal backing by its inclusion in Section 335(1) of the Companies and Allied Matters Act of 1990 which mandates all companies to prepare financial statements that compl</w:t>
      </w:r>
      <w:r w:rsidR="00081FF6" w:rsidRPr="008573C5">
        <w:t>y</w:t>
      </w:r>
      <w:r w:rsidRPr="008573C5">
        <w:t xml:space="preserve"> with the Statement of</w:t>
      </w:r>
      <w:r w:rsidR="00B9101D" w:rsidRPr="008573C5">
        <w:t xml:space="preserve"> Accounting Standards (SAS) as </w:t>
      </w:r>
      <w:r w:rsidRPr="008573C5">
        <w:t xml:space="preserve">developed and issued by NASB from time to time. The NASB in 2003 was given the full autonomy as a legal entity with the enactment of the NASB Act of 2003. NASB </w:t>
      </w:r>
      <w:r w:rsidR="009C3807" w:rsidRPr="008573C5">
        <w:t>is the only bo</w:t>
      </w:r>
      <w:r w:rsidR="00244DEC" w:rsidRPr="008573C5">
        <w:t>d</w:t>
      </w:r>
      <w:r w:rsidR="009C3807" w:rsidRPr="008573C5">
        <w:t xml:space="preserve">y that </w:t>
      </w:r>
      <w:r w:rsidRPr="008573C5">
        <w:t xml:space="preserve">has the </w:t>
      </w:r>
      <w:r w:rsidRPr="008573C5">
        <w:rPr>
          <w:rFonts w:ascii="PFODKE+TimesNewRoman" w:hAnsi="PFODKE+TimesNewRoman" w:cs="PFODKE+TimesNewRoman"/>
          <w:lang w:val="en-GB" w:eastAsia="en-GB"/>
        </w:rPr>
        <w:t xml:space="preserve">statutory power under the Act to monitor and enforce compliance with accounting standards. </w:t>
      </w:r>
    </w:p>
    <w:p w:rsidR="009C3807" w:rsidRPr="008573C5" w:rsidRDefault="009C3807" w:rsidP="007950F7">
      <w:pPr>
        <w:autoSpaceDE w:val="0"/>
        <w:autoSpaceDN w:val="0"/>
        <w:adjustRightInd w:val="0"/>
        <w:jc w:val="both"/>
        <w:rPr>
          <w:rFonts w:ascii="PFODKE+TimesNewRoman" w:hAnsi="PFODKE+TimesNewRoman" w:cs="PFODKE+TimesNewRoman"/>
        </w:rPr>
      </w:pPr>
    </w:p>
    <w:p w:rsidR="00244DEC" w:rsidRPr="008573C5" w:rsidRDefault="00244DEC" w:rsidP="00244DEC">
      <w:pPr>
        <w:autoSpaceDE w:val="0"/>
        <w:autoSpaceDN w:val="0"/>
        <w:adjustRightInd w:val="0"/>
        <w:spacing w:line="360" w:lineRule="auto"/>
        <w:jc w:val="both"/>
        <w:rPr>
          <w:bCs/>
          <w:iCs/>
        </w:rPr>
      </w:pPr>
      <w:r w:rsidRPr="008573C5">
        <w:rPr>
          <w:bCs/>
          <w:iCs/>
        </w:rPr>
        <w:t>The N</w:t>
      </w:r>
      <w:r w:rsidR="00081FF6" w:rsidRPr="008573C5">
        <w:rPr>
          <w:bCs/>
          <w:iCs/>
        </w:rPr>
        <w:t>ASB Act No 22 of 2003 identifies</w:t>
      </w:r>
      <w:r w:rsidRPr="008573C5">
        <w:rPr>
          <w:bCs/>
          <w:iCs/>
        </w:rPr>
        <w:t xml:space="preserve"> three objectives of the Law as follows:</w:t>
      </w:r>
    </w:p>
    <w:p w:rsidR="00244DEC" w:rsidRPr="008573C5" w:rsidRDefault="00244DEC" w:rsidP="00244DEC">
      <w:pPr>
        <w:pStyle w:val="ListParagraph"/>
        <w:numPr>
          <w:ilvl w:val="0"/>
          <w:numId w:val="32"/>
        </w:numPr>
        <w:autoSpaceDE w:val="0"/>
        <w:autoSpaceDN w:val="0"/>
        <w:adjustRightInd w:val="0"/>
        <w:spacing w:line="360" w:lineRule="auto"/>
        <w:jc w:val="both"/>
        <w:rPr>
          <w:rFonts w:ascii="Times New Roman" w:hAnsi="Times New Roman"/>
          <w:bCs/>
          <w:iCs/>
          <w:sz w:val="24"/>
          <w:szCs w:val="24"/>
        </w:rPr>
      </w:pPr>
      <w:r w:rsidRPr="008573C5">
        <w:rPr>
          <w:rFonts w:ascii="Times New Roman" w:hAnsi="Times New Roman"/>
          <w:bCs/>
          <w:iCs/>
          <w:sz w:val="24"/>
          <w:szCs w:val="24"/>
        </w:rPr>
        <w:t>to establish the NASB charged with the responsibility of developing and publishing accounting standards to be observed in the preparation of financial statements;</w:t>
      </w:r>
    </w:p>
    <w:p w:rsidR="00244DEC" w:rsidRPr="008573C5" w:rsidRDefault="00244DEC" w:rsidP="00244DEC">
      <w:pPr>
        <w:pStyle w:val="ListParagraph"/>
        <w:numPr>
          <w:ilvl w:val="0"/>
          <w:numId w:val="32"/>
        </w:numPr>
        <w:autoSpaceDE w:val="0"/>
        <w:autoSpaceDN w:val="0"/>
        <w:adjustRightInd w:val="0"/>
        <w:spacing w:line="360" w:lineRule="auto"/>
        <w:jc w:val="both"/>
        <w:rPr>
          <w:rFonts w:ascii="Times New Roman" w:hAnsi="Times New Roman"/>
          <w:bCs/>
          <w:iCs/>
          <w:sz w:val="24"/>
          <w:szCs w:val="24"/>
        </w:rPr>
      </w:pPr>
      <w:r w:rsidRPr="008573C5">
        <w:rPr>
          <w:rFonts w:ascii="Times New Roman" w:hAnsi="Times New Roman"/>
          <w:bCs/>
          <w:iCs/>
          <w:sz w:val="24"/>
          <w:szCs w:val="24"/>
        </w:rPr>
        <w:t>to seek to promote and enforce compliance with accounting standards issue</w:t>
      </w:r>
      <w:r w:rsidR="004154E2" w:rsidRPr="008573C5">
        <w:rPr>
          <w:rFonts w:ascii="Times New Roman" w:hAnsi="Times New Roman"/>
          <w:bCs/>
          <w:iCs/>
          <w:sz w:val="24"/>
          <w:szCs w:val="24"/>
        </w:rPr>
        <w:t>d</w:t>
      </w:r>
      <w:r w:rsidRPr="008573C5">
        <w:rPr>
          <w:rFonts w:ascii="Times New Roman" w:hAnsi="Times New Roman"/>
          <w:bCs/>
          <w:iCs/>
          <w:sz w:val="24"/>
          <w:szCs w:val="24"/>
        </w:rPr>
        <w:t xml:space="preserve"> by the Board; and</w:t>
      </w:r>
    </w:p>
    <w:p w:rsidR="00244DEC" w:rsidRPr="008573C5" w:rsidRDefault="00244DEC" w:rsidP="00244DEC">
      <w:pPr>
        <w:pStyle w:val="ListParagraph"/>
        <w:numPr>
          <w:ilvl w:val="0"/>
          <w:numId w:val="32"/>
        </w:numPr>
        <w:autoSpaceDE w:val="0"/>
        <w:autoSpaceDN w:val="0"/>
        <w:adjustRightInd w:val="0"/>
        <w:spacing w:line="360" w:lineRule="auto"/>
        <w:jc w:val="both"/>
        <w:rPr>
          <w:rFonts w:ascii="Times New Roman" w:hAnsi="Times New Roman"/>
          <w:bCs/>
          <w:iCs/>
          <w:sz w:val="24"/>
          <w:szCs w:val="24"/>
        </w:rPr>
      </w:pPr>
      <w:r w:rsidRPr="008573C5">
        <w:rPr>
          <w:rFonts w:ascii="Times New Roman" w:hAnsi="Times New Roman"/>
          <w:bCs/>
          <w:iCs/>
          <w:sz w:val="24"/>
          <w:szCs w:val="24"/>
        </w:rPr>
        <w:t>to provide penalties for non-compliance with its provisions.</w:t>
      </w:r>
    </w:p>
    <w:p w:rsidR="00244DEC" w:rsidRPr="008573C5" w:rsidRDefault="00244DEC" w:rsidP="00244DEC">
      <w:pPr>
        <w:autoSpaceDE w:val="0"/>
        <w:autoSpaceDN w:val="0"/>
        <w:adjustRightInd w:val="0"/>
        <w:ind w:left="360"/>
        <w:jc w:val="both"/>
        <w:rPr>
          <w:bCs/>
          <w:iCs/>
        </w:rPr>
      </w:pPr>
    </w:p>
    <w:p w:rsidR="00FF5EDF" w:rsidRPr="008573C5" w:rsidRDefault="00FF5EDF" w:rsidP="007950F7">
      <w:pPr>
        <w:autoSpaceDE w:val="0"/>
        <w:autoSpaceDN w:val="0"/>
        <w:adjustRightInd w:val="0"/>
        <w:spacing w:line="360" w:lineRule="auto"/>
        <w:jc w:val="both"/>
        <w:rPr>
          <w:bCs/>
        </w:rPr>
      </w:pPr>
      <w:r w:rsidRPr="008573C5">
        <w:t>NASB’s</w:t>
      </w:r>
      <w:r w:rsidR="00B9101D" w:rsidRPr="008573C5">
        <w:rPr>
          <w:bCs/>
        </w:rPr>
        <w:t xml:space="preserve"> membership includes</w:t>
      </w:r>
      <w:r w:rsidRPr="008573C5">
        <w:rPr>
          <w:bCs/>
        </w:rPr>
        <w:t xml:space="preserve"> representative of government and relevant interest groups drawn from the banking, manufacturing, commercial and educational sectors of the economy. They are as follows:</w:t>
      </w:r>
    </w:p>
    <w:p w:rsidR="00FF5EDF" w:rsidRPr="008573C5" w:rsidRDefault="00FF5EDF" w:rsidP="007950F7">
      <w:pPr>
        <w:numPr>
          <w:ilvl w:val="0"/>
          <w:numId w:val="4"/>
        </w:numPr>
        <w:spacing w:before="100" w:beforeAutospacing="1" w:after="100" w:afterAutospacing="1" w:line="360" w:lineRule="auto"/>
        <w:jc w:val="both"/>
      </w:pPr>
      <w:r w:rsidRPr="008573C5">
        <w:t xml:space="preserve">Central Bank of Nigeria (CBN) </w:t>
      </w:r>
    </w:p>
    <w:p w:rsidR="00FF5EDF" w:rsidRPr="008573C5" w:rsidRDefault="00FF5EDF" w:rsidP="007950F7">
      <w:pPr>
        <w:numPr>
          <w:ilvl w:val="0"/>
          <w:numId w:val="4"/>
        </w:numPr>
        <w:spacing w:before="100" w:beforeAutospacing="1" w:after="100" w:afterAutospacing="1" w:line="360" w:lineRule="auto"/>
        <w:jc w:val="both"/>
      </w:pPr>
      <w:r w:rsidRPr="008573C5">
        <w:t xml:space="preserve">Corporate Affairs Commission (CAC) </w:t>
      </w:r>
    </w:p>
    <w:p w:rsidR="00FF5EDF" w:rsidRPr="008573C5" w:rsidRDefault="00FF5EDF" w:rsidP="00F2638F">
      <w:pPr>
        <w:numPr>
          <w:ilvl w:val="0"/>
          <w:numId w:val="4"/>
        </w:numPr>
        <w:spacing w:before="100" w:beforeAutospacing="1" w:after="100" w:afterAutospacing="1" w:line="360" w:lineRule="auto"/>
        <w:jc w:val="both"/>
      </w:pPr>
      <w:r w:rsidRPr="008573C5">
        <w:t xml:space="preserve">Federal Inland Revenue Service (FIRS) </w:t>
      </w:r>
    </w:p>
    <w:p w:rsidR="00FF5EDF" w:rsidRPr="008573C5" w:rsidRDefault="00FF5EDF" w:rsidP="007950F7">
      <w:pPr>
        <w:numPr>
          <w:ilvl w:val="0"/>
          <w:numId w:val="4"/>
        </w:numPr>
        <w:spacing w:before="100" w:beforeAutospacing="1" w:after="100" w:afterAutospacing="1" w:line="360" w:lineRule="auto"/>
        <w:jc w:val="both"/>
      </w:pPr>
      <w:r w:rsidRPr="008573C5">
        <w:t xml:space="preserve">Federal Ministry of Commerce (FMC) </w:t>
      </w:r>
    </w:p>
    <w:p w:rsidR="00121C49" w:rsidRPr="008573C5" w:rsidRDefault="00FF5EDF" w:rsidP="007950F7">
      <w:pPr>
        <w:numPr>
          <w:ilvl w:val="0"/>
          <w:numId w:val="4"/>
        </w:numPr>
        <w:spacing w:before="100" w:beforeAutospacing="1" w:after="100" w:afterAutospacing="1" w:line="360" w:lineRule="auto"/>
        <w:jc w:val="both"/>
      </w:pPr>
      <w:r w:rsidRPr="008573C5">
        <w:t xml:space="preserve">Federal Ministry of Finance (FMF) </w:t>
      </w:r>
    </w:p>
    <w:p w:rsidR="00FF5EDF" w:rsidRPr="008573C5" w:rsidRDefault="00121C49" w:rsidP="007950F7">
      <w:pPr>
        <w:numPr>
          <w:ilvl w:val="0"/>
          <w:numId w:val="4"/>
        </w:numPr>
        <w:spacing w:before="100" w:beforeAutospacing="1" w:after="100" w:afterAutospacing="1" w:line="360" w:lineRule="auto"/>
        <w:jc w:val="both"/>
      </w:pPr>
      <w:r w:rsidRPr="008573C5">
        <w:t>N</w:t>
      </w:r>
      <w:r w:rsidR="00FF5EDF" w:rsidRPr="008573C5">
        <w:t xml:space="preserve">igerian Accounting Association (NAA) </w:t>
      </w:r>
    </w:p>
    <w:p w:rsidR="00FF5EDF" w:rsidRPr="008573C5" w:rsidRDefault="00FF5EDF" w:rsidP="007950F7">
      <w:pPr>
        <w:numPr>
          <w:ilvl w:val="0"/>
          <w:numId w:val="4"/>
        </w:numPr>
        <w:spacing w:before="100" w:beforeAutospacing="1" w:after="100" w:afterAutospacing="1" w:line="360" w:lineRule="auto"/>
        <w:jc w:val="both"/>
      </w:pPr>
      <w:r w:rsidRPr="008573C5">
        <w:t xml:space="preserve">Nigerian Association of Chambers of Commerce, Industry, Mines and Agriculture (NACCIMA) </w:t>
      </w:r>
    </w:p>
    <w:p w:rsidR="00FF5EDF" w:rsidRPr="008573C5" w:rsidRDefault="00FF5EDF" w:rsidP="007950F7">
      <w:pPr>
        <w:numPr>
          <w:ilvl w:val="0"/>
          <w:numId w:val="4"/>
        </w:numPr>
        <w:spacing w:before="100" w:beforeAutospacing="1" w:after="100" w:afterAutospacing="1" w:line="360" w:lineRule="auto"/>
        <w:jc w:val="both"/>
      </w:pPr>
      <w:r w:rsidRPr="008573C5">
        <w:t xml:space="preserve">Nigeria Deposit Insurance Corporation (NDIC) </w:t>
      </w:r>
    </w:p>
    <w:p w:rsidR="00FF5EDF" w:rsidRPr="008573C5" w:rsidRDefault="00FF5EDF" w:rsidP="007950F7">
      <w:pPr>
        <w:numPr>
          <w:ilvl w:val="0"/>
          <w:numId w:val="4"/>
        </w:numPr>
        <w:spacing w:before="100" w:beforeAutospacing="1" w:after="100" w:afterAutospacing="1" w:line="360" w:lineRule="auto"/>
        <w:jc w:val="both"/>
      </w:pPr>
      <w:r w:rsidRPr="008573C5">
        <w:t xml:space="preserve">Securities and Exchange Commission (SEC) </w:t>
      </w:r>
    </w:p>
    <w:p w:rsidR="00FF5EDF" w:rsidRPr="008573C5" w:rsidRDefault="00FF5EDF" w:rsidP="007950F7">
      <w:pPr>
        <w:numPr>
          <w:ilvl w:val="0"/>
          <w:numId w:val="4"/>
        </w:numPr>
        <w:spacing w:before="100" w:beforeAutospacing="1" w:after="100" w:afterAutospacing="1" w:line="360" w:lineRule="auto"/>
        <w:jc w:val="both"/>
      </w:pPr>
      <w:r w:rsidRPr="008573C5">
        <w:t xml:space="preserve">The Institute of Chartered Accountants of Nigeria (ICAN) </w:t>
      </w:r>
    </w:p>
    <w:p w:rsidR="00FF5EDF" w:rsidRPr="008573C5" w:rsidRDefault="00624B14" w:rsidP="007950F7">
      <w:pPr>
        <w:numPr>
          <w:ilvl w:val="0"/>
          <w:numId w:val="4"/>
        </w:numPr>
        <w:spacing w:before="100" w:beforeAutospacing="1" w:after="100" w:afterAutospacing="1" w:line="360" w:lineRule="auto"/>
        <w:jc w:val="both"/>
      </w:pPr>
      <w:r w:rsidRPr="008573C5">
        <w:t xml:space="preserve">Auditor-General of </w:t>
      </w:r>
      <w:r w:rsidR="00FF5EDF" w:rsidRPr="008573C5">
        <w:t xml:space="preserve">the Federation </w:t>
      </w:r>
    </w:p>
    <w:p w:rsidR="00FF5EDF" w:rsidRPr="008573C5" w:rsidRDefault="00FF5EDF" w:rsidP="007950F7">
      <w:pPr>
        <w:numPr>
          <w:ilvl w:val="0"/>
          <w:numId w:val="4"/>
        </w:numPr>
        <w:spacing w:before="100" w:beforeAutospacing="1" w:after="100" w:afterAutospacing="1" w:line="360" w:lineRule="auto"/>
        <w:jc w:val="both"/>
      </w:pPr>
      <w:r w:rsidRPr="008573C5">
        <w:t xml:space="preserve">Accountant-General of the Federation </w:t>
      </w:r>
    </w:p>
    <w:p w:rsidR="00FF5EDF" w:rsidRPr="008573C5" w:rsidRDefault="00FF5EDF" w:rsidP="007950F7">
      <w:pPr>
        <w:numPr>
          <w:ilvl w:val="0"/>
          <w:numId w:val="4"/>
        </w:numPr>
        <w:spacing w:before="100" w:beforeAutospacing="1" w:after="100" w:afterAutospacing="1" w:line="360" w:lineRule="auto"/>
        <w:jc w:val="both"/>
      </w:pPr>
      <w:r w:rsidRPr="008573C5">
        <w:t xml:space="preserve">Association of National Accountants of Nigeria (ANAN) </w:t>
      </w:r>
    </w:p>
    <w:p w:rsidR="00FF5EDF" w:rsidRPr="008573C5" w:rsidRDefault="00FF5EDF" w:rsidP="007950F7">
      <w:pPr>
        <w:numPr>
          <w:ilvl w:val="0"/>
          <w:numId w:val="4"/>
        </w:numPr>
        <w:spacing w:before="100" w:beforeAutospacing="1" w:after="100" w:afterAutospacing="1" w:line="360" w:lineRule="auto"/>
        <w:jc w:val="both"/>
      </w:pPr>
      <w:r w:rsidRPr="008573C5">
        <w:t xml:space="preserve">The Chartered Institute of Taxation of Nigeria (CITN) </w:t>
      </w:r>
    </w:p>
    <w:p w:rsidR="00FF5EDF" w:rsidRPr="008573C5" w:rsidRDefault="00624B14" w:rsidP="007950F7">
      <w:pPr>
        <w:spacing w:before="100" w:beforeAutospacing="1" w:after="100" w:afterAutospacing="1" w:line="360" w:lineRule="auto"/>
        <w:jc w:val="both"/>
      </w:pPr>
      <w:r w:rsidRPr="008573C5">
        <w:t>As at 200</w:t>
      </w:r>
      <w:r w:rsidR="00091EA8" w:rsidRPr="008573C5">
        <w:t>9</w:t>
      </w:r>
      <w:r w:rsidRPr="008573C5">
        <w:t>, the NASB ha</w:t>
      </w:r>
      <w:r w:rsidR="00B9101D" w:rsidRPr="008573C5">
        <w:t>ve</w:t>
      </w:r>
      <w:r w:rsidR="00FF5EDF" w:rsidRPr="008573C5">
        <w:t xml:space="preserve"> issued t</w:t>
      </w:r>
      <w:r w:rsidR="00091EA8" w:rsidRPr="008573C5">
        <w:t xml:space="preserve">hirty </w:t>
      </w:r>
      <w:r w:rsidR="00FF5EDF" w:rsidRPr="008573C5">
        <w:t>standards</w:t>
      </w:r>
      <w:r w:rsidRPr="008573C5">
        <w:t>. T</w:t>
      </w:r>
      <w:r w:rsidR="00FF5EDF" w:rsidRPr="008573C5">
        <w:t xml:space="preserve">hey are as stated in Appendix </w:t>
      </w:r>
      <w:r w:rsidR="00121C49" w:rsidRPr="008573C5">
        <w:t>I</w:t>
      </w:r>
      <w:r w:rsidR="007950F7" w:rsidRPr="008573C5">
        <w:t>I</w:t>
      </w:r>
      <w:r w:rsidR="00FF5EDF" w:rsidRPr="008573C5">
        <w:t xml:space="preserve">. </w:t>
      </w:r>
    </w:p>
    <w:p w:rsidR="00E079AE" w:rsidRPr="008573C5" w:rsidRDefault="00CE2EA1" w:rsidP="00E079AE">
      <w:pPr>
        <w:spacing w:line="360" w:lineRule="auto"/>
        <w:jc w:val="both"/>
        <w:rPr>
          <w:b/>
          <w:sz w:val="28"/>
          <w:szCs w:val="28"/>
        </w:rPr>
      </w:pPr>
      <w:r w:rsidRPr="008573C5">
        <w:rPr>
          <w:b/>
          <w:sz w:val="28"/>
          <w:szCs w:val="28"/>
        </w:rPr>
        <w:t>2.1.4</w:t>
      </w:r>
      <w:r w:rsidRPr="008573C5">
        <w:rPr>
          <w:b/>
          <w:sz w:val="28"/>
          <w:szCs w:val="28"/>
        </w:rPr>
        <w:tab/>
      </w:r>
      <w:r w:rsidR="00FF5EDF" w:rsidRPr="008573C5">
        <w:rPr>
          <w:b/>
          <w:sz w:val="28"/>
          <w:szCs w:val="28"/>
        </w:rPr>
        <w:t>International Accounting Standard</w:t>
      </w:r>
      <w:r w:rsidR="00624B14" w:rsidRPr="008573C5">
        <w:rPr>
          <w:b/>
          <w:sz w:val="28"/>
          <w:szCs w:val="28"/>
        </w:rPr>
        <w:t>s</w:t>
      </w:r>
      <w:r w:rsidR="00FF5EDF" w:rsidRPr="008573C5">
        <w:rPr>
          <w:b/>
          <w:sz w:val="28"/>
          <w:szCs w:val="28"/>
        </w:rPr>
        <w:t xml:space="preserve"> Board </w:t>
      </w:r>
    </w:p>
    <w:p w:rsidR="00FF5EDF" w:rsidRPr="008573C5" w:rsidRDefault="00FF5EDF" w:rsidP="00E079AE">
      <w:pPr>
        <w:spacing w:line="360" w:lineRule="auto"/>
        <w:jc w:val="both"/>
      </w:pPr>
      <w:r w:rsidRPr="008573C5">
        <w:t>The International Accounting Standards Board (IASB) is an independent organization based in London, United Kingdom</w:t>
      </w:r>
      <w:r w:rsidR="00434C4F" w:rsidRPr="008573C5">
        <w:t>,</w:t>
      </w:r>
      <w:r w:rsidRPr="008573C5">
        <w:t xml:space="preserve"> that issues Accounting rules known as International Financial Reporting Standards (IFRS) previously known as International Accounting Standards (IAS). The International Accounting Standards Board (IASB) was preceded by the Board of the International Accounting Standards Committee (IASC), which operated from 1973 </w:t>
      </w:r>
      <w:r w:rsidR="00805A98" w:rsidRPr="008573C5">
        <w:t>to</w:t>
      </w:r>
      <w:r w:rsidRPr="008573C5">
        <w:t xml:space="preserve"> 2001. IASC was set up </w:t>
      </w:r>
      <w:r w:rsidR="00805A98" w:rsidRPr="008573C5">
        <w:t>on</w:t>
      </w:r>
      <w:r w:rsidRPr="008573C5">
        <w:t xml:space="preserve"> the initiative of Sir Henry Benson during the 10</w:t>
      </w:r>
      <w:r w:rsidRPr="008573C5">
        <w:rPr>
          <w:vertAlign w:val="superscript"/>
        </w:rPr>
        <w:t>th</w:t>
      </w:r>
      <w:r w:rsidRPr="008573C5">
        <w:t xml:space="preserve"> World Congress of Accountants at Sydney, Australia</w:t>
      </w:r>
      <w:r w:rsidR="00434C4F" w:rsidRPr="008573C5">
        <w:t>,</w:t>
      </w:r>
      <w:r w:rsidRPr="008573C5">
        <w:t xml:space="preserve"> in 1972</w:t>
      </w:r>
      <w:r w:rsidR="007950F7" w:rsidRPr="008573C5">
        <w:t xml:space="preserve"> </w:t>
      </w:r>
      <w:r w:rsidR="000D284B" w:rsidRPr="008573C5">
        <w:t>(</w:t>
      </w:r>
      <w:r w:rsidR="009A1D1F" w:rsidRPr="008573C5">
        <w:t>Ezejelue, 2001:8)</w:t>
      </w:r>
      <w:r w:rsidRPr="008573C5">
        <w:t xml:space="preserve">. The agreement to form IASC was signed on June 29, 1973 by nine accountancy bodies, viz, </w:t>
      </w:r>
      <w:r w:rsidR="00434C4F" w:rsidRPr="008573C5">
        <w:t xml:space="preserve">in </w:t>
      </w:r>
      <w:r w:rsidRPr="008573C5">
        <w:t>Australia, Japan, France, Canada, Germany, Mexico, the United States, the United Kingdom and Ireland and the Netherlands, and these countries constituted the Board of IASC at that time</w:t>
      </w:r>
      <w:r w:rsidR="007D4D28" w:rsidRPr="008573C5">
        <w:t xml:space="preserve"> (Alexander, Britton and Jorissen, ,2003:45)</w:t>
      </w:r>
      <w:r w:rsidRPr="008573C5">
        <w:t xml:space="preserve">. The IASC was established as a response to the </w:t>
      </w:r>
      <w:r w:rsidR="00434C4F" w:rsidRPr="008573C5">
        <w:t>call</w:t>
      </w:r>
      <w:r w:rsidR="00E079AE" w:rsidRPr="008573C5">
        <w:t xml:space="preserve"> by a</w:t>
      </w:r>
      <w:r w:rsidRPr="008573C5">
        <w:t xml:space="preserve">ccounting </w:t>
      </w:r>
      <w:r w:rsidR="007950F7" w:rsidRPr="008573C5">
        <w:t>p</w:t>
      </w:r>
      <w:r w:rsidRPr="008573C5">
        <w:t>rofessionals of the G5 for better communication, closer co</w:t>
      </w:r>
      <w:r w:rsidR="00434C4F" w:rsidRPr="008573C5">
        <w:t>-</w:t>
      </w:r>
      <w:r w:rsidRPr="008573C5">
        <w:t>operation and greater co-ordination of accounting rules among the various nations of the World. Blake (1981:193) narrated that the need for International Accounting Standar</w:t>
      </w:r>
      <w:r w:rsidR="00805A98" w:rsidRPr="008573C5">
        <w:t xml:space="preserve">ds </w:t>
      </w:r>
      <w:r w:rsidR="007950F7" w:rsidRPr="008573C5">
        <w:t>p</w:t>
      </w:r>
      <w:r w:rsidR="00805A98" w:rsidRPr="008573C5">
        <w:t>rogramme at that time</w:t>
      </w:r>
      <w:r w:rsidRPr="008573C5">
        <w:t xml:space="preserve"> was attributable to three factors</w:t>
      </w:r>
      <w:r w:rsidR="0060772C" w:rsidRPr="008573C5">
        <w:t xml:space="preserve"> - f</w:t>
      </w:r>
      <w:r w:rsidRPr="008573C5">
        <w:t>irstly, the growth in international investment</w:t>
      </w:r>
      <w:r w:rsidR="00805A98" w:rsidRPr="008573C5">
        <w:t>;</w:t>
      </w:r>
      <w:r w:rsidRPr="008573C5">
        <w:t xml:space="preserve"> secondly, the increasing prominence of multinational enterprises and lastly, the growth in the number of accounting standard setting bodies. </w:t>
      </w:r>
    </w:p>
    <w:p w:rsidR="00E079AE" w:rsidRPr="008573C5" w:rsidRDefault="00E079AE" w:rsidP="007950F7">
      <w:pPr>
        <w:autoSpaceDE w:val="0"/>
        <w:autoSpaceDN w:val="0"/>
        <w:adjustRightInd w:val="0"/>
        <w:spacing w:line="360" w:lineRule="auto"/>
        <w:jc w:val="both"/>
      </w:pPr>
    </w:p>
    <w:p w:rsidR="00FF5EDF" w:rsidRPr="008573C5" w:rsidRDefault="00FF5EDF" w:rsidP="007950F7">
      <w:pPr>
        <w:autoSpaceDE w:val="0"/>
        <w:autoSpaceDN w:val="0"/>
        <w:adjustRightInd w:val="0"/>
        <w:spacing w:line="360" w:lineRule="auto"/>
        <w:jc w:val="both"/>
        <w:rPr>
          <w:szCs w:val="20"/>
          <w:lang w:val="en-GB" w:eastAsia="en-GB"/>
        </w:rPr>
      </w:pPr>
      <w:r w:rsidRPr="008573C5">
        <w:t>In 1974, Belgium, India, Israel, New Zealand, Pakistan and Zimbabwe joined as associate members. The first two standards IAS 1</w:t>
      </w:r>
      <w:r w:rsidR="008550F1" w:rsidRPr="008573C5">
        <w:t>,</w:t>
      </w:r>
      <w:r w:rsidRPr="008573C5">
        <w:t xml:space="preserve"> Disclos</w:t>
      </w:r>
      <w:r w:rsidR="008550F1" w:rsidRPr="008573C5">
        <w:t xml:space="preserve">ure of Accounting Policies and </w:t>
      </w:r>
      <w:r w:rsidRPr="008573C5">
        <w:t>IAS 2</w:t>
      </w:r>
      <w:r w:rsidR="008550F1" w:rsidRPr="008573C5">
        <w:t>,</w:t>
      </w:r>
      <w:r w:rsidRPr="008573C5">
        <w:t xml:space="preserve"> Valuation and Presentation of Inventories in the Context of the Historical Cost System were published in 1975. In 1977 the International Federation of Accountants (IFAC) was formed, to support the work of the IASC. In 1978, South Africa and Nigeria joined the Board.</w:t>
      </w:r>
      <w:r w:rsidR="00E079AE" w:rsidRPr="008573C5">
        <w:t xml:space="preserve"> </w:t>
      </w:r>
      <w:r w:rsidRPr="008573C5">
        <w:rPr>
          <w:szCs w:val="20"/>
          <w:lang w:val="en-GB" w:eastAsia="en-GB"/>
        </w:rPr>
        <w:t>According to Wallace</w:t>
      </w:r>
      <w:r w:rsidR="00121C49" w:rsidRPr="008573C5">
        <w:rPr>
          <w:szCs w:val="20"/>
          <w:lang w:val="en-GB" w:eastAsia="en-GB"/>
        </w:rPr>
        <w:t xml:space="preserve"> </w:t>
      </w:r>
      <w:r w:rsidRPr="008573C5">
        <w:rPr>
          <w:szCs w:val="20"/>
          <w:lang w:val="en-GB" w:eastAsia="en-GB"/>
        </w:rPr>
        <w:t xml:space="preserve">(1990:9), the implicit primary goal </w:t>
      </w:r>
      <w:r w:rsidR="00805A98" w:rsidRPr="008573C5">
        <w:rPr>
          <w:szCs w:val="20"/>
          <w:lang w:val="en-GB" w:eastAsia="en-GB"/>
        </w:rPr>
        <w:t xml:space="preserve">of IASC is harmonisation but </w:t>
      </w:r>
      <w:r w:rsidR="0060772C" w:rsidRPr="008573C5">
        <w:rPr>
          <w:szCs w:val="20"/>
          <w:lang w:val="en-GB" w:eastAsia="en-GB"/>
        </w:rPr>
        <w:t>its official goal as set out in the constitution is</w:t>
      </w:r>
      <w:r w:rsidRPr="008573C5">
        <w:rPr>
          <w:szCs w:val="20"/>
          <w:lang w:val="en-GB" w:eastAsia="en-GB"/>
        </w:rPr>
        <w:t xml:space="preserve"> as follows </w:t>
      </w:r>
      <w:r w:rsidR="008976F1" w:rsidRPr="008573C5">
        <w:rPr>
          <w:szCs w:val="20"/>
          <w:lang w:val="en-GB" w:eastAsia="en-GB"/>
        </w:rPr>
        <w:t>(</w:t>
      </w:r>
      <w:r w:rsidR="0060772C" w:rsidRPr="008573C5">
        <w:t xml:space="preserve">Roberts, Weetman, and Gordon </w:t>
      </w:r>
      <w:r w:rsidR="008976F1" w:rsidRPr="008573C5">
        <w:rPr>
          <w:szCs w:val="20"/>
          <w:lang w:val="en-GB" w:eastAsia="en-GB"/>
        </w:rPr>
        <w:t>(2002:133)</w:t>
      </w:r>
      <w:r w:rsidR="0060772C" w:rsidRPr="008573C5">
        <w:rPr>
          <w:szCs w:val="20"/>
          <w:lang w:val="en-GB" w:eastAsia="en-GB"/>
        </w:rPr>
        <w:t>:</w:t>
      </w:r>
    </w:p>
    <w:p w:rsidR="008976F1" w:rsidRPr="008573C5" w:rsidRDefault="00FF5EDF" w:rsidP="007950F7">
      <w:pPr>
        <w:numPr>
          <w:ilvl w:val="0"/>
          <w:numId w:val="26"/>
        </w:numPr>
        <w:autoSpaceDE w:val="0"/>
        <w:autoSpaceDN w:val="0"/>
        <w:adjustRightInd w:val="0"/>
        <w:spacing w:line="360" w:lineRule="auto"/>
        <w:jc w:val="both"/>
        <w:rPr>
          <w:szCs w:val="20"/>
          <w:lang w:val="en-GB" w:eastAsia="en-GB"/>
        </w:rPr>
      </w:pPr>
      <w:r w:rsidRPr="008573C5">
        <w:rPr>
          <w:szCs w:val="20"/>
          <w:lang w:val="en-GB" w:eastAsia="en-GB"/>
        </w:rPr>
        <w:t>to</w:t>
      </w:r>
      <w:r w:rsidR="008976F1" w:rsidRPr="008573C5">
        <w:rPr>
          <w:szCs w:val="20"/>
          <w:lang w:val="en-GB" w:eastAsia="en-GB"/>
        </w:rPr>
        <w:t xml:space="preserve"> develop in the </w:t>
      </w:r>
      <w:r w:rsidRPr="008573C5">
        <w:rPr>
          <w:szCs w:val="20"/>
          <w:lang w:val="en-GB" w:eastAsia="en-GB"/>
        </w:rPr>
        <w:t>public interest</w:t>
      </w:r>
      <w:r w:rsidR="008976F1" w:rsidRPr="008573C5">
        <w:rPr>
          <w:szCs w:val="20"/>
          <w:lang w:val="en-GB" w:eastAsia="en-GB"/>
        </w:rPr>
        <w:t>, a single set of high quality understandable and enforceable glob</w:t>
      </w:r>
      <w:r w:rsidR="008550F1" w:rsidRPr="008573C5">
        <w:rPr>
          <w:szCs w:val="20"/>
          <w:lang w:val="en-GB" w:eastAsia="en-GB"/>
        </w:rPr>
        <w:t xml:space="preserve">al accounting standards; </w:t>
      </w:r>
    </w:p>
    <w:p w:rsidR="008976F1" w:rsidRPr="008573C5" w:rsidRDefault="008976F1" w:rsidP="007950F7">
      <w:pPr>
        <w:numPr>
          <w:ilvl w:val="0"/>
          <w:numId w:val="26"/>
        </w:numPr>
        <w:autoSpaceDE w:val="0"/>
        <w:autoSpaceDN w:val="0"/>
        <w:adjustRightInd w:val="0"/>
        <w:spacing w:line="360" w:lineRule="auto"/>
        <w:jc w:val="both"/>
        <w:rPr>
          <w:szCs w:val="20"/>
          <w:lang w:val="en-GB" w:eastAsia="en-GB"/>
        </w:rPr>
      </w:pPr>
      <w:r w:rsidRPr="008573C5">
        <w:rPr>
          <w:szCs w:val="20"/>
          <w:lang w:val="en-GB" w:eastAsia="en-GB"/>
        </w:rPr>
        <w:t xml:space="preserve">to promote the rigorous use and application of these </w:t>
      </w:r>
      <w:r w:rsidR="00FF5EDF" w:rsidRPr="008573C5">
        <w:rPr>
          <w:szCs w:val="20"/>
          <w:lang w:val="en-GB" w:eastAsia="en-GB"/>
        </w:rPr>
        <w:t xml:space="preserve"> accounting standards</w:t>
      </w:r>
      <w:r w:rsidR="0060772C" w:rsidRPr="008573C5">
        <w:rPr>
          <w:szCs w:val="20"/>
          <w:lang w:val="en-GB" w:eastAsia="en-GB"/>
        </w:rPr>
        <w:t>;</w:t>
      </w:r>
    </w:p>
    <w:p w:rsidR="00FF5EDF" w:rsidRPr="008573C5" w:rsidRDefault="00FF5EDF" w:rsidP="007950F7">
      <w:pPr>
        <w:numPr>
          <w:ilvl w:val="0"/>
          <w:numId w:val="26"/>
        </w:numPr>
        <w:autoSpaceDE w:val="0"/>
        <w:autoSpaceDN w:val="0"/>
        <w:adjustRightInd w:val="0"/>
        <w:spacing w:line="360" w:lineRule="auto"/>
        <w:jc w:val="both"/>
        <w:rPr>
          <w:szCs w:val="20"/>
          <w:lang w:val="en-GB" w:eastAsia="en-GB"/>
        </w:rPr>
      </w:pPr>
      <w:r w:rsidRPr="008573C5">
        <w:rPr>
          <w:szCs w:val="20"/>
          <w:lang w:val="en-GB" w:eastAsia="en-GB"/>
        </w:rPr>
        <w:t xml:space="preserve">to </w:t>
      </w:r>
      <w:r w:rsidR="008976F1" w:rsidRPr="008573C5">
        <w:rPr>
          <w:szCs w:val="20"/>
          <w:lang w:val="en-GB" w:eastAsia="en-GB"/>
        </w:rPr>
        <w:t>bring about the convergence of national accounting standards and international accounting standards</w:t>
      </w:r>
      <w:r w:rsidR="0060772C" w:rsidRPr="008573C5">
        <w:rPr>
          <w:szCs w:val="20"/>
          <w:lang w:val="en-GB" w:eastAsia="en-GB"/>
        </w:rPr>
        <w:t>.</w:t>
      </w:r>
    </w:p>
    <w:p w:rsidR="00FF5EDF" w:rsidRPr="008573C5" w:rsidRDefault="00FF5EDF" w:rsidP="007950F7">
      <w:pPr>
        <w:autoSpaceDE w:val="0"/>
        <w:autoSpaceDN w:val="0"/>
        <w:adjustRightInd w:val="0"/>
        <w:spacing w:line="360" w:lineRule="auto"/>
        <w:jc w:val="both"/>
      </w:pPr>
    </w:p>
    <w:p w:rsidR="00FF5EDF" w:rsidRPr="008573C5" w:rsidRDefault="00FF5EDF" w:rsidP="007950F7">
      <w:pPr>
        <w:autoSpaceDE w:val="0"/>
        <w:autoSpaceDN w:val="0"/>
        <w:adjustRightInd w:val="0"/>
        <w:spacing w:line="360" w:lineRule="auto"/>
        <w:jc w:val="both"/>
      </w:pPr>
      <w:r w:rsidRPr="008573C5">
        <w:t>According to Porter (2004: 8), over time, IASC has been marked by a number of significant challenges and accomplishments. During the firs</w:t>
      </w:r>
      <w:r w:rsidR="0060772C" w:rsidRPr="008573C5">
        <w:t>t decade, (i.e. from 1973-1983)</w:t>
      </w:r>
      <w:r w:rsidRPr="008573C5">
        <w:t xml:space="preserve"> it successfully fended off efforts of developing Countries </w:t>
      </w:r>
      <w:r w:rsidR="00805A98" w:rsidRPr="008573C5">
        <w:t>and it had to cope with the</w:t>
      </w:r>
      <w:r w:rsidRPr="008573C5">
        <w:t xml:space="preserve"> flexible private-sector Anglo-American approaches to accounting</w:t>
      </w:r>
      <w:r w:rsidR="00805A98" w:rsidRPr="008573C5">
        <w:t xml:space="preserve">. It also had to cope with the </w:t>
      </w:r>
      <w:r w:rsidRPr="008573C5">
        <w:t xml:space="preserve">more cautious and legalistic European approaches that were oriented much more to the needs of creditors and government. </w:t>
      </w:r>
      <w:r w:rsidR="00805A98" w:rsidRPr="008573C5">
        <w:t>Afterwards, t</w:t>
      </w:r>
      <w:r w:rsidRPr="008573C5">
        <w:t xml:space="preserve">here </w:t>
      </w:r>
      <w:r w:rsidR="0060772C" w:rsidRPr="008573C5">
        <w:t>was a</w:t>
      </w:r>
      <w:r w:rsidRPr="008573C5">
        <w:t xml:space="preserve"> need to harmonise the accounting standard for reasons such as reduction in diversity of financial statements for multinational enterprises and efficient comparison of international financial statements (Tower et al, 1999:294). During the second decade (i.e from 1984-1993) IASC’s initiative to harmonise </w:t>
      </w:r>
      <w:r w:rsidR="00805A98" w:rsidRPr="008573C5">
        <w:t xml:space="preserve">accounting standards commenced </w:t>
      </w:r>
      <w:r w:rsidRPr="008573C5">
        <w:t>but at a slow pace</w:t>
      </w:r>
      <w:r w:rsidR="00805A98" w:rsidRPr="008573C5">
        <w:t>, m</w:t>
      </w:r>
      <w:r w:rsidRPr="008573C5">
        <w:t xml:space="preserve">ostly, because the standards were rigorous and not sufficiently specific. The Board made efforts to improve its standard by inaugurating </w:t>
      </w:r>
      <w:r w:rsidR="00081FF6" w:rsidRPr="008573C5">
        <w:t>a Comparability and Improvement</w:t>
      </w:r>
      <w:r w:rsidRPr="008573C5">
        <w:t xml:space="preserve"> project which was completed in 1993 with approval of ten revised IAS</w:t>
      </w:r>
      <w:r w:rsidR="00E079AE" w:rsidRPr="008573C5">
        <w:t>s</w:t>
      </w:r>
      <w:r w:rsidRPr="008573C5">
        <w:t>. This made them gain recognition of International Organization of Securities Commissions (IOSCO).</w:t>
      </w:r>
    </w:p>
    <w:p w:rsidR="00FF5EDF" w:rsidRPr="008573C5" w:rsidRDefault="00FF5EDF" w:rsidP="007950F7">
      <w:pPr>
        <w:autoSpaceDE w:val="0"/>
        <w:autoSpaceDN w:val="0"/>
        <w:adjustRightInd w:val="0"/>
        <w:spacing w:line="360" w:lineRule="auto"/>
        <w:jc w:val="both"/>
      </w:pPr>
    </w:p>
    <w:p w:rsidR="00FF5EDF" w:rsidRPr="008573C5" w:rsidRDefault="00532FFC" w:rsidP="007950F7">
      <w:pPr>
        <w:autoSpaceDE w:val="0"/>
        <w:autoSpaceDN w:val="0"/>
        <w:adjustRightInd w:val="0"/>
        <w:spacing w:line="360" w:lineRule="auto"/>
        <w:jc w:val="both"/>
      </w:pPr>
      <w:r w:rsidRPr="008573C5">
        <w:t>During 1994 to 2000,</w:t>
      </w:r>
      <w:r w:rsidR="000D284B" w:rsidRPr="008573C5">
        <w:t xml:space="preserve"> </w:t>
      </w:r>
      <w:r w:rsidR="00FF5EDF" w:rsidRPr="008573C5">
        <w:t>IASC’s stature was enhanced as a result of the global financial crises of the 1990s and IOSCO recommended that its members should allow foreign firms to use IAS in accessing their securities markets. On 1, April 2001, IASC was transformed to the IASB with the responsibility for setting International Accounting Standards.   A four-level structure was created with a separation between the Trustees, the Board, a Standards Advisory Council and a Standing Interpretations Committee endorsed by IOSCO, the SEC and Financial Standards Accounting Board. The IAS was renamed International Financial Reporting Standards (IFRS). In 2002, U.S. Financial Accounting St</w:t>
      </w:r>
      <w:r w:rsidR="00AA519C" w:rsidRPr="008573C5">
        <w:t>andards Board (FASB) and IASB he</w:t>
      </w:r>
      <w:r w:rsidR="00FF5EDF" w:rsidRPr="008573C5">
        <w:t>ld a joint meeting and issue</w:t>
      </w:r>
      <w:r w:rsidR="00AA519C" w:rsidRPr="008573C5">
        <w:t>d</w:t>
      </w:r>
      <w:r w:rsidR="00FF5EDF" w:rsidRPr="008573C5">
        <w:t xml:space="preserve"> a memorandum of understanding pledging convergence of their accounting standards and coordination of their work programmes. In 2004, European Commission endorses all IASs and IFRSs for use in Europe. These countries include Austria, Belgium, Cyprus, Czech Republic, Denmark. Germany. Estonia. Greece, Spain, France, Ireland. Italy, Latvia. Lithuania, Luxembourg. Hungary. Malta. Netherlands. Poland, Portugal, Slovenia, Slovakia. Finland, Sweden and U.K. During the</w:t>
      </w:r>
      <w:r w:rsidR="00805A98" w:rsidRPr="008573C5">
        <w:t xml:space="preserve"> </w:t>
      </w:r>
      <w:r w:rsidR="00FF5EDF" w:rsidRPr="008573C5">
        <w:t>same period, Australia, Hong Kong, New Zealand, and Philippines adopt improved IASs and IFRSs.</w:t>
      </w:r>
    </w:p>
    <w:p w:rsidR="00FF5EDF" w:rsidRPr="008573C5" w:rsidRDefault="00FF5EDF" w:rsidP="007950F7">
      <w:pPr>
        <w:autoSpaceDE w:val="0"/>
        <w:autoSpaceDN w:val="0"/>
        <w:adjustRightInd w:val="0"/>
        <w:spacing w:line="360" w:lineRule="auto"/>
        <w:jc w:val="both"/>
      </w:pPr>
    </w:p>
    <w:p w:rsidR="00CC2582" w:rsidRPr="008573C5" w:rsidRDefault="00FF5EDF" w:rsidP="007950F7">
      <w:pPr>
        <w:autoSpaceDE w:val="0"/>
        <w:autoSpaceDN w:val="0"/>
        <w:adjustRightInd w:val="0"/>
        <w:spacing w:line="360" w:lineRule="auto"/>
        <w:jc w:val="both"/>
      </w:pPr>
      <w:r w:rsidRPr="008573C5">
        <w:t xml:space="preserve">Several countries that had not adopted IFRS had established machinery for convergence. Convergence is a modified version of adoption. Ball (2006:11) narrated that convergence </w:t>
      </w:r>
      <w:r w:rsidRPr="008573C5">
        <w:rPr>
          <w:i/>
          <w:iCs/>
        </w:rPr>
        <w:t xml:space="preserve">de facto </w:t>
      </w:r>
      <w:r w:rsidRPr="008573C5">
        <w:t xml:space="preserve">is less certain than convergence </w:t>
      </w:r>
      <w:r w:rsidRPr="008573C5">
        <w:rPr>
          <w:i/>
          <w:iCs/>
        </w:rPr>
        <w:t xml:space="preserve">de jure. </w:t>
      </w:r>
      <w:r w:rsidRPr="008573C5">
        <w:rPr>
          <w:iCs/>
        </w:rPr>
        <w:t>The latter</w:t>
      </w:r>
      <w:r w:rsidRPr="008573C5">
        <w:rPr>
          <w:i/>
          <w:iCs/>
        </w:rPr>
        <w:t xml:space="preserve"> </w:t>
      </w:r>
      <w:r w:rsidRPr="008573C5">
        <w:rPr>
          <w:iCs/>
        </w:rPr>
        <w:t>relates to accounting regulation while the former relates to company practices. That is to say that</w:t>
      </w:r>
      <w:r w:rsidRPr="008573C5">
        <w:rPr>
          <w:i/>
          <w:iCs/>
        </w:rPr>
        <w:t xml:space="preserve"> </w:t>
      </w:r>
      <w:r w:rsidRPr="008573C5">
        <w:t>harmony in actual f</w:t>
      </w:r>
      <w:r w:rsidR="00805A98" w:rsidRPr="008573C5">
        <w:t>inancial reporting practice is</w:t>
      </w:r>
      <w:r w:rsidRPr="008573C5">
        <w:t xml:space="preserve"> different from harmony in financial reporting standards (</w:t>
      </w:r>
      <w:r w:rsidR="00196803" w:rsidRPr="008573C5">
        <w:t>Taplin, Tower and Hancock,</w:t>
      </w:r>
      <w:r w:rsidRPr="008573C5">
        <w:t xml:space="preserve"> 2002:188). This can be </w:t>
      </w:r>
      <w:r w:rsidR="00805A98" w:rsidRPr="008573C5">
        <w:t>attributed</w:t>
      </w:r>
      <w:r w:rsidRPr="008573C5">
        <w:t xml:space="preserve"> to some factors such as </w:t>
      </w:r>
      <w:r w:rsidR="00A403C3" w:rsidRPr="008573C5">
        <w:t>corporate factors, po</w:t>
      </w:r>
      <w:r w:rsidRPr="008573C5">
        <w:t>litical factors, cultural factors and economical factors. IASC cannot enforce countries to adopt its standard but it solely relies on them to comply. Widespread international adaptation of the IFRS</w:t>
      </w:r>
      <w:r w:rsidR="00AC0E34" w:rsidRPr="008573C5">
        <w:t>s offer</w:t>
      </w:r>
      <w:r w:rsidRPr="008573C5">
        <w:t xml:space="preserve"> advantages such as accurate, timely and comprehensive financial statement information, reduces cost of information processing, enhances international compari</w:t>
      </w:r>
      <w:r w:rsidR="00805A98" w:rsidRPr="008573C5">
        <w:t>son</w:t>
      </w:r>
      <w:r w:rsidRPr="008573C5">
        <w:t xml:space="preserve"> of financial statements, and removes barriers to cross-border </w:t>
      </w:r>
      <w:r w:rsidR="00537891" w:rsidRPr="008573C5">
        <w:t>acquisitions and divestitures (</w:t>
      </w:r>
      <w:r w:rsidRPr="008573C5">
        <w:t>Ball,</w:t>
      </w:r>
      <w:r w:rsidR="00537891" w:rsidRPr="008573C5">
        <w:t xml:space="preserve"> </w:t>
      </w:r>
      <w:r w:rsidRPr="008573C5">
        <w:t>2006: 12)</w:t>
      </w:r>
      <w:r w:rsidR="0060772C" w:rsidRPr="008573C5">
        <w:t>.</w:t>
      </w:r>
    </w:p>
    <w:p w:rsidR="006D0977" w:rsidRPr="008573C5" w:rsidRDefault="00BF3366" w:rsidP="00F2638F">
      <w:pPr>
        <w:pStyle w:val="NormalWeb"/>
        <w:spacing w:line="360" w:lineRule="auto"/>
        <w:jc w:val="both"/>
      </w:pPr>
      <w:r w:rsidRPr="008573C5">
        <w:t xml:space="preserve">Presently, NASB is making frantic efforts of adapting IFRSs </w:t>
      </w:r>
      <w:r w:rsidR="00A50AF1" w:rsidRPr="008573C5">
        <w:t>to suit Nigerian environmental peculiarities.</w:t>
      </w:r>
      <w:r w:rsidR="00CC2582" w:rsidRPr="008573C5">
        <w:t xml:space="preserve"> </w:t>
      </w:r>
      <w:r w:rsidR="006D0977" w:rsidRPr="008573C5">
        <w:t>However, t</w:t>
      </w:r>
      <w:r w:rsidR="00CC2582" w:rsidRPr="008573C5">
        <w:t xml:space="preserve">he Executive Secretary of the Nigerian Accounting Standards Board (NASB), </w:t>
      </w:r>
      <w:r w:rsidR="006D0977" w:rsidRPr="008573C5">
        <w:t xml:space="preserve">narrated that </w:t>
      </w:r>
      <w:r w:rsidR="00CC2582" w:rsidRPr="008573C5">
        <w:t xml:space="preserve">it is not possible to fully adopt the IFRS </w:t>
      </w:r>
      <w:r w:rsidR="006D0977" w:rsidRPr="008573C5">
        <w:t xml:space="preserve">taking </w:t>
      </w:r>
      <w:r w:rsidR="00CC2582" w:rsidRPr="008573C5">
        <w:t>into cognisance local needs. He said: "Nigeria is at a different level of development compared to some of the IFRC countries. We will converge by adaptation. We take each standard and look at how relevant it is to the economy before we adopt it or converge</w:t>
      </w:r>
      <w:r w:rsidR="006D0977" w:rsidRPr="008573C5">
        <w:t>”</w:t>
      </w:r>
      <w:r w:rsidR="00E22985" w:rsidRPr="008573C5">
        <w:t xml:space="preserve"> </w:t>
      </w:r>
      <w:r w:rsidR="00532FFC" w:rsidRPr="008573C5">
        <w:t>(Nnadi, 2009b)</w:t>
      </w:r>
      <w:r w:rsidR="00CC2582" w:rsidRPr="008573C5">
        <w:t>.</w:t>
      </w:r>
      <w:r w:rsidR="009738B4" w:rsidRPr="008573C5">
        <w:t xml:space="preserve"> A number of leading banks have started making voluntary decisions to improve the transparency and exposure level of their books by using IFRS for the presentation of their financial statements. These banks are First Bank of Nigeria Plc, Guaranty Trust Bank Plc, Access Bank Plc, and EcoBank Transnational International (ETI). </w:t>
      </w:r>
      <w:r w:rsidR="006D0977" w:rsidRPr="008573C5">
        <w:t>The Nigerian Stock Exchange (NSE) has urged quoted companies to comply with the International Financial Reporting Standards (IFRS</w:t>
      </w:r>
      <w:r w:rsidR="00D7232E" w:rsidRPr="008573C5">
        <w:t>s</w:t>
      </w:r>
      <w:r w:rsidR="006D0977" w:rsidRPr="008573C5">
        <w:t>) by 2011.</w:t>
      </w:r>
    </w:p>
    <w:p w:rsidR="00BF3366" w:rsidRPr="008573C5" w:rsidRDefault="00BF3366" w:rsidP="007950F7">
      <w:pPr>
        <w:autoSpaceDE w:val="0"/>
        <w:autoSpaceDN w:val="0"/>
        <w:adjustRightInd w:val="0"/>
        <w:spacing w:line="360" w:lineRule="auto"/>
        <w:jc w:val="both"/>
        <w:rPr>
          <w:b/>
          <w:sz w:val="28"/>
          <w:szCs w:val="28"/>
        </w:rPr>
      </w:pPr>
    </w:p>
    <w:p w:rsidR="00FF5EDF" w:rsidRPr="008573C5" w:rsidRDefault="00DE18D0" w:rsidP="00DE18D0">
      <w:pPr>
        <w:autoSpaceDE w:val="0"/>
        <w:autoSpaceDN w:val="0"/>
        <w:adjustRightInd w:val="0"/>
        <w:spacing w:line="360" w:lineRule="auto"/>
        <w:jc w:val="both"/>
        <w:rPr>
          <w:b/>
          <w:bCs/>
          <w:sz w:val="28"/>
          <w:szCs w:val="28"/>
        </w:rPr>
      </w:pPr>
      <w:r w:rsidRPr="008573C5">
        <w:rPr>
          <w:b/>
          <w:bCs/>
          <w:sz w:val="28"/>
          <w:szCs w:val="28"/>
        </w:rPr>
        <w:t>2.</w:t>
      </w:r>
      <w:r w:rsidR="0005589B" w:rsidRPr="008573C5">
        <w:rPr>
          <w:b/>
          <w:bCs/>
          <w:sz w:val="28"/>
          <w:szCs w:val="28"/>
        </w:rPr>
        <w:t>2</w:t>
      </w:r>
      <w:r w:rsidRPr="008573C5">
        <w:rPr>
          <w:b/>
          <w:bCs/>
          <w:sz w:val="28"/>
          <w:szCs w:val="28"/>
        </w:rPr>
        <w:tab/>
      </w:r>
      <w:r w:rsidR="006B3DD6" w:rsidRPr="008573C5">
        <w:rPr>
          <w:b/>
          <w:bCs/>
          <w:sz w:val="28"/>
          <w:szCs w:val="28"/>
        </w:rPr>
        <w:t>Review</w:t>
      </w:r>
      <w:r w:rsidR="00473DCC" w:rsidRPr="008573C5">
        <w:rPr>
          <w:b/>
          <w:bCs/>
          <w:sz w:val="28"/>
          <w:szCs w:val="28"/>
        </w:rPr>
        <w:t xml:space="preserve"> of Empirical Literature</w:t>
      </w:r>
    </w:p>
    <w:p w:rsidR="00FF5EDF" w:rsidRPr="008573C5" w:rsidRDefault="00FF5EDF" w:rsidP="00D01247">
      <w:pPr>
        <w:autoSpaceDE w:val="0"/>
        <w:autoSpaceDN w:val="0"/>
        <w:adjustRightInd w:val="0"/>
        <w:spacing w:line="360" w:lineRule="auto"/>
        <w:jc w:val="both"/>
        <w:rPr>
          <w:bCs/>
          <w:i/>
          <w:u w:val="single"/>
        </w:rPr>
      </w:pPr>
      <w:r w:rsidRPr="008573C5">
        <w:t xml:space="preserve">Accounting researchers have investigated relationships between corporate characteristics and disclosures in corporate annual reports since 1960s. Early works on this subject was pioneered by </w:t>
      </w:r>
      <w:r w:rsidR="00190288" w:rsidRPr="008573C5">
        <w:t>Cerf (as cited in Fremgen (1964:467)</w:t>
      </w:r>
      <w:r w:rsidRPr="008573C5">
        <w:t xml:space="preserve"> and afterwards, many studies have examined the quality of information disclosures in various context</w:t>
      </w:r>
      <w:r w:rsidR="00805A98" w:rsidRPr="008573C5">
        <w:t>s</w:t>
      </w:r>
      <w:r w:rsidRPr="008573C5">
        <w:t>. Examples of such studies are</w:t>
      </w:r>
      <w:r w:rsidR="00191163" w:rsidRPr="008573C5">
        <w:rPr>
          <w:bCs/>
        </w:rPr>
        <w:t xml:space="preserve">: </w:t>
      </w:r>
      <w:r w:rsidRPr="008573C5">
        <w:rPr>
          <w:bCs/>
        </w:rPr>
        <w:t>Owusu- Ansah (1998</w:t>
      </w:r>
      <w:r w:rsidR="00191163" w:rsidRPr="008573C5">
        <w:rPr>
          <w:bCs/>
        </w:rPr>
        <w:t>:605-631</w:t>
      </w:r>
      <w:r w:rsidR="00A22BC9" w:rsidRPr="008573C5">
        <w:rPr>
          <w:bCs/>
        </w:rPr>
        <w:t>);</w:t>
      </w:r>
      <w:r w:rsidRPr="008573C5">
        <w:rPr>
          <w:bCs/>
        </w:rPr>
        <w:t xml:space="preserve"> </w:t>
      </w:r>
      <w:r w:rsidR="00DB62CF" w:rsidRPr="008573C5">
        <w:t xml:space="preserve">Ho and Wong (2001:139-156), </w:t>
      </w:r>
      <w:r w:rsidRPr="008573C5">
        <w:rPr>
          <w:bCs/>
        </w:rPr>
        <w:t>Joshi and Ramadhan (2002</w:t>
      </w:r>
      <w:r w:rsidR="00A22BC9" w:rsidRPr="008573C5">
        <w:rPr>
          <w:bCs/>
        </w:rPr>
        <w:t>:429-440</w:t>
      </w:r>
      <w:r w:rsidRPr="008573C5">
        <w:rPr>
          <w:bCs/>
        </w:rPr>
        <w:t>); Chau and Gray (2002</w:t>
      </w:r>
      <w:r w:rsidR="00A22BC9" w:rsidRPr="008573C5">
        <w:rPr>
          <w:bCs/>
        </w:rPr>
        <w:t>:247-265); Naser et al</w:t>
      </w:r>
      <w:r w:rsidR="004B0105" w:rsidRPr="008573C5">
        <w:rPr>
          <w:bCs/>
        </w:rPr>
        <w:t>.</w:t>
      </w:r>
      <w:r w:rsidR="00A22BC9" w:rsidRPr="008573C5">
        <w:rPr>
          <w:bCs/>
        </w:rPr>
        <w:t xml:space="preserve"> </w:t>
      </w:r>
      <w:r w:rsidRPr="008573C5">
        <w:rPr>
          <w:bCs/>
        </w:rPr>
        <w:t>(2002</w:t>
      </w:r>
      <w:r w:rsidR="00A22BC9" w:rsidRPr="008573C5">
        <w:rPr>
          <w:bCs/>
        </w:rPr>
        <w:t>: 122-155</w:t>
      </w:r>
      <w:r w:rsidRPr="008573C5">
        <w:rPr>
          <w:bCs/>
        </w:rPr>
        <w:t>); Naser and Nuseibeh(2003</w:t>
      </w:r>
      <w:r w:rsidR="004B0105" w:rsidRPr="008573C5">
        <w:rPr>
          <w:bCs/>
        </w:rPr>
        <w:t>:</w:t>
      </w:r>
      <w:r w:rsidR="00A22BC9" w:rsidRPr="008573C5">
        <w:rPr>
          <w:bCs/>
        </w:rPr>
        <w:t>41-65</w:t>
      </w:r>
      <w:r w:rsidRPr="008573C5">
        <w:rPr>
          <w:bCs/>
        </w:rPr>
        <w:t>); Akhtaruddin (2005</w:t>
      </w:r>
      <w:r w:rsidR="00A22BC9" w:rsidRPr="008573C5">
        <w:rPr>
          <w:bCs/>
        </w:rPr>
        <w:t>:399-422</w:t>
      </w:r>
      <w:r w:rsidRPr="008573C5">
        <w:rPr>
          <w:bCs/>
        </w:rPr>
        <w:t>) and Ofoegbu and Okoye (2006</w:t>
      </w:r>
      <w:r w:rsidR="00A22BC9" w:rsidRPr="008573C5">
        <w:rPr>
          <w:bCs/>
        </w:rPr>
        <w:t>:45-53</w:t>
      </w:r>
      <w:r w:rsidRPr="008573C5">
        <w:rPr>
          <w:bCs/>
        </w:rPr>
        <w:t xml:space="preserve">). Each of these studies </w:t>
      </w:r>
      <w:r w:rsidRPr="008573C5">
        <w:t xml:space="preserve">has been distinguished by differences in research setting, differences in definition of the explanatory variables, differences in disclosure index construction and differences in statistical analysis. </w:t>
      </w:r>
    </w:p>
    <w:p w:rsidR="00FF5EDF" w:rsidRPr="008573C5" w:rsidRDefault="00FF5EDF" w:rsidP="00EC282B">
      <w:pPr>
        <w:pStyle w:val="NormalWeb"/>
        <w:spacing w:line="360" w:lineRule="auto"/>
        <w:jc w:val="both"/>
      </w:pPr>
      <w:r w:rsidRPr="008573C5">
        <w:t>Res</w:t>
      </w:r>
      <w:r w:rsidR="00805A98" w:rsidRPr="008573C5">
        <w:t xml:space="preserve">earch setting varies </w:t>
      </w:r>
      <w:r w:rsidRPr="008573C5">
        <w:t>from developed to developing countries. Studies in developed countries include: United States (</w:t>
      </w:r>
      <w:r w:rsidRPr="008573C5">
        <w:rPr>
          <w:bCs/>
        </w:rPr>
        <w:t>Singhvi and Desai, 1971</w:t>
      </w:r>
      <w:r w:rsidR="00E06510" w:rsidRPr="008573C5">
        <w:t>: 129-138</w:t>
      </w:r>
      <w:r w:rsidRPr="008573C5">
        <w:rPr>
          <w:bCs/>
        </w:rPr>
        <w:t>; Buzby, 1975</w:t>
      </w:r>
      <w:r w:rsidR="00E06510" w:rsidRPr="008573C5">
        <w:t>:16-37</w:t>
      </w:r>
      <w:r w:rsidRPr="008573C5">
        <w:rPr>
          <w:bCs/>
        </w:rPr>
        <w:t>; Stanga, 1976</w:t>
      </w:r>
      <w:r w:rsidR="00E06510" w:rsidRPr="008573C5">
        <w:rPr>
          <w:bCs/>
        </w:rPr>
        <w:t>:42-52</w:t>
      </w:r>
      <w:r w:rsidRPr="008573C5">
        <w:rPr>
          <w:bCs/>
        </w:rPr>
        <w:t>, Street and Bryant, 2000</w:t>
      </w:r>
      <w:r w:rsidR="00514385" w:rsidRPr="008573C5">
        <w:rPr>
          <w:bCs/>
        </w:rPr>
        <w:t>:41-69</w:t>
      </w:r>
      <w:r w:rsidRPr="008573C5">
        <w:rPr>
          <w:bCs/>
        </w:rPr>
        <w:t>); New Zealand (</w:t>
      </w:r>
      <w:r w:rsidR="00367ADD" w:rsidRPr="008573C5">
        <w:rPr>
          <w:bCs/>
        </w:rPr>
        <w:t>Mc Nally et al</w:t>
      </w:r>
      <w:r w:rsidR="00763C3C" w:rsidRPr="008573C5">
        <w:rPr>
          <w:bCs/>
        </w:rPr>
        <w:t>.</w:t>
      </w:r>
      <w:r w:rsidR="00367ADD" w:rsidRPr="008573C5">
        <w:rPr>
          <w:bCs/>
        </w:rPr>
        <w:t>, 1982:11-20;</w:t>
      </w:r>
      <w:r w:rsidRPr="008573C5">
        <w:rPr>
          <w:bCs/>
        </w:rPr>
        <w:t xml:space="preserve"> Sweden (Cooke, 1989</w:t>
      </w:r>
      <w:r w:rsidR="00367ADD" w:rsidRPr="008573C5">
        <w:rPr>
          <w:bCs/>
        </w:rPr>
        <w:t>:113-124;</w:t>
      </w:r>
      <w:r w:rsidRPr="008573C5">
        <w:rPr>
          <w:bCs/>
        </w:rPr>
        <w:t xml:space="preserve">); </w:t>
      </w:r>
      <w:r w:rsidR="004C66EB" w:rsidRPr="008573C5">
        <w:rPr>
          <w:bCs/>
        </w:rPr>
        <w:t xml:space="preserve">Canada (Bujaki and McConomy,2002:105-139); </w:t>
      </w:r>
      <w:r w:rsidRPr="008573C5">
        <w:rPr>
          <w:bCs/>
        </w:rPr>
        <w:t>Spain (</w:t>
      </w:r>
      <w:r w:rsidR="00367ADD" w:rsidRPr="008573C5">
        <w:rPr>
          <w:bCs/>
        </w:rPr>
        <w:t>Wallace et al</w:t>
      </w:r>
      <w:r w:rsidR="00D01247" w:rsidRPr="008573C5">
        <w:rPr>
          <w:bCs/>
        </w:rPr>
        <w:t>.</w:t>
      </w:r>
      <w:r w:rsidR="00367ADD" w:rsidRPr="008573C5">
        <w:rPr>
          <w:bCs/>
        </w:rPr>
        <w:t>, 1994:41-53</w:t>
      </w:r>
      <w:r w:rsidRPr="008573C5">
        <w:rPr>
          <w:bCs/>
        </w:rPr>
        <w:t xml:space="preserve">); </w:t>
      </w:r>
      <w:r w:rsidR="00EB6FC0" w:rsidRPr="008573C5">
        <w:rPr>
          <w:bCs/>
        </w:rPr>
        <w:t xml:space="preserve">France (Depoers 2000: 245-263); </w:t>
      </w:r>
      <w:r w:rsidRPr="008573C5">
        <w:rPr>
          <w:bCs/>
        </w:rPr>
        <w:t>Ja</w:t>
      </w:r>
      <w:r w:rsidR="00514385" w:rsidRPr="008573C5">
        <w:rPr>
          <w:bCs/>
        </w:rPr>
        <w:t>pan (</w:t>
      </w:r>
      <w:r w:rsidRPr="008573C5">
        <w:rPr>
          <w:bCs/>
        </w:rPr>
        <w:t>Cooke, 1992</w:t>
      </w:r>
      <w:r w:rsidR="00514385" w:rsidRPr="008573C5">
        <w:rPr>
          <w:bCs/>
        </w:rPr>
        <w:t>:229-237);</w:t>
      </w:r>
      <w:r w:rsidR="00763C3C" w:rsidRPr="008573C5">
        <w:rPr>
          <w:bCs/>
        </w:rPr>
        <w:t xml:space="preserve"> Germany </w:t>
      </w:r>
      <w:r w:rsidRPr="008573C5">
        <w:rPr>
          <w:bCs/>
        </w:rPr>
        <w:t>(Glaum and Street, 2003</w:t>
      </w:r>
      <w:r w:rsidR="00514385" w:rsidRPr="008573C5">
        <w:rPr>
          <w:bCs/>
        </w:rPr>
        <w:t>:64-100)</w:t>
      </w:r>
      <w:r w:rsidRPr="008573C5">
        <w:rPr>
          <w:bCs/>
        </w:rPr>
        <w:t>; New Zealand (Owusu-Ansah and Yeao, 2005</w:t>
      </w:r>
      <w:r w:rsidR="00514385" w:rsidRPr="008573C5">
        <w:rPr>
          <w:bCs/>
        </w:rPr>
        <w:t>:92-109</w:t>
      </w:r>
      <w:r w:rsidRPr="008573C5">
        <w:rPr>
          <w:bCs/>
        </w:rPr>
        <w:t>); United Kingdim (Iatridis, 200</w:t>
      </w:r>
      <w:r w:rsidR="00324F78" w:rsidRPr="008573C5">
        <w:rPr>
          <w:bCs/>
        </w:rPr>
        <w:t>8</w:t>
      </w:r>
      <w:r w:rsidR="00514385" w:rsidRPr="008573C5">
        <w:rPr>
          <w:bCs/>
        </w:rPr>
        <w:t xml:space="preserve">: </w:t>
      </w:r>
      <w:r w:rsidR="00AD14B7" w:rsidRPr="008573C5">
        <w:rPr>
          <w:bCs/>
        </w:rPr>
        <w:t>2</w:t>
      </w:r>
      <w:r w:rsidR="00514385" w:rsidRPr="008573C5">
        <w:rPr>
          <w:bCs/>
        </w:rPr>
        <w:t>1</w:t>
      </w:r>
      <w:r w:rsidR="00AD14B7" w:rsidRPr="008573C5">
        <w:rPr>
          <w:bCs/>
        </w:rPr>
        <w:t>9</w:t>
      </w:r>
      <w:r w:rsidR="00514385" w:rsidRPr="008573C5">
        <w:rPr>
          <w:bCs/>
        </w:rPr>
        <w:t>-2</w:t>
      </w:r>
      <w:r w:rsidR="00AD14B7" w:rsidRPr="008573C5">
        <w:rPr>
          <w:bCs/>
        </w:rPr>
        <w:t>41</w:t>
      </w:r>
      <w:r w:rsidR="00DE5DFE" w:rsidRPr="008573C5">
        <w:rPr>
          <w:bCs/>
        </w:rPr>
        <w:t>; Camfferman and Cooke 2002:3-30</w:t>
      </w:r>
      <w:r w:rsidRPr="008573C5">
        <w:rPr>
          <w:bCs/>
        </w:rPr>
        <w:t>). While studies in developing countries include India</w:t>
      </w:r>
      <w:r w:rsidRPr="008573C5">
        <w:rPr>
          <w:rFonts w:ascii="Times" w:hAnsi="Times" w:cs="Times"/>
        </w:rPr>
        <w:t xml:space="preserve"> (Singhvi,1968</w:t>
      </w:r>
      <w:r w:rsidR="00E06510" w:rsidRPr="008573C5">
        <w:t>:551-552</w:t>
      </w:r>
      <w:r w:rsidR="00514385" w:rsidRPr="008573C5">
        <w:rPr>
          <w:rFonts w:ascii="Times" w:hAnsi="Times" w:cs="Times"/>
        </w:rPr>
        <w:t xml:space="preserve">; </w:t>
      </w:r>
      <w:r w:rsidRPr="008573C5">
        <w:rPr>
          <w:rFonts w:ascii="Times" w:hAnsi="Times" w:cs="Times"/>
        </w:rPr>
        <w:t>Ahmed, 2005</w:t>
      </w:r>
      <w:r w:rsidR="00E06510" w:rsidRPr="008573C5">
        <w:rPr>
          <w:rFonts w:ascii="Times" w:hAnsi="Times" w:cs="Times"/>
        </w:rPr>
        <w:t>:</w:t>
      </w:r>
      <w:r w:rsidR="00AD14B7" w:rsidRPr="008573C5">
        <w:rPr>
          <w:rFonts w:ascii="Times" w:hAnsi="Times" w:cs="Times"/>
        </w:rPr>
        <w:t>73</w:t>
      </w:r>
      <w:r w:rsidR="00E06510" w:rsidRPr="008573C5">
        <w:rPr>
          <w:rFonts w:ascii="Times" w:hAnsi="Times" w:cs="Times"/>
        </w:rPr>
        <w:t>-7</w:t>
      </w:r>
      <w:r w:rsidR="00AD14B7" w:rsidRPr="008573C5">
        <w:rPr>
          <w:rFonts w:ascii="Times" w:hAnsi="Times" w:cs="Times"/>
        </w:rPr>
        <w:t>9</w:t>
      </w:r>
      <w:r w:rsidRPr="008573C5">
        <w:rPr>
          <w:rFonts w:ascii="Times" w:hAnsi="Times" w:cs="Times"/>
        </w:rPr>
        <w:t>), Mexico</w:t>
      </w:r>
      <w:r w:rsidR="00E06510" w:rsidRPr="008573C5">
        <w:rPr>
          <w:rFonts w:ascii="Times" w:hAnsi="Times" w:cs="Times"/>
        </w:rPr>
        <w:t>(</w:t>
      </w:r>
      <w:r w:rsidRPr="008573C5">
        <w:rPr>
          <w:rFonts w:ascii="Times" w:hAnsi="Times" w:cs="Times"/>
        </w:rPr>
        <w:t xml:space="preserve"> </w:t>
      </w:r>
      <w:r w:rsidRPr="008573C5">
        <w:t>Chow and Wong-Boren</w:t>
      </w:r>
      <w:r w:rsidR="00E06510" w:rsidRPr="008573C5">
        <w:t>,</w:t>
      </w:r>
      <w:r w:rsidRPr="008573C5">
        <w:t>1987</w:t>
      </w:r>
      <w:r w:rsidR="00E06510" w:rsidRPr="008573C5">
        <w:rPr>
          <w:bCs/>
        </w:rPr>
        <w:t>:533-541</w:t>
      </w:r>
      <w:r w:rsidRPr="008573C5">
        <w:t>), Nigeria (Wallace, 1988</w:t>
      </w:r>
      <w:r w:rsidR="00E06510" w:rsidRPr="008573C5">
        <w:rPr>
          <w:bCs/>
        </w:rPr>
        <w:t>:352-362</w:t>
      </w:r>
      <w:r w:rsidRPr="008573C5">
        <w:t>; Ofoegbu and Okoye</w:t>
      </w:r>
      <w:r w:rsidR="00514385" w:rsidRPr="008573C5">
        <w:t>, 2006:45-53</w:t>
      </w:r>
      <w:r w:rsidRPr="008573C5">
        <w:t>); Zimbabwe (Owusu-Ansah,1998</w:t>
      </w:r>
      <w:r w:rsidR="00E06510" w:rsidRPr="008573C5">
        <w:rPr>
          <w:bCs/>
        </w:rPr>
        <w:t>:605-631</w:t>
      </w:r>
      <w:r w:rsidRPr="008573C5">
        <w:t>); Bahrain (Joshi and Ramadhan,2002</w:t>
      </w:r>
      <w:r w:rsidR="000E6CFD" w:rsidRPr="008573C5">
        <w:t>:429-440</w:t>
      </w:r>
      <w:r w:rsidR="00367ADD" w:rsidRPr="008573C5">
        <w:t>); Jordan</w:t>
      </w:r>
      <w:r w:rsidR="00763C3C" w:rsidRPr="008573C5">
        <w:t xml:space="preserve"> </w:t>
      </w:r>
      <w:r w:rsidRPr="008573C5">
        <w:t>(Naser</w:t>
      </w:r>
      <w:r w:rsidR="00367ADD" w:rsidRPr="008573C5">
        <w:t xml:space="preserve"> et al</w:t>
      </w:r>
      <w:r w:rsidR="00D01247" w:rsidRPr="008573C5">
        <w:t>.</w:t>
      </w:r>
      <w:r w:rsidRPr="008573C5">
        <w:t>, 2002</w:t>
      </w:r>
      <w:r w:rsidR="00367ADD" w:rsidRPr="008573C5">
        <w:t>:122-155</w:t>
      </w:r>
      <w:r w:rsidRPr="008573C5">
        <w:t>);</w:t>
      </w:r>
      <w:r w:rsidR="000E6CFD" w:rsidRPr="008573C5">
        <w:t xml:space="preserve"> Saudi (Naser and Nuseibeh, 2003:41-69</w:t>
      </w:r>
      <w:r w:rsidRPr="008573C5">
        <w:t xml:space="preserve">) </w:t>
      </w:r>
      <w:r w:rsidR="00487DC4" w:rsidRPr="008573C5">
        <w:t xml:space="preserve">Kenya (Barako, 2007:113-128) </w:t>
      </w:r>
      <w:r w:rsidRPr="008573C5">
        <w:t>and  Bangladesh (Akhtaruddin, 2005</w:t>
      </w:r>
      <w:r w:rsidR="000E6CFD" w:rsidRPr="008573C5">
        <w:rPr>
          <w:bCs/>
        </w:rPr>
        <w:t>:399-422</w:t>
      </w:r>
      <w:r w:rsidR="00C269EF" w:rsidRPr="008573C5">
        <w:rPr>
          <w:bCs/>
        </w:rPr>
        <w:t>;</w:t>
      </w:r>
      <w:r w:rsidR="00C269EF" w:rsidRPr="008573C5">
        <w:t xml:space="preserve"> Waresul Karim and Ahmed (2006:1</w:t>
      </w:r>
      <w:r w:rsidR="00763C3C" w:rsidRPr="008573C5">
        <w:t xml:space="preserve">). </w:t>
      </w:r>
      <w:r w:rsidR="00C81C0B" w:rsidRPr="008573C5">
        <w:t xml:space="preserve">Summary of these empirical evidences are contained in Table </w:t>
      </w:r>
      <w:r w:rsidR="00324F78" w:rsidRPr="008573C5">
        <w:t xml:space="preserve">2.01 </w:t>
      </w:r>
      <w:r w:rsidR="0074476A" w:rsidRPr="008573C5">
        <w:t xml:space="preserve">(pages </w:t>
      </w:r>
      <w:r w:rsidR="00312E4E" w:rsidRPr="008573C5">
        <w:t>5</w:t>
      </w:r>
      <w:r w:rsidR="00763C3C" w:rsidRPr="008573C5">
        <w:t>8 - 62</w:t>
      </w:r>
      <w:r w:rsidR="0074476A" w:rsidRPr="008573C5">
        <w:t>)</w:t>
      </w:r>
      <w:r w:rsidR="00C81C0B" w:rsidRPr="008573C5">
        <w:t>.</w:t>
      </w:r>
    </w:p>
    <w:p w:rsidR="00FF5EDF" w:rsidRPr="008573C5" w:rsidRDefault="00081FF6" w:rsidP="00FF5EDF">
      <w:pPr>
        <w:autoSpaceDE w:val="0"/>
        <w:autoSpaceDN w:val="0"/>
        <w:adjustRightInd w:val="0"/>
        <w:spacing w:line="360" w:lineRule="auto"/>
        <w:jc w:val="both"/>
      </w:pPr>
      <w:r w:rsidRPr="008573C5">
        <w:t>The researchers examine</w:t>
      </w:r>
      <w:r w:rsidR="00FF5EDF" w:rsidRPr="008573C5">
        <w:t xml:space="preserve"> corporate characteristics that </w:t>
      </w:r>
      <w:r w:rsidRPr="008573C5">
        <w:t>are</w:t>
      </w:r>
      <w:r w:rsidR="00FF5EDF" w:rsidRPr="008573C5">
        <w:t xml:space="preserve"> used as predictors of the quality of disclosure. This range</w:t>
      </w:r>
      <w:r w:rsidRPr="008573C5">
        <w:t>s</w:t>
      </w:r>
      <w:r w:rsidR="00FF5EDF" w:rsidRPr="008573C5">
        <w:t xml:space="preserve"> from two (Buzby, 1975:16) to eleven </w:t>
      </w:r>
      <w:r w:rsidR="00FF5EDF" w:rsidRPr="008573C5">
        <w:rPr>
          <w:bCs/>
        </w:rPr>
        <w:t>( Mc</w:t>
      </w:r>
      <w:r w:rsidR="000169F8" w:rsidRPr="008573C5">
        <w:rPr>
          <w:bCs/>
        </w:rPr>
        <w:t xml:space="preserve"> </w:t>
      </w:r>
      <w:r w:rsidR="00FF5EDF" w:rsidRPr="008573C5">
        <w:rPr>
          <w:bCs/>
        </w:rPr>
        <w:t>Nally et al , 1982)</w:t>
      </w:r>
      <w:r w:rsidR="00FF5EDF" w:rsidRPr="008573C5">
        <w:t xml:space="preserve">. The most popular characteristics are corporate size, profitability, liquidity, gearing, audit size, listing status, multinational parent, age, and ownership structure. Studies on financial reporting disclosure and corporate attributes are as shown in Table </w:t>
      </w:r>
      <w:r w:rsidR="00E44DEA" w:rsidRPr="008573C5">
        <w:t>2.01</w:t>
      </w:r>
      <w:r w:rsidR="00F628E4" w:rsidRPr="008573C5">
        <w:t xml:space="preserve"> (page</w:t>
      </w:r>
      <w:r w:rsidR="00C11F7D" w:rsidRPr="008573C5">
        <w:t>s</w:t>
      </w:r>
      <w:r w:rsidR="00F628E4" w:rsidRPr="008573C5">
        <w:t xml:space="preserve"> </w:t>
      </w:r>
      <w:r w:rsidR="00763C3C" w:rsidRPr="008573C5">
        <w:t>58</w:t>
      </w:r>
      <w:r w:rsidR="00312E4E" w:rsidRPr="008573C5">
        <w:t>-</w:t>
      </w:r>
      <w:r w:rsidR="00763C3C" w:rsidRPr="008573C5">
        <w:t>62</w:t>
      </w:r>
      <w:r w:rsidR="00F628E4" w:rsidRPr="008573C5">
        <w:t>)</w:t>
      </w:r>
      <w:r w:rsidR="00FF5EDF" w:rsidRPr="008573C5">
        <w:t>.</w:t>
      </w:r>
      <w:r w:rsidR="00F628E4" w:rsidRPr="008573C5">
        <w:t xml:space="preserve"> </w:t>
      </w:r>
      <w:r w:rsidR="00FF5EDF" w:rsidRPr="008573C5">
        <w:t>The quality of disclosure in corporate annual reports and accounts has been represented in the</w:t>
      </w:r>
      <w:r w:rsidR="00FF5EDF" w:rsidRPr="008573C5">
        <w:rPr>
          <w:sz w:val="20"/>
          <w:szCs w:val="20"/>
          <w:lang w:val="en-GB" w:eastAsia="en-GB"/>
        </w:rPr>
        <w:t xml:space="preserve"> </w:t>
      </w:r>
      <w:r w:rsidR="00FF5EDF" w:rsidRPr="008573C5">
        <w:t>literature by several constr</w:t>
      </w:r>
      <w:r w:rsidR="00A22BC9" w:rsidRPr="008573C5">
        <w:t>ucts: adequacy (Buzby, 1975:16</w:t>
      </w:r>
      <w:r w:rsidR="00FF5EDF" w:rsidRPr="008573C5">
        <w:t>, Owusu-Ansah,</w:t>
      </w:r>
      <w:r w:rsidR="00A22BC9" w:rsidRPr="008573C5">
        <w:t xml:space="preserve"> </w:t>
      </w:r>
      <w:r w:rsidR="00FF5EDF" w:rsidRPr="008573C5">
        <w:t>1998:609), comprehensi</w:t>
      </w:r>
      <w:r w:rsidR="000169F8" w:rsidRPr="008573C5">
        <w:t>veness (Wallace and Naser, 1995:</w:t>
      </w:r>
      <w:r w:rsidR="00A22BC9" w:rsidRPr="008573C5">
        <w:t>311</w:t>
      </w:r>
      <w:r w:rsidR="00FF5EDF" w:rsidRPr="008573C5">
        <w:t xml:space="preserve"> Barrett, 1976</w:t>
      </w:r>
      <w:r w:rsidR="000169F8" w:rsidRPr="008573C5">
        <w:t>: 12</w:t>
      </w:r>
      <w:r w:rsidR="00FF5EDF" w:rsidRPr="008573C5">
        <w:t>), informativeness (</w:t>
      </w:r>
      <w:r w:rsidR="00AD14B7" w:rsidRPr="008573C5">
        <w:t>Alford, Jones, Leftwich &amp; Zmijewski</w:t>
      </w:r>
      <w:r w:rsidR="00FF5EDF" w:rsidRPr="008573C5">
        <w:t>, 1993</w:t>
      </w:r>
      <w:r w:rsidR="00AC1492" w:rsidRPr="008573C5">
        <w:t>:183</w:t>
      </w:r>
      <w:r w:rsidR="00FF5EDF" w:rsidRPr="008573C5">
        <w:t>), and timeliness (Courtis, 1976</w:t>
      </w:r>
      <w:r w:rsidR="00AC1492" w:rsidRPr="008573C5">
        <w:t>:45</w:t>
      </w:r>
      <w:r w:rsidR="00FF5EDF" w:rsidRPr="008573C5">
        <w:t xml:space="preserve">). Each construct suggests that the quality of disclosure can be measured by an index representing the dependent variable. </w:t>
      </w:r>
    </w:p>
    <w:p w:rsidR="00FF5EDF" w:rsidRPr="008573C5" w:rsidRDefault="00FF5EDF" w:rsidP="00FF5EDF">
      <w:pPr>
        <w:autoSpaceDE w:val="0"/>
        <w:autoSpaceDN w:val="0"/>
        <w:adjustRightInd w:val="0"/>
        <w:spacing w:line="360" w:lineRule="auto"/>
        <w:jc w:val="both"/>
      </w:pPr>
    </w:p>
    <w:p w:rsidR="00FF5EDF" w:rsidRPr="008573C5" w:rsidRDefault="00FF5EDF" w:rsidP="00FF5EDF">
      <w:pPr>
        <w:autoSpaceDE w:val="0"/>
        <w:autoSpaceDN w:val="0"/>
        <w:adjustRightInd w:val="0"/>
        <w:spacing w:line="360" w:lineRule="auto"/>
        <w:jc w:val="both"/>
        <w:rPr>
          <w:sz w:val="20"/>
          <w:szCs w:val="20"/>
          <w:lang w:val="en-GB" w:eastAsia="en-GB"/>
        </w:rPr>
      </w:pPr>
      <w:r w:rsidRPr="008573C5">
        <w:t>Some studies use weighted disclosure indexes while some other</w:t>
      </w:r>
      <w:r w:rsidR="00081FF6" w:rsidRPr="008573C5">
        <w:t>s use</w:t>
      </w:r>
      <w:r w:rsidRPr="008573C5">
        <w:t xml:space="preserve"> unweighted disclosure indexes. Those that use indexes are of two strands, weighted (either subjectively by the researcher(s) alone or by the researcher(s) using weights elicited from surveys of users' perceptions), while some others </w:t>
      </w:r>
      <w:r w:rsidR="00081FF6" w:rsidRPr="008573C5">
        <w:t>a</w:t>
      </w:r>
      <w:r w:rsidRPr="008573C5">
        <w:t>re unweighted. All the studies, except for Imhoff (1992</w:t>
      </w:r>
      <w:r w:rsidR="00944592" w:rsidRPr="008573C5">
        <w:t>:97</w:t>
      </w:r>
      <w:r w:rsidRPr="008573C5">
        <w:t>) and Lang and Lundholm (1993</w:t>
      </w:r>
      <w:r w:rsidR="00212B3D" w:rsidRPr="008573C5">
        <w:t>:246</w:t>
      </w:r>
      <w:r w:rsidRPr="008573C5">
        <w:t xml:space="preserve">), use a researcher created dependent variable. Both Imhoff and Lang and Lundholm use disclosure indexes created by analysts. </w:t>
      </w:r>
      <w:r w:rsidR="00190288" w:rsidRPr="008573C5">
        <w:t xml:space="preserve">Chow and Wong-Boren, (1987: 536) </w:t>
      </w:r>
      <w:r w:rsidRPr="008573C5">
        <w:t>have provided some proof</w:t>
      </w:r>
      <w:r w:rsidR="00081FF6" w:rsidRPr="008573C5">
        <w:t>s</w:t>
      </w:r>
      <w:r w:rsidRPr="008573C5">
        <w:t xml:space="preserve"> that there may be no significant difference between weighted and unweighted disclosure indexes. In addition, weights </w:t>
      </w:r>
      <w:r w:rsidR="00081FF6" w:rsidRPr="008573C5">
        <w:t>neither</w:t>
      </w:r>
      <w:r w:rsidRPr="008573C5">
        <w:t xml:space="preserve"> affect real economic consequences </w:t>
      </w:r>
      <w:r w:rsidR="00081FF6" w:rsidRPr="008573C5">
        <w:t>on</w:t>
      </w:r>
      <w:r w:rsidRPr="008573C5">
        <w:t xml:space="preserve"> the subjects whose opinions </w:t>
      </w:r>
      <w:r w:rsidR="00081FF6" w:rsidRPr="008573C5">
        <w:t>are</w:t>
      </w:r>
      <w:r w:rsidRPr="008573C5">
        <w:t xml:space="preserve"> pooled (Chow and Wong-Boren, 1987</w:t>
      </w:r>
      <w:r w:rsidR="0014025F" w:rsidRPr="008573C5">
        <w:t>:</w:t>
      </w:r>
      <w:r w:rsidRPr="008573C5">
        <w:t xml:space="preserve"> 536) nor do they reflect stable perceptions on similar information. The information items forming the basis of the index of disclosure </w:t>
      </w:r>
      <w:r w:rsidR="00081FF6" w:rsidRPr="008573C5">
        <w:t>are</w:t>
      </w:r>
      <w:r w:rsidRPr="008573C5">
        <w:t xml:space="preserve"> either voluntary or mandatory disclosures. The mandatory disclosures </w:t>
      </w:r>
      <w:r w:rsidR="00081FF6" w:rsidRPr="008573C5">
        <w:t>are</w:t>
      </w:r>
      <w:r w:rsidRPr="008573C5">
        <w:t xml:space="preserve"> basically international standards. These items var</w:t>
      </w:r>
      <w:r w:rsidR="00081FF6" w:rsidRPr="008573C5">
        <w:t>y</w:t>
      </w:r>
      <w:r w:rsidRPr="008573C5">
        <w:t xml:space="preserve"> from a minimum of 24 (Chow and Wong-Boren, 1987</w:t>
      </w:r>
      <w:r w:rsidR="00255B29" w:rsidRPr="008573C5">
        <w:t>:535</w:t>
      </w:r>
      <w:r w:rsidRPr="008573C5">
        <w:t>) to a maximum of 2</w:t>
      </w:r>
      <w:r w:rsidR="00C6463C" w:rsidRPr="008573C5">
        <w:t>14</w:t>
      </w:r>
      <w:r w:rsidRPr="008573C5">
        <w:t xml:space="preserve"> </w:t>
      </w:r>
      <w:r w:rsidR="008F5B0A" w:rsidRPr="008573C5">
        <w:t>(</w:t>
      </w:r>
      <w:r w:rsidR="00C6463C" w:rsidRPr="008573C5">
        <w:t>Owusu Ansah, 1998: 609)</w:t>
      </w:r>
      <w:r w:rsidRPr="008573C5">
        <w:t xml:space="preserve">. Some of these disclosure indexes </w:t>
      </w:r>
      <w:r w:rsidR="00081FF6" w:rsidRPr="008573C5">
        <w:t>are</w:t>
      </w:r>
      <w:r w:rsidRPr="008573C5">
        <w:t xml:space="preserve"> items across subjects</w:t>
      </w:r>
      <w:r w:rsidR="00440981" w:rsidRPr="008573C5">
        <w:t xml:space="preserve"> (</w:t>
      </w:r>
      <w:r w:rsidR="00190288" w:rsidRPr="008573C5">
        <w:t xml:space="preserve"> Chow and Wong-Boren, (1987: 536)</w:t>
      </w:r>
      <w:r w:rsidRPr="008573C5">
        <w:t>, over time (Dhaliwal, 1980</w:t>
      </w:r>
      <w:r w:rsidR="00C16B94" w:rsidRPr="008573C5">
        <w:t>:385</w:t>
      </w:r>
      <w:r w:rsidRPr="008573C5">
        <w:t>) and from similar subjects across countries (Firer and Meth, 1986</w:t>
      </w:r>
      <w:r w:rsidR="00252564" w:rsidRPr="008573C5">
        <w:t>:</w:t>
      </w:r>
      <w:r w:rsidRPr="008573C5">
        <w:t>178).</w:t>
      </w:r>
    </w:p>
    <w:p w:rsidR="00FF5EDF" w:rsidRPr="008573C5" w:rsidRDefault="00FF5EDF" w:rsidP="00FF5EDF">
      <w:pPr>
        <w:autoSpaceDE w:val="0"/>
        <w:autoSpaceDN w:val="0"/>
        <w:adjustRightInd w:val="0"/>
        <w:spacing w:line="360" w:lineRule="auto"/>
        <w:jc w:val="both"/>
      </w:pPr>
    </w:p>
    <w:p w:rsidR="00FF5EDF" w:rsidRPr="008573C5" w:rsidRDefault="00FF5EDF" w:rsidP="00FF5EDF">
      <w:pPr>
        <w:autoSpaceDE w:val="0"/>
        <w:autoSpaceDN w:val="0"/>
        <w:adjustRightInd w:val="0"/>
        <w:spacing w:line="360" w:lineRule="auto"/>
        <w:jc w:val="both"/>
      </w:pPr>
      <w:r w:rsidRPr="008573C5">
        <w:t>While earlier studies use the matched-pair statistical procedures to test the difference between mean disclosure indexes of two or more groups of sample firms (e.g., Singhvi and Desai, 1971</w:t>
      </w:r>
      <w:r w:rsidR="00255B29" w:rsidRPr="008573C5">
        <w:t>:135</w:t>
      </w:r>
      <w:r w:rsidRPr="008573C5">
        <w:t>; Buzby, 1975</w:t>
      </w:r>
      <w:r w:rsidR="00255B29" w:rsidRPr="008573C5">
        <w:t>:26</w:t>
      </w:r>
      <w:r w:rsidRPr="008573C5">
        <w:t>),</w:t>
      </w:r>
      <w:r w:rsidR="00255B29" w:rsidRPr="008573C5">
        <w:t xml:space="preserve"> S</w:t>
      </w:r>
      <w:r w:rsidRPr="008573C5">
        <w:t>tudies</w:t>
      </w:r>
      <w:r w:rsidR="00255B29" w:rsidRPr="008573C5">
        <w:t xml:space="preserve"> from the 1980s</w:t>
      </w:r>
      <w:r w:rsidRPr="008573C5">
        <w:t>, beginning with Chow and Wong-Boren (1987</w:t>
      </w:r>
      <w:r w:rsidR="00255B29" w:rsidRPr="008573C5">
        <w:t>:535</w:t>
      </w:r>
      <w:r w:rsidRPr="008573C5">
        <w:t xml:space="preserve">), </w:t>
      </w:r>
      <w:r w:rsidR="00081FF6" w:rsidRPr="008573C5">
        <w:t>use</w:t>
      </w:r>
      <w:r w:rsidRPr="008573C5">
        <w:t xml:space="preserve"> the multiple regression procedure and the sophistication and rigour of analysis of the regression methodology are improving with time. For example, Cooke (1989</w:t>
      </w:r>
      <w:r w:rsidR="00255B29" w:rsidRPr="008573C5">
        <w:t>:113</w:t>
      </w:r>
      <w:r w:rsidRPr="008573C5">
        <w:t xml:space="preserve">) </w:t>
      </w:r>
      <w:r w:rsidR="00597C4F" w:rsidRPr="008573C5">
        <w:t xml:space="preserve">and Imhoff </w:t>
      </w:r>
      <w:r w:rsidRPr="008573C5">
        <w:t>(1992</w:t>
      </w:r>
      <w:r w:rsidR="00597C4F" w:rsidRPr="008573C5">
        <w:t>:97</w:t>
      </w:r>
      <w:r w:rsidRPr="008573C5">
        <w:t xml:space="preserve">) </w:t>
      </w:r>
      <w:r w:rsidR="00081FF6" w:rsidRPr="008573C5">
        <w:t>use</w:t>
      </w:r>
      <w:r w:rsidRPr="008573C5">
        <w:t xml:space="preserve"> different rigorous dummy variable manipulation procedures within a stepwise multiple (OLS) regression while Lang and Lundholm (1993</w:t>
      </w:r>
      <w:r w:rsidR="00212B3D" w:rsidRPr="008573C5">
        <w:t>:246</w:t>
      </w:r>
      <w:r w:rsidRPr="008573C5">
        <w:t>) introduce the use of rank (OLS) regression to cater for the monotonic behaviour of disclosure indexes following a change in some independent variables.</w:t>
      </w:r>
    </w:p>
    <w:p w:rsidR="00FF5EDF" w:rsidRPr="008573C5" w:rsidRDefault="00FF5EDF" w:rsidP="00FF5EDF">
      <w:pPr>
        <w:autoSpaceDE w:val="0"/>
        <w:autoSpaceDN w:val="0"/>
        <w:adjustRightInd w:val="0"/>
        <w:spacing w:line="360" w:lineRule="auto"/>
        <w:jc w:val="both"/>
      </w:pPr>
    </w:p>
    <w:p w:rsidR="00FF5EDF" w:rsidRPr="008573C5" w:rsidRDefault="00FF5EDF" w:rsidP="00FF5EDF">
      <w:pPr>
        <w:autoSpaceDE w:val="0"/>
        <w:autoSpaceDN w:val="0"/>
        <w:adjustRightInd w:val="0"/>
        <w:spacing w:line="360" w:lineRule="auto"/>
        <w:jc w:val="both"/>
      </w:pPr>
      <w:r w:rsidRPr="008573C5">
        <w:t xml:space="preserve">Overall, the findings regarding the compliance level of companies and the relationship between the level of disclosure and various corporate attributes </w:t>
      </w:r>
      <w:r w:rsidR="00081FF6" w:rsidRPr="008573C5">
        <w:t>are</w:t>
      </w:r>
      <w:r w:rsidRPr="008573C5">
        <w:t xml:space="preserve"> mixed. This section further reviews</w:t>
      </w:r>
      <w:r w:rsidR="00763C3C" w:rsidRPr="008573C5">
        <w:t xml:space="preserve"> studies</w:t>
      </w:r>
      <w:r w:rsidRPr="008573C5">
        <w:t xml:space="preserve"> </w:t>
      </w:r>
      <w:r w:rsidR="00763C3C" w:rsidRPr="008573C5">
        <w:t>in bot</w:t>
      </w:r>
      <w:r w:rsidR="00786C30" w:rsidRPr="008573C5">
        <w:t>h</w:t>
      </w:r>
      <w:r w:rsidR="00763C3C" w:rsidRPr="008573C5">
        <w:t xml:space="preserve"> </w:t>
      </w:r>
      <w:r w:rsidRPr="008573C5">
        <w:t xml:space="preserve"> developed and developing countries. </w:t>
      </w:r>
    </w:p>
    <w:p w:rsidR="00FF5EDF" w:rsidRPr="008573C5" w:rsidRDefault="00FF5EDF" w:rsidP="00FF5EDF">
      <w:pPr>
        <w:autoSpaceDE w:val="0"/>
        <w:autoSpaceDN w:val="0"/>
        <w:adjustRightInd w:val="0"/>
        <w:spacing w:line="360" w:lineRule="auto"/>
        <w:jc w:val="both"/>
      </w:pPr>
    </w:p>
    <w:p w:rsidR="00FF5EDF" w:rsidRPr="008573C5" w:rsidRDefault="00CE2EA1" w:rsidP="00FF5EDF">
      <w:pPr>
        <w:autoSpaceDE w:val="0"/>
        <w:autoSpaceDN w:val="0"/>
        <w:adjustRightInd w:val="0"/>
        <w:spacing w:line="360" w:lineRule="auto"/>
        <w:jc w:val="both"/>
        <w:rPr>
          <w:sz w:val="28"/>
          <w:szCs w:val="28"/>
        </w:rPr>
      </w:pPr>
      <w:r w:rsidRPr="008573C5">
        <w:rPr>
          <w:b/>
          <w:sz w:val="28"/>
          <w:szCs w:val="28"/>
        </w:rPr>
        <w:t>2.</w:t>
      </w:r>
      <w:r w:rsidR="0005589B" w:rsidRPr="008573C5">
        <w:rPr>
          <w:b/>
          <w:sz w:val="28"/>
          <w:szCs w:val="28"/>
        </w:rPr>
        <w:t>2</w:t>
      </w:r>
      <w:r w:rsidRPr="008573C5">
        <w:rPr>
          <w:b/>
          <w:sz w:val="28"/>
          <w:szCs w:val="28"/>
        </w:rPr>
        <w:t>.1</w:t>
      </w:r>
      <w:r w:rsidRPr="008573C5">
        <w:rPr>
          <w:b/>
          <w:sz w:val="28"/>
          <w:szCs w:val="28"/>
        </w:rPr>
        <w:tab/>
      </w:r>
      <w:r w:rsidR="00473DCC" w:rsidRPr="008573C5">
        <w:rPr>
          <w:b/>
          <w:sz w:val="28"/>
          <w:szCs w:val="28"/>
        </w:rPr>
        <w:t xml:space="preserve">Previous Studies </w:t>
      </w:r>
      <w:r w:rsidR="00FF5EDF" w:rsidRPr="008573C5">
        <w:rPr>
          <w:b/>
          <w:sz w:val="28"/>
          <w:szCs w:val="28"/>
        </w:rPr>
        <w:t>in Developed Countries</w:t>
      </w:r>
      <w:r w:rsidR="00FF5EDF" w:rsidRPr="008573C5">
        <w:rPr>
          <w:vanish/>
          <w:sz w:val="28"/>
          <w:szCs w:val="28"/>
        </w:rPr>
        <w:t xml:space="preserve">ose that use indexes are of two strans, resercher e ome other used unweighted disclosure indexes. </w:t>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r w:rsidR="00FF5EDF" w:rsidRPr="008573C5">
        <w:rPr>
          <w:vanish/>
          <w:sz w:val="28"/>
          <w:szCs w:val="28"/>
        </w:rPr>
        <w:pgNum/>
      </w:r>
    </w:p>
    <w:p w:rsidR="00FF5EDF" w:rsidRPr="008573C5" w:rsidRDefault="003313F2" w:rsidP="00FF5EDF">
      <w:pPr>
        <w:autoSpaceDE w:val="0"/>
        <w:autoSpaceDN w:val="0"/>
        <w:adjustRightInd w:val="0"/>
        <w:spacing w:line="360" w:lineRule="auto"/>
        <w:jc w:val="both"/>
      </w:pPr>
      <w:r w:rsidRPr="008573C5">
        <w:t>Cerf (as cited in Fremgen (1964:467)</w:t>
      </w:r>
      <w:r w:rsidR="00FF5EDF" w:rsidRPr="008573C5">
        <w:t xml:space="preserve"> pioneer</w:t>
      </w:r>
      <w:r w:rsidR="00081FF6" w:rsidRPr="008573C5">
        <w:t xml:space="preserve">s </w:t>
      </w:r>
      <w:r w:rsidR="00FF5EDF" w:rsidRPr="008573C5">
        <w:t xml:space="preserve">the study on the relationship between extent of corporate disclosure and company attributes. He utilizes a random sample of 527 listed and unlisted corporate organizations for evidence of compliance with certain minimal standards of disclosure. Cerf considers twelve explanatory variables for possible correlation with superiority of disclosure. The independent variables include profitability, asset size, method of trading shares, stock ownership, industry, frequency of external financing, stability of growth in earnings and dividends, product, degree of competition, association with CPA firms and management characteristics. Only the first four of these variables </w:t>
      </w:r>
      <w:r w:rsidR="00081FF6" w:rsidRPr="008573C5">
        <w:t>are</w:t>
      </w:r>
      <w:r w:rsidR="00FF5EDF" w:rsidRPr="008573C5">
        <w:t xml:space="preserve"> tested. Superiority of disclosure </w:t>
      </w:r>
      <w:r w:rsidR="00081FF6" w:rsidRPr="008573C5">
        <w:t>i</w:t>
      </w:r>
      <w:r w:rsidR="00FF5EDF" w:rsidRPr="008573C5">
        <w:t>s measured by</w:t>
      </w:r>
      <w:r w:rsidR="00081FF6" w:rsidRPr="008573C5">
        <w:t xml:space="preserve"> an index of disclosure. This i</w:t>
      </w:r>
      <w:r w:rsidR="00FF5EDF" w:rsidRPr="008573C5">
        <w:t>s constructed based on thirty one information items each weighted by importance. A percentage score is given to each company by dividing the number of points achieved by the total points possible for all items applicable to the company.</w:t>
      </w:r>
    </w:p>
    <w:p w:rsidR="00FF5EDF" w:rsidRPr="008573C5" w:rsidRDefault="00FF5EDF" w:rsidP="00FF5EDF">
      <w:pPr>
        <w:autoSpaceDE w:val="0"/>
        <w:autoSpaceDN w:val="0"/>
        <w:adjustRightInd w:val="0"/>
        <w:spacing w:line="360" w:lineRule="auto"/>
        <w:jc w:val="both"/>
      </w:pPr>
    </w:p>
    <w:p w:rsidR="00FF5EDF" w:rsidRPr="008573C5" w:rsidRDefault="00D01247" w:rsidP="00FF5EDF">
      <w:pPr>
        <w:autoSpaceDE w:val="0"/>
        <w:autoSpaceDN w:val="0"/>
        <w:adjustRightInd w:val="0"/>
        <w:spacing w:line="360" w:lineRule="auto"/>
        <w:jc w:val="both"/>
      </w:pPr>
      <w:r w:rsidRPr="008573C5">
        <w:t>Cerf</w:t>
      </w:r>
      <w:r w:rsidR="00805A98" w:rsidRPr="008573C5">
        <w:t xml:space="preserve"> f</w:t>
      </w:r>
      <w:r w:rsidR="00081FF6" w:rsidRPr="008573C5">
        <w:t>inds</w:t>
      </w:r>
      <w:r w:rsidR="00805A98" w:rsidRPr="008573C5">
        <w:t xml:space="preserve"> that there </w:t>
      </w:r>
      <w:r w:rsidR="00FC7F84" w:rsidRPr="008573C5">
        <w:t>is</w:t>
      </w:r>
      <w:r w:rsidR="007560B7" w:rsidRPr="008573C5">
        <w:t xml:space="preserve"> </w:t>
      </w:r>
      <w:r w:rsidR="00FF5EDF" w:rsidRPr="008573C5">
        <w:t>a positive relation between disclosure and asset size, profitability, and shareholder number. As for methods of trading shares he f</w:t>
      </w:r>
      <w:r w:rsidR="00081FF6" w:rsidRPr="008573C5">
        <w:t>inds</w:t>
      </w:r>
      <w:r w:rsidR="00FF5EDF" w:rsidRPr="008573C5">
        <w:t xml:space="preserve"> that New </w:t>
      </w:r>
      <w:r w:rsidR="00081FF6" w:rsidRPr="008573C5">
        <w:t>York Stock exchange companies a</w:t>
      </w:r>
      <w:r w:rsidR="00FF5EDF" w:rsidRPr="008573C5">
        <w:t>re significantly superior to others, while for reporti</w:t>
      </w:r>
      <w:r w:rsidR="00081FF6" w:rsidRPr="008573C5">
        <w:t>ng, no significant difference i</w:t>
      </w:r>
      <w:r w:rsidR="00FF5EDF" w:rsidRPr="008573C5">
        <w:t>s seen. He also discover</w:t>
      </w:r>
      <w:r w:rsidR="00081FF6" w:rsidRPr="008573C5">
        <w:t>s that there i</w:t>
      </w:r>
      <w:r w:rsidR="00FF5EDF" w:rsidRPr="008573C5">
        <w:t xml:space="preserve">s lack of disclosure of some techniques such as depreciation, inventories, recognition of income on long term contracts and income tax allocation. Evidence also shows that specific items required by shareholders </w:t>
      </w:r>
      <w:r w:rsidR="00414CBE" w:rsidRPr="008573C5">
        <w:t>a</w:t>
      </w:r>
      <w:r w:rsidR="00FF5EDF" w:rsidRPr="008573C5">
        <w:t>re not adequately disclosed</w:t>
      </w:r>
      <w:r w:rsidR="00414CBE" w:rsidRPr="008573C5">
        <w:t>. A</w:t>
      </w:r>
      <w:r w:rsidR="00FF5EDF" w:rsidRPr="008573C5">
        <w:t xml:space="preserve">mong them are sales breakdown, research and development (current and </w:t>
      </w:r>
      <w:r w:rsidR="00FC7F84" w:rsidRPr="008573C5">
        <w:t>planned), capital expenditure (</w:t>
      </w:r>
      <w:r w:rsidR="00FF5EDF" w:rsidRPr="008573C5">
        <w:t xml:space="preserve">current and planned), and information on management and their policies. Cerf’s </w:t>
      </w:r>
      <w:r w:rsidR="003313F2" w:rsidRPr="008573C5">
        <w:t xml:space="preserve">( as cited in Ray 1962:595) </w:t>
      </w:r>
      <w:r w:rsidR="00A14C7D" w:rsidRPr="008573C5">
        <w:t>study i</w:t>
      </w:r>
      <w:r w:rsidR="00FF5EDF" w:rsidRPr="008573C5">
        <w:t>s seen as very  interesting but failed to test significance in statistical terms</w:t>
      </w:r>
      <w:r w:rsidR="00A14C7D" w:rsidRPr="008573C5">
        <w:t>. T</w:t>
      </w:r>
      <w:r w:rsidR="00FF5EDF" w:rsidRPr="008573C5">
        <w:t>he study d</w:t>
      </w:r>
      <w:r w:rsidR="00A14C7D" w:rsidRPr="008573C5">
        <w:t>oes</w:t>
      </w:r>
      <w:r w:rsidR="00FF5EDF" w:rsidRPr="008573C5">
        <w:t xml:space="preserve"> not consider some corporations such as foreign corporations, banks, finance houses, insurance companies, real </w:t>
      </w:r>
      <w:r w:rsidR="0026312E" w:rsidRPr="008573C5">
        <w:t>e</w:t>
      </w:r>
      <w:r w:rsidR="00FF5EDF" w:rsidRPr="008573C5">
        <w:t xml:space="preserve">state companies, public utilities and investment companies. </w:t>
      </w:r>
    </w:p>
    <w:p w:rsidR="00FF5EDF" w:rsidRPr="008573C5" w:rsidRDefault="00FF5EDF" w:rsidP="00FF5EDF">
      <w:pPr>
        <w:autoSpaceDE w:val="0"/>
        <w:autoSpaceDN w:val="0"/>
        <w:adjustRightInd w:val="0"/>
        <w:spacing w:line="360" w:lineRule="auto"/>
        <w:jc w:val="both"/>
        <w:rPr>
          <w:rFonts w:ascii="Times" w:hAnsi="Times" w:cs="Times"/>
        </w:rPr>
      </w:pPr>
    </w:p>
    <w:p w:rsidR="00FF5EDF" w:rsidRPr="008573C5" w:rsidRDefault="00FF5EDF" w:rsidP="00FF5EDF">
      <w:pPr>
        <w:spacing w:line="360" w:lineRule="auto"/>
        <w:jc w:val="both"/>
        <w:rPr>
          <w:rFonts w:ascii="Times" w:hAnsi="Times" w:cs="Times"/>
        </w:rPr>
      </w:pPr>
      <w:r w:rsidRPr="008573C5">
        <w:rPr>
          <w:rFonts w:ascii="Times" w:hAnsi="Times" w:cs="Times"/>
        </w:rPr>
        <w:t>Singhvi and Desai</w:t>
      </w:r>
      <w:r w:rsidR="004B5B5F" w:rsidRPr="008573C5">
        <w:rPr>
          <w:rFonts w:ascii="Times" w:hAnsi="Times" w:cs="Times"/>
        </w:rPr>
        <w:t xml:space="preserve"> </w:t>
      </w:r>
      <w:r w:rsidRPr="008573C5">
        <w:rPr>
          <w:rFonts w:ascii="Times" w:hAnsi="Times" w:cs="Times"/>
        </w:rPr>
        <w:t>(1971</w:t>
      </w:r>
      <w:r w:rsidR="00C72042" w:rsidRPr="008573C5">
        <w:rPr>
          <w:rFonts w:ascii="Times" w:hAnsi="Times" w:cs="Times"/>
        </w:rPr>
        <w:t>:131</w:t>
      </w:r>
      <w:r w:rsidRPr="008573C5">
        <w:rPr>
          <w:rFonts w:ascii="Times" w:hAnsi="Times" w:cs="Times"/>
        </w:rPr>
        <w:t>) acknowledge Cerf’s work</w:t>
      </w:r>
      <w:r w:rsidR="00A14C7D" w:rsidRPr="008573C5">
        <w:rPr>
          <w:rFonts w:ascii="Times" w:hAnsi="Times" w:cs="Times"/>
        </w:rPr>
        <w:t xml:space="preserve"> as very fascinating since it i</w:t>
      </w:r>
      <w:r w:rsidRPr="008573C5">
        <w:rPr>
          <w:rFonts w:ascii="Times" w:hAnsi="Times" w:cs="Times"/>
        </w:rPr>
        <w:t xml:space="preserve">s the first of its kind to show interdependence between </w:t>
      </w:r>
      <w:r w:rsidR="007F671A" w:rsidRPr="008573C5">
        <w:rPr>
          <w:rFonts w:ascii="Times" w:hAnsi="Times" w:cs="Times"/>
        </w:rPr>
        <w:t>companies</w:t>
      </w:r>
      <w:r w:rsidR="00A14C7D" w:rsidRPr="008573C5">
        <w:rPr>
          <w:rFonts w:ascii="Times" w:hAnsi="Times" w:cs="Times"/>
        </w:rPr>
        <w:t xml:space="preserve"> attributes. Their study i</w:t>
      </w:r>
      <w:r w:rsidRPr="008573C5">
        <w:rPr>
          <w:rFonts w:ascii="Times" w:hAnsi="Times" w:cs="Times"/>
        </w:rPr>
        <w:t xml:space="preserve">s to improve on Cerf’s work by examining additional variables such as earnings margin and influence of audit firms which was previously neglected by Cerf and also to test the </w:t>
      </w:r>
      <w:r w:rsidR="0026312E" w:rsidRPr="008573C5">
        <w:rPr>
          <w:rFonts w:ascii="Times" w:hAnsi="Times" w:cs="Times"/>
        </w:rPr>
        <w:t xml:space="preserve">statistical </w:t>
      </w:r>
      <w:r w:rsidRPr="008573C5">
        <w:rPr>
          <w:rFonts w:ascii="Times" w:hAnsi="Times" w:cs="Times"/>
        </w:rPr>
        <w:t>significance of the relationship between variables. They evaluate the quality of information for fiscal year April 1, 1965 to March 31</w:t>
      </w:r>
      <w:r w:rsidR="007F671A" w:rsidRPr="008573C5">
        <w:rPr>
          <w:rFonts w:ascii="Times" w:hAnsi="Times" w:cs="Times"/>
        </w:rPr>
        <w:t>,</w:t>
      </w:r>
      <w:r w:rsidRPr="008573C5">
        <w:rPr>
          <w:rFonts w:ascii="Times" w:hAnsi="Times" w:cs="Times"/>
        </w:rPr>
        <w:t xml:space="preserve"> 1966. Their sampling involves 100 listed and 55 unlisted corporations in the U.S using weighted index of disclosure method with 34 items similar to Cerf’s. Weights are assigned to the information items based on their relative importance as indicated by committee members on corporate disclosure and security analysts. </w:t>
      </w:r>
      <w:r w:rsidR="00873906" w:rsidRPr="008573C5">
        <w:rPr>
          <w:rFonts w:ascii="Times" w:hAnsi="Times" w:cs="Times"/>
        </w:rPr>
        <w:t xml:space="preserve">They </w:t>
      </w:r>
      <w:r w:rsidR="00A14C7D" w:rsidRPr="008573C5">
        <w:rPr>
          <w:rFonts w:ascii="Times" w:hAnsi="Times" w:cs="Times"/>
        </w:rPr>
        <w:t>propose that there i</w:t>
      </w:r>
      <w:r w:rsidRPr="008573C5">
        <w:rPr>
          <w:rFonts w:ascii="Times" w:hAnsi="Times" w:cs="Times"/>
        </w:rPr>
        <w:t xml:space="preserve">s a conceptual relationship between the index of disclosure (I) and the </w:t>
      </w:r>
      <w:r w:rsidR="0026312E" w:rsidRPr="008573C5">
        <w:rPr>
          <w:rFonts w:ascii="Times" w:hAnsi="Times" w:cs="Times"/>
        </w:rPr>
        <w:t xml:space="preserve">specified </w:t>
      </w:r>
      <w:r w:rsidRPr="008573C5">
        <w:rPr>
          <w:rFonts w:ascii="Times" w:hAnsi="Times" w:cs="Times"/>
        </w:rPr>
        <w:t>explanatory variables</w:t>
      </w:r>
      <w:r w:rsidR="0026312E" w:rsidRPr="008573C5">
        <w:rPr>
          <w:rFonts w:ascii="Times" w:hAnsi="Times" w:cs="Times"/>
        </w:rPr>
        <w:t>, which</w:t>
      </w:r>
      <w:r w:rsidRPr="008573C5">
        <w:rPr>
          <w:rFonts w:ascii="Times" w:hAnsi="Times" w:cs="Times"/>
        </w:rPr>
        <w:t xml:space="preserve"> are asset size</w:t>
      </w:r>
      <w:r w:rsidR="007F671A" w:rsidRPr="008573C5">
        <w:rPr>
          <w:rFonts w:ascii="Times" w:hAnsi="Times" w:cs="Times"/>
        </w:rPr>
        <w:t xml:space="preserve"> </w:t>
      </w:r>
      <w:r w:rsidRPr="008573C5">
        <w:rPr>
          <w:rFonts w:ascii="Times" w:hAnsi="Times" w:cs="Times"/>
        </w:rPr>
        <w:t>(A), number of shareholders</w:t>
      </w:r>
      <w:r w:rsidR="007F671A" w:rsidRPr="008573C5">
        <w:rPr>
          <w:rFonts w:ascii="Times" w:hAnsi="Times" w:cs="Times"/>
        </w:rPr>
        <w:t xml:space="preserve"> </w:t>
      </w:r>
      <w:r w:rsidRPr="008573C5">
        <w:rPr>
          <w:rFonts w:ascii="Times" w:hAnsi="Times" w:cs="Times"/>
        </w:rPr>
        <w:t xml:space="preserve">(N), listing status (L), </w:t>
      </w:r>
      <w:r w:rsidR="004B5B5F" w:rsidRPr="008573C5">
        <w:rPr>
          <w:rFonts w:ascii="Times" w:hAnsi="Times" w:cs="Times"/>
        </w:rPr>
        <w:t>CPA firms (C), rate of return (</w:t>
      </w:r>
      <w:r w:rsidRPr="008573C5">
        <w:rPr>
          <w:rFonts w:ascii="Times" w:hAnsi="Times" w:cs="Times"/>
        </w:rPr>
        <w:t xml:space="preserve">R)  and earning margin (E), modeled as : I = f(A,N,L,C,R,E). Using a multivariate linear regression, </w:t>
      </w:r>
      <w:r w:rsidR="00873906" w:rsidRPr="008573C5">
        <w:rPr>
          <w:rFonts w:ascii="Times" w:hAnsi="Times" w:cs="Times"/>
        </w:rPr>
        <w:t>the</w:t>
      </w:r>
      <w:r w:rsidRPr="008573C5">
        <w:rPr>
          <w:rFonts w:ascii="Times" w:hAnsi="Times" w:cs="Times"/>
        </w:rPr>
        <w:t xml:space="preserve"> estimate was I = 30.90 + 0.70A + 0.0060N + 8.10L + 2.21C -0.03R +0.25E. The coeffi</w:t>
      </w:r>
      <w:r w:rsidR="00C6064A" w:rsidRPr="008573C5">
        <w:rPr>
          <w:rFonts w:ascii="Times" w:hAnsi="Times" w:cs="Times"/>
        </w:rPr>
        <w:t>cient of multiple determination,</w:t>
      </w:r>
      <w:r w:rsidRPr="008573C5">
        <w:rPr>
          <w:rFonts w:ascii="Times" w:hAnsi="Times" w:cs="Times"/>
        </w:rPr>
        <w:t xml:space="preserve"> R</w:t>
      </w:r>
      <w:r w:rsidRPr="008573C5">
        <w:rPr>
          <w:rFonts w:ascii="Times" w:hAnsi="Times" w:cs="Times"/>
          <w:vertAlign w:val="superscript"/>
        </w:rPr>
        <w:t xml:space="preserve">2 </w:t>
      </w:r>
      <w:r w:rsidR="00A14C7D" w:rsidRPr="008573C5">
        <w:rPr>
          <w:rFonts w:ascii="Times" w:hAnsi="Times" w:cs="Times"/>
        </w:rPr>
        <w:t>i</w:t>
      </w:r>
      <w:r w:rsidRPr="008573C5">
        <w:rPr>
          <w:rFonts w:ascii="Times" w:hAnsi="Times" w:cs="Times"/>
        </w:rPr>
        <w:t>s 0.43442 which signifies that 43.4% variation in the quality of disclosure can be explained by the v</w:t>
      </w:r>
      <w:r w:rsidR="00A14C7D" w:rsidRPr="008573C5">
        <w:rPr>
          <w:rFonts w:ascii="Times" w:hAnsi="Times" w:cs="Times"/>
        </w:rPr>
        <w:t>ariables. When listing status i</w:t>
      </w:r>
      <w:r w:rsidRPr="008573C5">
        <w:rPr>
          <w:rFonts w:ascii="Times" w:hAnsi="Times" w:cs="Times"/>
        </w:rPr>
        <w:t xml:space="preserve">s </w:t>
      </w:r>
      <w:r w:rsidR="00A14C7D" w:rsidRPr="008573C5">
        <w:rPr>
          <w:rFonts w:ascii="Times" w:hAnsi="Times" w:cs="Times"/>
        </w:rPr>
        <w:t>taken alone it i</w:t>
      </w:r>
      <w:r w:rsidRPr="008573C5">
        <w:rPr>
          <w:rFonts w:ascii="Times" w:hAnsi="Times" w:cs="Times"/>
        </w:rPr>
        <w:t>s seen that it explain</w:t>
      </w:r>
      <w:r w:rsidR="00A14C7D" w:rsidRPr="008573C5">
        <w:rPr>
          <w:rFonts w:ascii="Times" w:hAnsi="Times" w:cs="Times"/>
        </w:rPr>
        <w:t>s</w:t>
      </w:r>
      <w:r w:rsidRPr="008573C5">
        <w:rPr>
          <w:rFonts w:ascii="Times" w:hAnsi="Times" w:cs="Times"/>
        </w:rPr>
        <w:t xml:space="preserve"> 38.13% variation of the quality of disclosure. Their result reveals that listing status is the primary explanatory </w:t>
      </w:r>
      <w:r w:rsidR="0026312E" w:rsidRPr="008573C5">
        <w:rPr>
          <w:rFonts w:ascii="Times" w:hAnsi="Times" w:cs="Times"/>
        </w:rPr>
        <w:t>variable</w:t>
      </w:r>
      <w:r w:rsidRPr="008573C5">
        <w:rPr>
          <w:rFonts w:ascii="Times" w:hAnsi="Times" w:cs="Times"/>
        </w:rPr>
        <w:t>. This is in variance to Cerfs’ which portray</w:t>
      </w:r>
      <w:r w:rsidR="00A14C7D" w:rsidRPr="008573C5">
        <w:rPr>
          <w:rFonts w:ascii="Times" w:hAnsi="Times" w:cs="Times"/>
        </w:rPr>
        <w:t>s</w:t>
      </w:r>
      <w:r w:rsidRPr="008573C5">
        <w:rPr>
          <w:rFonts w:ascii="Times" w:hAnsi="Times" w:cs="Times"/>
        </w:rPr>
        <w:t xml:space="preserve"> asset size rather than listing status </w:t>
      </w:r>
      <w:r w:rsidR="00A14C7D" w:rsidRPr="008573C5">
        <w:rPr>
          <w:rFonts w:ascii="Times" w:hAnsi="Times" w:cs="Times"/>
        </w:rPr>
        <w:t>i</w:t>
      </w:r>
      <w:r w:rsidRPr="008573C5">
        <w:rPr>
          <w:rFonts w:ascii="Times" w:hAnsi="Times" w:cs="Times"/>
        </w:rPr>
        <w:t>s the key explanatory variable. Singhvi and Desai</w:t>
      </w:r>
      <w:r w:rsidR="00312E4E" w:rsidRPr="008573C5">
        <w:rPr>
          <w:rFonts w:ascii="Times" w:hAnsi="Times" w:cs="Times"/>
        </w:rPr>
        <w:t xml:space="preserve"> </w:t>
      </w:r>
      <w:r w:rsidR="00A14C7D" w:rsidRPr="008573C5">
        <w:rPr>
          <w:rFonts w:ascii="Times" w:hAnsi="Times" w:cs="Times"/>
        </w:rPr>
        <w:t>(1971:137) conclude</w:t>
      </w:r>
      <w:r w:rsidRPr="008573C5">
        <w:rPr>
          <w:rFonts w:ascii="Times" w:hAnsi="Times" w:cs="Times"/>
        </w:rPr>
        <w:t xml:space="preserve"> that corporations that disclose inadequate information are likely to be small in size, free from listing requirement, audited by small CPA firms and less profitable. </w:t>
      </w:r>
    </w:p>
    <w:p w:rsidR="00FF5EDF" w:rsidRPr="008573C5" w:rsidRDefault="00FF5EDF" w:rsidP="00FF5EDF">
      <w:pPr>
        <w:spacing w:line="360" w:lineRule="auto"/>
        <w:jc w:val="both"/>
        <w:rPr>
          <w:rFonts w:ascii="Times" w:hAnsi="Times" w:cs="Times"/>
        </w:rPr>
      </w:pPr>
    </w:p>
    <w:p w:rsidR="00FF5EDF" w:rsidRPr="008573C5" w:rsidRDefault="00FF5EDF" w:rsidP="00FF5EDF">
      <w:pPr>
        <w:spacing w:line="360" w:lineRule="auto"/>
        <w:jc w:val="both"/>
        <w:rPr>
          <w:rFonts w:ascii="Times" w:hAnsi="Times" w:cs="Times"/>
        </w:rPr>
      </w:pPr>
      <w:r w:rsidRPr="008573C5">
        <w:rPr>
          <w:rFonts w:ascii="Times" w:hAnsi="Times" w:cs="Times"/>
        </w:rPr>
        <w:t xml:space="preserve">Based on the conflicting results of </w:t>
      </w:r>
      <w:r w:rsidR="003313F2" w:rsidRPr="008573C5">
        <w:rPr>
          <w:rFonts w:ascii="Times" w:hAnsi="Times" w:cs="Times"/>
        </w:rPr>
        <w:t>Cerf</w:t>
      </w:r>
      <w:r w:rsidRPr="008573C5">
        <w:rPr>
          <w:rFonts w:ascii="Times" w:hAnsi="Times" w:cs="Times"/>
        </w:rPr>
        <w:t xml:space="preserve"> and </w:t>
      </w:r>
      <w:r w:rsidR="003313F2" w:rsidRPr="008573C5">
        <w:rPr>
          <w:rFonts w:ascii="Times" w:hAnsi="Times" w:cs="Times"/>
        </w:rPr>
        <w:t>Singhvi and Desai</w:t>
      </w:r>
      <w:r w:rsidRPr="008573C5">
        <w:rPr>
          <w:rFonts w:ascii="Times" w:hAnsi="Times" w:cs="Times"/>
        </w:rPr>
        <w:t xml:space="preserve"> as narrated above, Buzby (1975</w:t>
      </w:r>
      <w:r w:rsidR="002D798E" w:rsidRPr="008573C5">
        <w:rPr>
          <w:rFonts w:ascii="Times" w:hAnsi="Times" w:cs="Times"/>
        </w:rPr>
        <w:t>:20</w:t>
      </w:r>
      <w:r w:rsidRPr="008573C5">
        <w:rPr>
          <w:rFonts w:ascii="Times" w:hAnsi="Times" w:cs="Times"/>
        </w:rPr>
        <w:t>) de</w:t>
      </w:r>
      <w:r w:rsidR="00A14C7D" w:rsidRPr="008573C5">
        <w:rPr>
          <w:rFonts w:ascii="Times" w:hAnsi="Times" w:cs="Times"/>
        </w:rPr>
        <w:t>cide</w:t>
      </w:r>
      <w:r w:rsidR="00C6064A" w:rsidRPr="008573C5">
        <w:rPr>
          <w:rFonts w:ascii="Times" w:hAnsi="Times" w:cs="Times"/>
        </w:rPr>
        <w:t>s</w:t>
      </w:r>
      <w:r w:rsidRPr="008573C5">
        <w:rPr>
          <w:rFonts w:ascii="Times" w:hAnsi="Times" w:cs="Times"/>
        </w:rPr>
        <w:t xml:space="preserve"> to probe further by examining the relationship between adequate disclosure and the two company characteristics, asset size and listi</w:t>
      </w:r>
      <w:r w:rsidR="00A14C7D" w:rsidRPr="008573C5">
        <w:rPr>
          <w:rFonts w:ascii="Times" w:hAnsi="Times" w:cs="Times"/>
        </w:rPr>
        <w:t>ng status. A disclosure index i</w:t>
      </w:r>
      <w:r w:rsidRPr="008573C5">
        <w:rPr>
          <w:rFonts w:ascii="Times" w:hAnsi="Times" w:cs="Times"/>
        </w:rPr>
        <w:t>s constructed based on information acquired from financial analyst</w:t>
      </w:r>
      <w:r w:rsidR="00CF763F" w:rsidRPr="008573C5">
        <w:rPr>
          <w:rFonts w:ascii="Times" w:hAnsi="Times" w:cs="Times"/>
        </w:rPr>
        <w:t>s. It i</w:t>
      </w:r>
      <w:r w:rsidRPr="008573C5">
        <w:rPr>
          <w:rFonts w:ascii="Times" w:hAnsi="Times" w:cs="Times"/>
        </w:rPr>
        <w:t xml:space="preserve">s defined in terms of 39 selected types of information appearing in the annual report. Weights </w:t>
      </w:r>
      <w:r w:rsidR="00CF763F" w:rsidRPr="008573C5">
        <w:rPr>
          <w:rFonts w:ascii="Times" w:hAnsi="Times" w:cs="Times"/>
        </w:rPr>
        <w:t>a</w:t>
      </w:r>
      <w:r w:rsidRPr="008573C5">
        <w:rPr>
          <w:rFonts w:ascii="Times" w:hAnsi="Times" w:cs="Times"/>
        </w:rPr>
        <w:t xml:space="preserve">re assigned based on the analyst ranking in order to recognize differences in their relative importance. Eighty eight samples of companies </w:t>
      </w:r>
      <w:r w:rsidR="00CF763F" w:rsidRPr="008573C5">
        <w:rPr>
          <w:rFonts w:ascii="Times" w:hAnsi="Times" w:cs="Times"/>
        </w:rPr>
        <w:t>are</w:t>
      </w:r>
      <w:r w:rsidRPr="008573C5">
        <w:rPr>
          <w:rFonts w:ascii="Times" w:hAnsi="Times" w:cs="Times"/>
        </w:rPr>
        <w:t xml:space="preserve"> used, 44 </w:t>
      </w:r>
      <w:r w:rsidR="00CF763F" w:rsidRPr="008573C5">
        <w:rPr>
          <w:rFonts w:ascii="Times" w:hAnsi="Times" w:cs="Times"/>
        </w:rPr>
        <w:t>are</w:t>
      </w:r>
      <w:r w:rsidRPr="008573C5">
        <w:rPr>
          <w:rFonts w:ascii="Times" w:hAnsi="Times" w:cs="Times"/>
        </w:rPr>
        <w:t xml:space="preserve"> listed on either the New York (NYSE) or American (AMEX) exchanges, while the other 44 </w:t>
      </w:r>
      <w:r w:rsidR="00CF763F" w:rsidRPr="008573C5">
        <w:rPr>
          <w:rFonts w:ascii="Times" w:hAnsi="Times" w:cs="Times"/>
        </w:rPr>
        <w:t>are</w:t>
      </w:r>
      <w:r w:rsidRPr="008573C5">
        <w:rPr>
          <w:rFonts w:ascii="Times" w:hAnsi="Times" w:cs="Times"/>
        </w:rPr>
        <w:t xml:space="preserve"> unlisted. To test the listing status effect, Wilcoxon matched-pairs sign-ranked test </w:t>
      </w:r>
      <w:r w:rsidR="00CF763F" w:rsidRPr="008573C5">
        <w:rPr>
          <w:rFonts w:ascii="Times" w:hAnsi="Times" w:cs="Times"/>
        </w:rPr>
        <w:t>is</w:t>
      </w:r>
      <w:r w:rsidRPr="008573C5">
        <w:rPr>
          <w:rFonts w:ascii="Times" w:hAnsi="Times" w:cs="Times"/>
        </w:rPr>
        <w:t xml:space="preserve"> conducted and it </w:t>
      </w:r>
      <w:r w:rsidR="00CF763F" w:rsidRPr="008573C5">
        <w:rPr>
          <w:rFonts w:ascii="Times" w:hAnsi="Times" w:cs="Times"/>
        </w:rPr>
        <w:t>is discovered that there i</w:t>
      </w:r>
      <w:r w:rsidRPr="008573C5">
        <w:rPr>
          <w:rFonts w:ascii="Times" w:hAnsi="Times" w:cs="Times"/>
        </w:rPr>
        <w:t>s a low level of statistical significance at 0.64. To test the asset size effect that is to know if there is an association between the extent of disclosure and asset size, he conducted a Kendall rank correlation coefficient test. The results of the stat</w:t>
      </w:r>
      <w:r w:rsidR="00CF763F" w:rsidRPr="008573C5">
        <w:rPr>
          <w:rFonts w:ascii="Times" w:hAnsi="Times" w:cs="Times"/>
        </w:rPr>
        <w:t>istical tests conducted reveal</w:t>
      </w:r>
      <w:r w:rsidRPr="008573C5">
        <w:rPr>
          <w:rFonts w:ascii="Times" w:hAnsi="Times" w:cs="Times"/>
        </w:rPr>
        <w:t xml:space="preserve"> that the extent of disclosure is positively associated with asset size and not listing status. He finds that the extent of disclosure </w:t>
      </w:r>
      <w:r w:rsidR="00CF763F" w:rsidRPr="008573C5">
        <w:rPr>
          <w:rFonts w:ascii="Times" w:hAnsi="Times" w:cs="Times"/>
        </w:rPr>
        <w:t>i</w:t>
      </w:r>
      <w:r w:rsidR="00B1532D" w:rsidRPr="008573C5">
        <w:rPr>
          <w:rFonts w:ascii="Times" w:hAnsi="Times" w:cs="Times"/>
        </w:rPr>
        <w:t>s</w:t>
      </w:r>
      <w:r w:rsidRPr="008573C5">
        <w:rPr>
          <w:rFonts w:ascii="Times" w:hAnsi="Times" w:cs="Times"/>
        </w:rPr>
        <w:t xml:space="preserve"> positively associated with company size but not with </w:t>
      </w:r>
      <w:r w:rsidR="00CF763F" w:rsidRPr="008573C5">
        <w:rPr>
          <w:rFonts w:ascii="Times" w:hAnsi="Times" w:cs="Times"/>
        </w:rPr>
        <w:t>listing status. This result i</w:t>
      </w:r>
      <w:r w:rsidRPr="008573C5">
        <w:rPr>
          <w:rFonts w:ascii="Times" w:hAnsi="Times" w:cs="Times"/>
        </w:rPr>
        <w:t>s consistent with C</w:t>
      </w:r>
      <w:r w:rsidR="003313F2" w:rsidRPr="008573C5">
        <w:rPr>
          <w:rFonts w:ascii="Times" w:hAnsi="Times" w:cs="Times"/>
        </w:rPr>
        <w:t xml:space="preserve">erf </w:t>
      </w:r>
      <w:r w:rsidRPr="008573C5">
        <w:rPr>
          <w:rFonts w:ascii="Times" w:hAnsi="Times" w:cs="Times"/>
        </w:rPr>
        <w:t xml:space="preserve">and not consistent with the result of </w:t>
      </w:r>
      <w:r w:rsidR="003313F2" w:rsidRPr="008573C5">
        <w:rPr>
          <w:rFonts w:ascii="Times" w:hAnsi="Times" w:cs="Times"/>
        </w:rPr>
        <w:t>Singhvi and Desai</w:t>
      </w:r>
      <w:r w:rsidRPr="008573C5">
        <w:rPr>
          <w:rFonts w:ascii="Times" w:hAnsi="Times" w:cs="Times"/>
        </w:rPr>
        <w:t>. One of</w:t>
      </w:r>
      <w:r w:rsidR="00CF763F" w:rsidRPr="008573C5">
        <w:rPr>
          <w:rFonts w:ascii="Times" w:hAnsi="Times" w:cs="Times"/>
        </w:rPr>
        <w:t xml:space="preserve"> the limitations of the study i</w:t>
      </w:r>
      <w:r w:rsidRPr="008573C5">
        <w:rPr>
          <w:rFonts w:ascii="Times" w:hAnsi="Times" w:cs="Times"/>
        </w:rPr>
        <w:t>s that the measur</w:t>
      </w:r>
      <w:r w:rsidR="00CF763F" w:rsidRPr="008573C5">
        <w:rPr>
          <w:rFonts w:ascii="Times" w:hAnsi="Times" w:cs="Times"/>
        </w:rPr>
        <w:t>e of disclosure i</w:t>
      </w:r>
      <w:r w:rsidRPr="008573C5">
        <w:rPr>
          <w:rFonts w:ascii="Times" w:hAnsi="Times" w:cs="Times"/>
        </w:rPr>
        <w:t xml:space="preserve">s based on only the information needs of financial analyst. Users of corporate accounts are numerous and the result based on only this user group may not adequately relate to the needs of the other users. </w:t>
      </w:r>
    </w:p>
    <w:p w:rsidR="00FF5EDF" w:rsidRPr="008573C5" w:rsidRDefault="00FF5EDF" w:rsidP="00FF5EDF">
      <w:pPr>
        <w:spacing w:line="360" w:lineRule="auto"/>
        <w:jc w:val="both"/>
        <w:rPr>
          <w:rFonts w:ascii="Times" w:hAnsi="Times" w:cs="Times"/>
        </w:rPr>
      </w:pPr>
    </w:p>
    <w:p w:rsidR="00FF5EDF" w:rsidRPr="008573C5" w:rsidRDefault="00FF5EDF" w:rsidP="00FF5EDF">
      <w:pPr>
        <w:spacing w:line="360" w:lineRule="auto"/>
        <w:jc w:val="both"/>
        <w:rPr>
          <w:rFonts w:ascii="Times" w:hAnsi="Times" w:cs="Times"/>
        </w:rPr>
      </w:pPr>
      <w:r w:rsidRPr="008573C5">
        <w:rPr>
          <w:rFonts w:ascii="Times" w:hAnsi="Times" w:cs="Times"/>
        </w:rPr>
        <w:t>The extent and quality of corporate financial disclosure in seven countries over a ten-year period from 1963 to 19</w:t>
      </w:r>
      <w:r w:rsidR="00E22DDE" w:rsidRPr="008573C5">
        <w:rPr>
          <w:rFonts w:ascii="Times" w:hAnsi="Times" w:cs="Times"/>
        </w:rPr>
        <w:t>72 i</w:t>
      </w:r>
      <w:r w:rsidR="0003475D" w:rsidRPr="008573C5">
        <w:rPr>
          <w:rFonts w:ascii="Times" w:hAnsi="Times" w:cs="Times"/>
        </w:rPr>
        <w:t>s examined by Barrett (1976</w:t>
      </w:r>
      <w:r w:rsidR="00F40F29" w:rsidRPr="008573C5">
        <w:rPr>
          <w:rFonts w:ascii="Times" w:hAnsi="Times" w:cs="Times"/>
        </w:rPr>
        <w:t>:12</w:t>
      </w:r>
      <w:r w:rsidRPr="008573C5">
        <w:rPr>
          <w:rFonts w:ascii="Times" w:hAnsi="Times" w:cs="Times"/>
        </w:rPr>
        <w:t>). The countries examined are United States, United Kingdom, France, Japan, Sweden, Netherlands and West Germany. Based on the previous experiences of others</w:t>
      </w:r>
      <w:r w:rsidR="004154E2" w:rsidRPr="008573C5">
        <w:rPr>
          <w:rFonts w:ascii="Times" w:hAnsi="Times" w:cs="Times"/>
        </w:rPr>
        <w:t>, that is,</w:t>
      </w:r>
      <w:r w:rsidRPr="008573C5">
        <w:rPr>
          <w:rFonts w:ascii="Times" w:hAnsi="Times" w:cs="Times"/>
        </w:rPr>
        <w:t xml:space="preserve"> Singhvi and Desai (1971</w:t>
      </w:r>
      <w:r w:rsidR="00ED20F2" w:rsidRPr="008573C5">
        <w:rPr>
          <w:rFonts w:ascii="Times" w:hAnsi="Times" w:cs="Times"/>
        </w:rPr>
        <w:t>:129</w:t>
      </w:r>
      <w:r w:rsidRPr="008573C5">
        <w:rPr>
          <w:rFonts w:ascii="Times" w:hAnsi="Times" w:cs="Times"/>
        </w:rPr>
        <w:t>) and Buzby (1975</w:t>
      </w:r>
      <w:r w:rsidR="00D028DB" w:rsidRPr="008573C5">
        <w:rPr>
          <w:rFonts w:ascii="Times" w:hAnsi="Times" w:cs="Times"/>
        </w:rPr>
        <w:t>:16</w:t>
      </w:r>
      <w:r w:rsidRPr="008573C5">
        <w:rPr>
          <w:rFonts w:ascii="Times" w:hAnsi="Times" w:cs="Times"/>
        </w:rPr>
        <w:t xml:space="preserve">) carried out in the United </w:t>
      </w:r>
      <w:r w:rsidR="00C6064A" w:rsidRPr="008573C5">
        <w:rPr>
          <w:rFonts w:ascii="Times" w:hAnsi="Times" w:cs="Times"/>
        </w:rPr>
        <w:t>States;</w:t>
      </w:r>
      <w:r w:rsidRPr="008573C5">
        <w:rPr>
          <w:rFonts w:ascii="Times" w:hAnsi="Times" w:cs="Times"/>
        </w:rPr>
        <w:t xml:space="preserve"> </w:t>
      </w:r>
      <w:r w:rsidR="00C6064A" w:rsidRPr="008573C5">
        <w:rPr>
          <w:rFonts w:ascii="Times" w:hAnsi="Times" w:cs="Times"/>
        </w:rPr>
        <w:t>Barrett</w:t>
      </w:r>
      <w:r w:rsidRPr="008573C5">
        <w:rPr>
          <w:rFonts w:ascii="Times" w:hAnsi="Times" w:cs="Times"/>
        </w:rPr>
        <w:t xml:space="preserve"> want</w:t>
      </w:r>
      <w:r w:rsidR="00E22DDE" w:rsidRPr="008573C5">
        <w:rPr>
          <w:rFonts w:ascii="Times" w:hAnsi="Times" w:cs="Times"/>
        </w:rPr>
        <w:t>s</w:t>
      </w:r>
      <w:r w:rsidRPr="008573C5">
        <w:rPr>
          <w:rFonts w:ascii="Times" w:hAnsi="Times" w:cs="Times"/>
        </w:rPr>
        <w:t xml:space="preserve"> to know if the American reports are superior.  Fifteen large companies in each country, measured in terms of market capitalization </w:t>
      </w:r>
      <w:r w:rsidR="00E22DDE" w:rsidRPr="008573C5">
        <w:rPr>
          <w:rFonts w:ascii="Times" w:hAnsi="Times" w:cs="Times"/>
        </w:rPr>
        <w:t>a</w:t>
      </w:r>
      <w:r w:rsidRPr="008573C5">
        <w:rPr>
          <w:rFonts w:ascii="Times" w:hAnsi="Times" w:cs="Times"/>
        </w:rPr>
        <w:t xml:space="preserve">re used as samples. To measure disclosures, seventeen disclosure items </w:t>
      </w:r>
      <w:r w:rsidR="00E22DDE" w:rsidRPr="008573C5">
        <w:rPr>
          <w:rFonts w:ascii="Times" w:hAnsi="Times" w:cs="Times"/>
        </w:rPr>
        <w:t>are</w:t>
      </w:r>
      <w:r w:rsidRPr="008573C5">
        <w:rPr>
          <w:rFonts w:ascii="Times" w:hAnsi="Times" w:cs="Times"/>
        </w:rPr>
        <w:t xml:space="preserve"> considered, in which twelve </w:t>
      </w:r>
      <w:r w:rsidR="00E22DDE" w:rsidRPr="008573C5">
        <w:rPr>
          <w:rFonts w:ascii="Times" w:hAnsi="Times" w:cs="Times"/>
        </w:rPr>
        <w:t>are</w:t>
      </w:r>
      <w:r w:rsidRPr="008573C5">
        <w:rPr>
          <w:rFonts w:ascii="Times" w:hAnsi="Times" w:cs="Times"/>
        </w:rPr>
        <w:t xml:space="preserve"> substantially the same as those u</w:t>
      </w:r>
      <w:r w:rsidR="00C6064A" w:rsidRPr="008573C5">
        <w:rPr>
          <w:rFonts w:ascii="Times" w:hAnsi="Times" w:cs="Times"/>
        </w:rPr>
        <w:t>sed in earlier studies of Cerf,</w:t>
      </w:r>
      <w:r w:rsidR="00D01247" w:rsidRPr="008573C5">
        <w:rPr>
          <w:rFonts w:ascii="Times" w:hAnsi="Times" w:cs="Times"/>
        </w:rPr>
        <w:t xml:space="preserve"> Singhvi and Desai  and Buzby (</w:t>
      </w:r>
      <w:r w:rsidRPr="008573C5">
        <w:rPr>
          <w:rFonts w:ascii="Times" w:hAnsi="Times" w:cs="Times"/>
        </w:rPr>
        <w:t>Barrett, 197</w:t>
      </w:r>
      <w:r w:rsidR="0003475D" w:rsidRPr="008573C5">
        <w:rPr>
          <w:rFonts w:ascii="Times" w:hAnsi="Times" w:cs="Times"/>
        </w:rPr>
        <w:t>6</w:t>
      </w:r>
      <w:r w:rsidRPr="008573C5">
        <w:rPr>
          <w:rFonts w:ascii="Times" w:hAnsi="Times" w:cs="Times"/>
        </w:rPr>
        <w:t>:16). To allow the comparis</w:t>
      </w:r>
      <w:r w:rsidR="004154E2" w:rsidRPr="008573C5">
        <w:rPr>
          <w:rFonts w:ascii="Times" w:hAnsi="Times" w:cs="Times"/>
        </w:rPr>
        <w:t>on</w:t>
      </w:r>
      <w:r w:rsidRPr="008573C5">
        <w:rPr>
          <w:rFonts w:ascii="Times" w:hAnsi="Times" w:cs="Times"/>
        </w:rPr>
        <w:t xml:space="preserve"> of the overall extent and quality of disclosure the seventeen information items </w:t>
      </w:r>
      <w:r w:rsidR="00E22DDE" w:rsidRPr="008573C5">
        <w:rPr>
          <w:rFonts w:ascii="Times" w:hAnsi="Times" w:cs="Times"/>
        </w:rPr>
        <w:t>a</w:t>
      </w:r>
      <w:r w:rsidRPr="008573C5">
        <w:rPr>
          <w:rFonts w:ascii="Times" w:hAnsi="Times" w:cs="Times"/>
        </w:rPr>
        <w:t>re used to construct a weighted index of disclosure.  The result shows that there is only a little difference in the extent of disclosure of larg</w:t>
      </w:r>
      <w:r w:rsidR="00434C4F" w:rsidRPr="008573C5">
        <w:rPr>
          <w:rFonts w:ascii="Times" w:hAnsi="Times" w:cs="Times"/>
        </w:rPr>
        <w:t xml:space="preserve">e British and American firms. </w:t>
      </w:r>
      <w:r w:rsidRPr="008573C5">
        <w:rPr>
          <w:rFonts w:ascii="Times" w:hAnsi="Times" w:cs="Times"/>
        </w:rPr>
        <w:t xml:space="preserve"> He noted that British and American firms exhibit more annual report disclosure than the firms of the other five nationals. However, these two count</w:t>
      </w:r>
      <w:r w:rsidR="00723A88" w:rsidRPr="008573C5">
        <w:rPr>
          <w:rFonts w:ascii="Times" w:hAnsi="Times" w:cs="Times"/>
        </w:rPr>
        <w:t>r</w:t>
      </w:r>
      <w:r w:rsidRPr="008573C5">
        <w:rPr>
          <w:rFonts w:ascii="Times" w:hAnsi="Times" w:cs="Times"/>
        </w:rPr>
        <w:t>ies d</w:t>
      </w:r>
      <w:r w:rsidR="00E22DDE" w:rsidRPr="008573C5">
        <w:rPr>
          <w:rFonts w:ascii="Times" w:hAnsi="Times" w:cs="Times"/>
        </w:rPr>
        <w:t>o</w:t>
      </w:r>
      <w:r w:rsidR="00C6064A" w:rsidRPr="008573C5">
        <w:rPr>
          <w:rFonts w:ascii="Times" w:hAnsi="Times" w:cs="Times"/>
        </w:rPr>
        <w:t xml:space="preserve"> not “</w:t>
      </w:r>
      <w:r w:rsidRPr="008573C5">
        <w:rPr>
          <w:rFonts w:ascii="Times" w:hAnsi="Times" w:cs="Times"/>
        </w:rPr>
        <w:t>lead the pack” in the extent and quality of disclosure across board. Such cases are in respect of segment reporting and disclosure of planned and current capital revenue for American companies. The result of this study indicates that the extent and quality of the disclosures in American firms might not be superior to others based on the size of samples.</w:t>
      </w:r>
    </w:p>
    <w:p w:rsidR="00FF5EDF" w:rsidRPr="008573C5" w:rsidRDefault="00FF5EDF" w:rsidP="00FF5EDF">
      <w:pPr>
        <w:autoSpaceDE w:val="0"/>
        <w:autoSpaceDN w:val="0"/>
        <w:adjustRightInd w:val="0"/>
        <w:spacing w:line="360" w:lineRule="auto"/>
        <w:jc w:val="both"/>
      </w:pPr>
    </w:p>
    <w:p w:rsidR="00FF5EDF" w:rsidRPr="008573C5" w:rsidRDefault="00FF5EDF" w:rsidP="00FF5EDF">
      <w:pPr>
        <w:autoSpaceDE w:val="0"/>
        <w:autoSpaceDN w:val="0"/>
        <w:adjustRightInd w:val="0"/>
        <w:spacing w:line="360" w:lineRule="auto"/>
        <w:jc w:val="both"/>
      </w:pPr>
      <w:r w:rsidRPr="008573C5">
        <w:t>The study of McNally et al (1982</w:t>
      </w:r>
      <w:r w:rsidR="004A072D" w:rsidRPr="008573C5">
        <w:t>:11)</w:t>
      </w:r>
      <w:r w:rsidRPr="008573C5">
        <w:t xml:space="preserve"> complements and extends previous studies in the United States </w:t>
      </w:r>
      <w:r w:rsidR="003313F2" w:rsidRPr="008573C5">
        <w:rPr>
          <w:rFonts w:ascii="Times" w:hAnsi="Times" w:cs="Times"/>
        </w:rPr>
        <w:t>(</w:t>
      </w:r>
      <w:r w:rsidRPr="008573C5">
        <w:rPr>
          <w:rFonts w:ascii="Times" w:hAnsi="Times" w:cs="Times"/>
        </w:rPr>
        <w:t>Singhvi and Desai</w:t>
      </w:r>
      <w:r w:rsidR="00C6064A" w:rsidRPr="008573C5">
        <w:rPr>
          <w:rFonts w:ascii="Times" w:hAnsi="Times" w:cs="Times"/>
        </w:rPr>
        <w:t xml:space="preserve">, </w:t>
      </w:r>
      <w:r w:rsidRPr="008573C5">
        <w:rPr>
          <w:rFonts w:ascii="Times" w:hAnsi="Times" w:cs="Times"/>
        </w:rPr>
        <w:t>1971</w:t>
      </w:r>
      <w:r w:rsidR="004A072D" w:rsidRPr="008573C5">
        <w:rPr>
          <w:rFonts w:ascii="Times" w:hAnsi="Times" w:cs="Times"/>
        </w:rPr>
        <w:t>:135</w:t>
      </w:r>
      <w:r w:rsidRPr="008573C5">
        <w:rPr>
          <w:rFonts w:ascii="Times" w:hAnsi="Times" w:cs="Times"/>
        </w:rPr>
        <w:t xml:space="preserve"> and Buzby</w:t>
      </w:r>
      <w:r w:rsidR="00C6064A" w:rsidRPr="008573C5">
        <w:rPr>
          <w:rFonts w:ascii="Times" w:hAnsi="Times" w:cs="Times"/>
        </w:rPr>
        <w:t xml:space="preserve">, </w:t>
      </w:r>
      <w:r w:rsidRPr="008573C5">
        <w:rPr>
          <w:rFonts w:ascii="Times" w:hAnsi="Times" w:cs="Times"/>
        </w:rPr>
        <w:t>1975</w:t>
      </w:r>
      <w:r w:rsidR="004A072D" w:rsidRPr="008573C5">
        <w:rPr>
          <w:rFonts w:ascii="Times" w:hAnsi="Times" w:cs="Times"/>
        </w:rPr>
        <w:t>:20</w:t>
      </w:r>
      <w:r w:rsidRPr="008573C5">
        <w:rPr>
          <w:rFonts w:ascii="Times" w:hAnsi="Times" w:cs="Times"/>
        </w:rPr>
        <w:t xml:space="preserve">) </w:t>
      </w:r>
      <w:r w:rsidRPr="008573C5">
        <w:t>by examining the quality of disclosure with corporate characteristics in a different environmental set</w:t>
      </w:r>
      <w:r w:rsidR="00E22DDE" w:rsidRPr="008573C5">
        <w:t>ting, New Zealand. They examine</w:t>
      </w:r>
      <w:r w:rsidRPr="008573C5">
        <w:t xml:space="preserve"> 103 non-financial and non retail listed companies with 54 voluntary items using size, rate of return, growth, audit firm and industry as their independent variables. Rank order correlations </w:t>
      </w:r>
      <w:r w:rsidR="00E22DDE" w:rsidRPr="008573C5">
        <w:t>are</w:t>
      </w:r>
      <w:r w:rsidRPr="008573C5">
        <w:t xml:space="preserve"> computed for the first three company attributes and quality of disclosure. The </w:t>
      </w:r>
      <w:r w:rsidR="00E22DDE" w:rsidRPr="008573C5">
        <w:t>only significant relationship i</w:t>
      </w:r>
      <w:r w:rsidRPr="008573C5">
        <w:t>s between size and information quality. One way analysis of v</w:t>
      </w:r>
      <w:r w:rsidR="00E22DDE" w:rsidRPr="008573C5">
        <w:t>ariance (Kruskal Wallis) test i</w:t>
      </w:r>
      <w:r w:rsidRPr="008573C5">
        <w:t xml:space="preserve">s employed to test industry group and audit size, </w:t>
      </w:r>
      <w:r w:rsidR="00E22DDE" w:rsidRPr="008573C5">
        <w:t>but no significant difference i</w:t>
      </w:r>
      <w:r w:rsidRPr="008573C5">
        <w:t xml:space="preserve">s found. </w:t>
      </w:r>
    </w:p>
    <w:p w:rsidR="00FF5EDF" w:rsidRPr="008573C5" w:rsidRDefault="00FF5EDF" w:rsidP="00F2638F">
      <w:pPr>
        <w:pStyle w:val="NormalWeb"/>
        <w:spacing w:line="360" w:lineRule="auto"/>
        <w:jc w:val="both"/>
      </w:pPr>
      <w:r w:rsidRPr="008573C5">
        <w:rPr>
          <w:rStyle w:val="Strong"/>
          <w:b w:val="0"/>
        </w:rPr>
        <w:t>To extend the general knowledge of the overall extent of disclosure to Sweden companies, Cooke</w:t>
      </w:r>
      <w:r w:rsidRPr="008573C5">
        <w:t xml:space="preserve"> (1989</w:t>
      </w:r>
      <w:r w:rsidR="004A072D" w:rsidRPr="008573C5">
        <w:t>:113</w:t>
      </w:r>
      <w:r w:rsidRPr="008573C5">
        <w:t xml:space="preserve">) examines the annual reports of 90 firms to assess whether there is a significant relationship between some corporate attributes and the extent of disclosure. The study is different from prior studies, firstly, because it relates to listed and unlisted firms, to be precise, 38 unlisted, 33 listed on the Swedish Stock Exchange, and 19 listed on both the Swedish and at least one foreign stock exchange during the year 1985. Secondly, the disclosure items </w:t>
      </w:r>
      <w:r w:rsidR="00E22DDE" w:rsidRPr="008573C5">
        <w:t>a</w:t>
      </w:r>
      <w:r w:rsidR="00434C4F" w:rsidRPr="008573C5">
        <w:t>re</w:t>
      </w:r>
      <w:r w:rsidRPr="008573C5">
        <w:t xml:space="preserve"> constructed based on the entirety of the annual report not just the financial st</w:t>
      </w:r>
      <w:r w:rsidR="00E22DDE" w:rsidRPr="008573C5">
        <w:t>atement. The disclosure items a</w:t>
      </w:r>
      <w:r w:rsidRPr="008573C5">
        <w:t>re not directed at specific user group</w:t>
      </w:r>
      <w:r w:rsidR="00434C4F" w:rsidRPr="008573C5">
        <w:t>s</w:t>
      </w:r>
      <w:r w:rsidRPr="008573C5">
        <w:t>, but used a wide ranging approach similar to Wallace</w:t>
      </w:r>
      <w:r w:rsidR="00D01247" w:rsidRPr="008573C5">
        <w:t xml:space="preserve"> (</w:t>
      </w:r>
      <w:r w:rsidRPr="008573C5">
        <w:t>1988</w:t>
      </w:r>
      <w:r w:rsidR="00F452F2" w:rsidRPr="008573C5">
        <w:t>:352</w:t>
      </w:r>
      <w:r w:rsidRPr="008573C5">
        <w:t xml:space="preserve">) in his analysis of Nigerian corporate reports. The total </w:t>
      </w:r>
      <w:r w:rsidR="00D01247" w:rsidRPr="008573C5">
        <w:t>numbers of items are</w:t>
      </w:r>
      <w:r w:rsidRPr="008573C5">
        <w:t xml:space="preserve"> 224</w:t>
      </w:r>
      <w:r w:rsidR="00D01247" w:rsidRPr="008573C5">
        <w:t>,</w:t>
      </w:r>
      <w:r w:rsidRPr="008573C5">
        <w:t xml:space="preserve"> made up of financial statement</w:t>
      </w:r>
      <w:r w:rsidR="00434C4F" w:rsidRPr="008573C5">
        <w:t>s</w:t>
      </w:r>
      <w:r w:rsidRPr="008573C5">
        <w:t xml:space="preserve">, measurement and valuation methods, ratios, projections, financial history and social responsibility. He developed a scoring scheme to capture </w:t>
      </w:r>
      <w:r w:rsidR="00434C4F" w:rsidRPr="008573C5">
        <w:t xml:space="preserve">the </w:t>
      </w:r>
      <w:r w:rsidRPr="008573C5">
        <w:t>level of disclosure by using a dichotomous procedure in which an item scores one if disclosed, and zero if not disclosed. When an item is not mentioned in the annual report</w:t>
      </w:r>
      <w:r w:rsidR="00434C4F" w:rsidRPr="008573C5">
        <w:t>,</w:t>
      </w:r>
      <w:r w:rsidRPr="008573C5">
        <w:t xml:space="preserve"> it is assumed </w:t>
      </w:r>
      <w:r w:rsidR="00434C4F" w:rsidRPr="008573C5">
        <w:t xml:space="preserve">that </w:t>
      </w:r>
      <w:r w:rsidRPr="008573C5">
        <w:t>it is not relevant and the company is not scored at all. On the contrary, if it is apparent that the item is relevant</w:t>
      </w:r>
      <w:r w:rsidR="00434C4F" w:rsidRPr="008573C5">
        <w:t>,</w:t>
      </w:r>
      <w:r w:rsidRPr="008573C5">
        <w:t xml:space="preserve"> such a company will be scored zero. The method is unweighted based on the fact that each item is equally important. The index of disclosure is the ratio of the actual score to the expected score. Descriptive statistics including Chi-square, Cramer’s V, Contingency coefficient, lambda and on</w:t>
      </w:r>
      <w:r w:rsidR="00434C4F" w:rsidRPr="008573C5">
        <w:t>e</w:t>
      </w:r>
      <w:r w:rsidRPr="008573C5">
        <w:t>-way analysis of variance was used in analyzing the data and it was discovered that there is a high degree of association between the listing status and disclosure indexes. In order to identify which independent variable determines the extent of disclosure, multiple regression procedure was adopted. The independent variables selected are quotation status, parent company relationship, annual sales, total assets, and number of shareholders. It was found that listing status and size are major explanatory variables for voluntary disclosure. In addition, firms categorized as trading disclose less voluntary information than other industries</w:t>
      </w:r>
      <w:r w:rsidR="00434C4F" w:rsidRPr="008573C5">
        <w:t>. A</w:t>
      </w:r>
      <w:r w:rsidRPr="008573C5">
        <w:t>lso</w:t>
      </w:r>
      <w:r w:rsidR="00434C4F" w:rsidRPr="008573C5">
        <w:t>,</w:t>
      </w:r>
      <w:r w:rsidRPr="008573C5">
        <w:t xml:space="preserve"> multiple listed companies disclose more information than domestically listed companies.</w:t>
      </w:r>
    </w:p>
    <w:p w:rsidR="00FF5EDF" w:rsidRPr="008573C5" w:rsidRDefault="00FF5EDF" w:rsidP="00FF5EDF">
      <w:pPr>
        <w:autoSpaceDE w:val="0"/>
        <w:autoSpaceDN w:val="0"/>
        <w:adjustRightInd w:val="0"/>
        <w:spacing w:before="240" w:line="360" w:lineRule="auto"/>
        <w:jc w:val="both"/>
      </w:pPr>
      <w:r w:rsidRPr="008573C5">
        <w:t>After the above study, Cooke (1992</w:t>
      </w:r>
      <w:r w:rsidR="00F452F2" w:rsidRPr="008573C5">
        <w:t>:229</w:t>
      </w:r>
      <w:r w:rsidRPr="008573C5">
        <w:t xml:space="preserve">) </w:t>
      </w:r>
      <w:r w:rsidR="00E5127D" w:rsidRPr="008573C5">
        <w:t>goes</w:t>
      </w:r>
      <w:r w:rsidRPr="008573C5">
        <w:t xml:space="preserve"> further to examine the Japanese financial reporting on the premise that findings in one country may not be applicable to Japan because of its unique culture and business environment. He examines the impact of size, stock market listing and industry type on both voluntary and mandatory disclosures in the annual reports of Japanese listed corporations. Size is considered using eight variables, viz, capital stock, turnover, number of shareholders, total assets, current assets, shareholders</w:t>
      </w:r>
      <w:r w:rsidR="00434C4F" w:rsidRPr="008573C5">
        <w:t>’</w:t>
      </w:r>
      <w:r w:rsidRPr="008573C5">
        <w:t xml:space="preserve"> fund and bank borrowing. An extensive list of 165 information items (65% voluntary and 35% mandatory), included in these items are disclosure recommendations by IASC and other relevant laws a</w:t>
      </w:r>
      <w:r w:rsidR="00FD26E5" w:rsidRPr="008573C5">
        <w:t>nd accounting standards. He uses</w:t>
      </w:r>
      <w:r w:rsidRPr="008573C5">
        <w:t xml:space="preserve"> the same scoring technique as </w:t>
      </w:r>
      <w:r w:rsidR="00434C4F" w:rsidRPr="008573C5">
        <w:t xml:space="preserve">in </w:t>
      </w:r>
      <w:r w:rsidRPr="008573C5">
        <w:t>Cooke</w:t>
      </w:r>
      <w:r w:rsidR="00396280" w:rsidRPr="008573C5">
        <w:t xml:space="preserve"> </w:t>
      </w:r>
      <w:r w:rsidRPr="008573C5">
        <w:t>(1989</w:t>
      </w:r>
      <w:r w:rsidR="00F452F2" w:rsidRPr="008573C5">
        <w:t>:113</w:t>
      </w:r>
      <w:r w:rsidR="00D01247" w:rsidRPr="008573C5">
        <w:t>) that</w:t>
      </w:r>
      <w:r w:rsidRPr="008573C5">
        <w:t xml:space="preserve"> is a modified dichotomous approach. Descriptive statistics reveal</w:t>
      </w:r>
      <w:r w:rsidR="00FD26E5" w:rsidRPr="008573C5">
        <w:t>s</w:t>
      </w:r>
      <w:r w:rsidRPr="008573C5">
        <w:t xml:space="preserve"> that mean scores for mandatory disclosure are quite high</w:t>
      </w:r>
      <w:r w:rsidR="00396280" w:rsidRPr="008573C5">
        <w:t xml:space="preserve"> </w:t>
      </w:r>
      <w:r w:rsidRPr="008573C5">
        <w:t xml:space="preserve">(Cooke, 1992: 233). The mandatory disclosures range from 88% to 100% while </w:t>
      </w:r>
      <w:r w:rsidR="004154E2" w:rsidRPr="008573C5">
        <w:t xml:space="preserve">the voluntary disclosures range </w:t>
      </w:r>
      <w:r w:rsidRPr="008573C5">
        <w:t>from 7% to 4</w:t>
      </w:r>
      <w:r w:rsidR="003430D4" w:rsidRPr="008573C5">
        <w:t>1%. A linear regression model i</w:t>
      </w:r>
      <w:r w:rsidRPr="008573C5">
        <w:t>s used to test the hypothesis. The problem of multicollineari</w:t>
      </w:r>
      <w:r w:rsidR="003430D4" w:rsidRPr="008573C5">
        <w:t>ty between the size variables i</w:t>
      </w:r>
      <w:r w:rsidRPr="008573C5">
        <w:t xml:space="preserve">s resolved by using Factor analysis by principal components. The principal factors are used in the regression model as regressors. In </w:t>
      </w:r>
      <w:r w:rsidR="004B647B" w:rsidRPr="008573C5">
        <w:t>the result (</w:t>
      </w:r>
      <w:r w:rsidRPr="008573C5">
        <w:t>Cooke, 1992</w:t>
      </w:r>
      <w:r w:rsidR="00F452F2" w:rsidRPr="008573C5">
        <w:t>:236)</w:t>
      </w:r>
      <w:r w:rsidR="003430D4" w:rsidRPr="008573C5">
        <w:t>, it i</w:t>
      </w:r>
      <w:r w:rsidRPr="008573C5">
        <w:t>s found that manufacturing firms disclose more information than non-manufacturing firms. In conclusion</w:t>
      </w:r>
      <w:r w:rsidR="003430D4" w:rsidRPr="008573C5">
        <w:t>,</w:t>
      </w:r>
      <w:r w:rsidRPr="008573C5">
        <w:t xml:space="preserve"> he discovers that disclosure increases with size, industry type and multiple listings.</w:t>
      </w:r>
    </w:p>
    <w:p w:rsidR="00FF5EDF" w:rsidRPr="008573C5" w:rsidRDefault="00FF5EDF" w:rsidP="00FF5EDF">
      <w:pPr>
        <w:autoSpaceDE w:val="0"/>
        <w:autoSpaceDN w:val="0"/>
        <w:adjustRightInd w:val="0"/>
        <w:spacing w:line="360" w:lineRule="auto"/>
        <w:jc w:val="both"/>
        <w:rPr>
          <w:b/>
          <w:bCs/>
          <w:sz w:val="16"/>
          <w:szCs w:val="16"/>
        </w:rPr>
      </w:pPr>
      <w:r w:rsidRPr="008573C5">
        <w:t xml:space="preserve"> </w:t>
      </w:r>
    </w:p>
    <w:p w:rsidR="00FF5EDF" w:rsidRPr="008573C5" w:rsidRDefault="00FF5EDF" w:rsidP="00FF5EDF">
      <w:pPr>
        <w:autoSpaceDE w:val="0"/>
        <w:autoSpaceDN w:val="0"/>
        <w:adjustRightInd w:val="0"/>
        <w:spacing w:line="360" w:lineRule="auto"/>
        <w:jc w:val="both"/>
      </w:pPr>
      <w:r w:rsidRPr="008573C5">
        <w:rPr>
          <w:bCs/>
        </w:rPr>
        <w:t>Wallace et al</w:t>
      </w:r>
      <w:r w:rsidR="00DF355A" w:rsidRPr="008573C5">
        <w:rPr>
          <w:bCs/>
          <w:i/>
        </w:rPr>
        <w:t xml:space="preserve"> </w:t>
      </w:r>
      <w:r w:rsidRPr="008573C5">
        <w:rPr>
          <w:bCs/>
        </w:rPr>
        <w:t>(1994</w:t>
      </w:r>
      <w:r w:rsidR="00DF355A" w:rsidRPr="008573C5">
        <w:rPr>
          <w:bCs/>
        </w:rPr>
        <w:t>:41</w:t>
      </w:r>
      <w:r w:rsidRPr="008573C5">
        <w:rPr>
          <w:bCs/>
        </w:rPr>
        <w:t>),</w:t>
      </w:r>
      <w:r w:rsidRPr="008573C5">
        <w:t xml:space="preserve"> investigate the impact of firm characteristics on disclosure in annual reports and accounts of Spanish firms. They also aim </w:t>
      </w:r>
      <w:r w:rsidR="003430D4" w:rsidRPr="008573C5">
        <w:t xml:space="preserve">at knowing </w:t>
      </w:r>
      <w:r w:rsidRPr="008573C5">
        <w:t>whether the firm characteristics found relevant in previous study are also implicated in Spain</w:t>
      </w:r>
      <w:r w:rsidR="003430D4" w:rsidRPr="008573C5">
        <w:t xml:space="preserve"> or not</w:t>
      </w:r>
      <w:r w:rsidRPr="008573C5">
        <w:t>. They investigate 30 listed and 20 unlisted firms in Spain for the year 1991.</w:t>
      </w:r>
      <w:r w:rsidR="004154E2" w:rsidRPr="008573C5">
        <w:t xml:space="preserve"> </w:t>
      </w:r>
      <w:r w:rsidRPr="008573C5">
        <w:t xml:space="preserve">They construct an index of comprehensive disclosure of mandatory items as a proxy for disclosure quality for each Spanish company. Their score </w:t>
      </w:r>
      <w:r w:rsidR="004154E2" w:rsidRPr="008573C5">
        <w:t>is</w:t>
      </w:r>
      <w:r w:rsidRPr="008573C5">
        <w:t xml:space="preserve"> based on the density (fullness) of information in their annual report. </w:t>
      </w:r>
      <w:r w:rsidR="003430D4" w:rsidRPr="008573C5">
        <w:t>The list of information items i</w:t>
      </w:r>
      <w:r w:rsidRPr="008573C5">
        <w:t>s restricted to 16 mandatory items in order not to penalize a company for not disclosing any item. The scoring rewarded both qualitative and quantitative information. Qualitativ</w:t>
      </w:r>
      <w:r w:rsidR="003430D4" w:rsidRPr="008573C5">
        <w:t>e information i</w:t>
      </w:r>
      <w:r w:rsidRPr="008573C5">
        <w:t>s scored on the basis of the number of words describing the item</w:t>
      </w:r>
      <w:r w:rsidR="00923535" w:rsidRPr="008573C5">
        <w:t>.</w:t>
      </w:r>
      <w:r w:rsidRPr="008573C5">
        <w:t xml:space="preserve"> </w:t>
      </w:r>
      <w:r w:rsidRPr="008573C5">
        <w:rPr>
          <w:lang w:val="en-GB" w:eastAsia="en-GB"/>
        </w:rPr>
        <w:t>The indexes vary between range 29% to</w:t>
      </w:r>
      <w:r w:rsidRPr="008573C5">
        <w:t xml:space="preserve"> </w:t>
      </w:r>
      <w:r w:rsidRPr="008573C5">
        <w:rPr>
          <w:lang w:val="en-GB" w:eastAsia="en-GB"/>
        </w:rPr>
        <w:t>80%. They classif</w:t>
      </w:r>
      <w:r w:rsidR="003430D4" w:rsidRPr="008573C5">
        <w:rPr>
          <w:lang w:val="en-GB" w:eastAsia="en-GB"/>
        </w:rPr>
        <w:t>y</w:t>
      </w:r>
      <w:r w:rsidRPr="008573C5">
        <w:rPr>
          <w:lang w:val="en-GB" w:eastAsia="en-GB"/>
        </w:rPr>
        <w:t xml:space="preserve"> their independent variable into three categories, structure related</w:t>
      </w:r>
      <w:r w:rsidR="004B647B" w:rsidRPr="008573C5">
        <w:rPr>
          <w:lang w:val="en-GB" w:eastAsia="en-GB"/>
        </w:rPr>
        <w:t xml:space="preserve"> </w:t>
      </w:r>
      <w:r w:rsidR="002B00DB" w:rsidRPr="008573C5">
        <w:rPr>
          <w:lang w:val="en-GB" w:eastAsia="en-GB"/>
        </w:rPr>
        <w:t>(</w:t>
      </w:r>
      <w:r w:rsidRPr="008573C5">
        <w:rPr>
          <w:lang w:val="en-GB" w:eastAsia="en-GB"/>
        </w:rPr>
        <w:t>total assets, total sales and gearing), performance-related</w:t>
      </w:r>
      <w:r w:rsidR="00C62B47" w:rsidRPr="008573C5">
        <w:rPr>
          <w:lang w:val="en-GB" w:eastAsia="en-GB"/>
        </w:rPr>
        <w:t xml:space="preserve"> </w:t>
      </w:r>
      <w:r w:rsidR="00D01247" w:rsidRPr="008573C5">
        <w:rPr>
          <w:lang w:val="en-GB" w:eastAsia="en-GB"/>
        </w:rPr>
        <w:t>(</w:t>
      </w:r>
      <w:r w:rsidRPr="008573C5">
        <w:rPr>
          <w:lang w:val="en-GB" w:eastAsia="en-GB"/>
        </w:rPr>
        <w:t>liquidity ratio, earnings return and profit margin) and market-related variables</w:t>
      </w:r>
      <w:r w:rsidR="00C62B47" w:rsidRPr="008573C5">
        <w:rPr>
          <w:lang w:val="en-GB" w:eastAsia="en-GB"/>
        </w:rPr>
        <w:t xml:space="preserve"> </w:t>
      </w:r>
      <w:r w:rsidRPr="008573C5">
        <w:rPr>
          <w:lang w:val="en-GB" w:eastAsia="en-GB"/>
        </w:rPr>
        <w:t>(auditor type, industry type, listing status</w:t>
      </w:r>
      <w:r w:rsidR="004154E2" w:rsidRPr="008573C5">
        <w:rPr>
          <w:lang w:val="en-GB" w:eastAsia="en-GB"/>
        </w:rPr>
        <w:t>)</w:t>
      </w:r>
      <w:r w:rsidRPr="008573C5">
        <w:rPr>
          <w:lang w:val="en-GB" w:eastAsia="en-GB"/>
        </w:rPr>
        <w:t>. Using regression analysis</w:t>
      </w:r>
      <w:r w:rsidR="003430D4" w:rsidRPr="008573C5">
        <w:rPr>
          <w:lang w:val="en-GB" w:eastAsia="en-GB"/>
        </w:rPr>
        <w:t>, the index of disclosure varies</w:t>
      </w:r>
      <w:r w:rsidRPr="008573C5">
        <w:rPr>
          <w:lang w:val="en-GB" w:eastAsia="en-GB"/>
        </w:rPr>
        <w:t xml:space="preserve"> significantly positive with firm size. This result is in line with discoveries of Cerf an</w:t>
      </w:r>
      <w:r w:rsidR="003313F2" w:rsidRPr="008573C5">
        <w:rPr>
          <w:lang w:val="en-GB" w:eastAsia="en-GB"/>
        </w:rPr>
        <w:t>d Cooke</w:t>
      </w:r>
      <w:r w:rsidRPr="008573C5">
        <w:rPr>
          <w:lang w:val="en-GB" w:eastAsia="en-GB"/>
        </w:rPr>
        <w:t>.</w:t>
      </w:r>
      <w:r w:rsidR="003430D4" w:rsidRPr="008573C5">
        <w:rPr>
          <w:lang w:val="en-GB" w:eastAsia="en-GB"/>
        </w:rPr>
        <w:t xml:space="preserve"> The coefficient of liquidity i</w:t>
      </w:r>
      <w:r w:rsidRPr="008573C5">
        <w:rPr>
          <w:lang w:val="en-GB" w:eastAsia="en-GB"/>
        </w:rPr>
        <w:t>s found to be significantly negative, which implies that the Spanish firms with low liquidity disclose less information. The result also indicates that comprehensive disclosure increase</w:t>
      </w:r>
      <w:r w:rsidR="003430D4" w:rsidRPr="008573C5">
        <w:rPr>
          <w:lang w:val="en-GB" w:eastAsia="en-GB"/>
        </w:rPr>
        <w:t>s</w:t>
      </w:r>
      <w:r w:rsidRPr="008573C5">
        <w:rPr>
          <w:lang w:val="en-GB" w:eastAsia="en-GB"/>
        </w:rPr>
        <w:t xml:space="preserve"> with listing status.</w:t>
      </w:r>
      <w:r w:rsidRPr="008573C5">
        <w:t xml:space="preserve"> The research provides evidence that the amount of detail in Spanish corporate annual reports and accounts is increasing in firm size and stock exchange listing, and decreasing in liquidity. The limitations noticed about this study are as follows: firstly, using 50 firms may not give a stable regression equation</w:t>
      </w:r>
      <w:r w:rsidR="004154E2" w:rsidRPr="008573C5">
        <w:t>,</w:t>
      </w:r>
      <w:r w:rsidRPr="008573C5">
        <w:t xml:space="preserve"> to achieve stability the number of firms could be increased to 100 or more. Secondly, the study focused only on 16 disclosure items, the result might be different if more items are considered and lastly the study excluded the financial sector perhaps the result m</w:t>
      </w:r>
      <w:r w:rsidR="003430D4" w:rsidRPr="008573C5">
        <w:t>ight be better if this sector i</w:t>
      </w:r>
      <w:r w:rsidRPr="008573C5">
        <w:t>s included.</w:t>
      </w:r>
    </w:p>
    <w:p w:rsidR="00FF5EDF" w:rsidRPr="008573C5" w:rsidRDefault="00FF5EDF" w:rsidP="00FF5EDF">
      <w:pPr>
        <w:autoSpaceDE w:val="0"/>
        <w:autoSpaceDN w:val="0"/>
        <w:adjustRightInd w:val="0"/>
        <w:spacing w:line="360" w:lineRule="auto"/>
        <w:jc w:val="both"/>
      </w:pPr>
    </w:p>
    <w:p w:rsidR="00FF5EDF" w:rsidRPr="008573C5" w:rsidRDefault="00FF5EDF" w:rsidP="00FF5EDF">
      <w:pPr>
        <w:autoSpaceDE w:val="0"/>
        <w:autoSpaceDN w:val="0"/>
        <w:adjustRightInd w:val="0"/>
        <w:spacing w:line="360" w:lineRule="auto"/>
        <w:jc w:val="both"/>
      </w:pPr>
      <w:r w:rsidRPr="008573C5">
        <w:t>To extend the previous studies to transnational levels, Meek et al</w:t>
      </w:r>
      <w:r w:rsidR="003E3FA4" w:rsidRPr="008573C5">
        <w:t>.</w:t>
      </w:r>
      <w:r w:rsidR="00396280" w:rsidRPr="008573C5">
        <w:t xml:space="preserve"> </w:t>
      </w:r>
      <w:r w:rsidRPr="008573C5">
        <w:t>(1995</w:t>
      </w:r>
      <w:r w:rsidR="008F75A9" w:rsidRPr="008573C5">
        <w:t>:555</w:t>
      </w:r>
      <w:r w:rsidRPr="008573C5">
        <w:t>) examine the factors affecting voluntary disclosures by United Kingdom, United States and Continental Europe multinational companies. These factors are classified into strategic, financial and non-financial using 1989 annual reports. The explanatory variables considered are company size, country of origin, leverage, profitability, industry and degree of multinationality. Disclosur</w:t>
      </w:r>
      <w:r w:rsidR="00A87477" w:rsidRPr="008573C5">
        <w:t>e scores and disclosure index a</w:t>
      </w:r>
      <w:r w:rsidRPr="008573C5">
        <w:t>re created by utilizing the additive and unweighted method of Cooke</w:t>
      </w:r>
      <w:r w:rsidR="00396280" w:rsidRPr="008573C5">
        <w:t xml:space="preserve"> </w:t>
      </w:r>
      <w:r w:rsidR="00E92959" w:rsidRPr="008573C5">
        <w:t>(</w:t>
      </w:r>
      <w:r w:rsidRPr="008573C5">
        <w:t>1989</w:t>
      </w:r>
      <w:r w:rsidR="008F75A9" w:rsidRPr="008573C5">
        <w:t>:113</w:t>
      </w:r>
      <w:r w:rsidRPr="008573C5">
        <w:t>). They report</w:t>
      </w:r>
      <w:r w:rsidR="00A87477" w:rsidRPr="008573C5">
        <w:t xml:space="preserve"> that</w:t>
      </w:r>
      <w:r w:rsidRPr="008573C5">
        <w:t xml:space="preserve"> the results were statistically significant for on the overall level and information type with explained variation of 14%, 46% and 33% in the case of financial, nonfinancial and strategic information respectively. Country, international listing status and company size are the three most important variables measuring voluntary disclosure.</w:t>
      </w:r>
      <w:r w:rsidR="008F75A9" w:rsidRPr="008573C5">
        <w:t xml:space="preserve"> </w:t>
      </w:r>
      <w:r w:rsidRPr="008573C5">
        <w:t>Industry is influential in cases of financial and nonfinancial but not strategic informat</w:t>
      </w:r>
      <w:r w:rsidR="008F75A9" w:rsidRPr="008573C5">
        <w:t xml:space="preserve">ion. </w:t>
      </w:r>
    </w:p>
    <w:p w:rsidR="00C62B47" w:rsidRPr="008573C5" w:rsidRDefault="00C62B47" w:rsidP="00FF5EDF">
      <w:pPr>
        <w:autoSpaceDE w:val="0"/>
        <w:autoSpaceDN w:val="0"/>
        <w:adjustRightInd w:val="0"/>
        <w:spacing w:line="360" w:lineRule="auto"/>
        <w:jc w:val="both"/>
      </w:pPr>
    </w:p>
    <w:p w:rsidR="003E3FA4" w:rsidRPr="008573C5" w:rsidRDefault="00FF5EDF" w:rsidP="00FF5EDF">
      <w:pPr>
        <w:autoSpaceDE w:val="0"/>
        <w:autoSpaceDN w:val="0"/>
        <w:adjustRightInd w:val="0"/>
        <w:spacing w:line="360" w:lineRule="auto"/>
        <w:jc w:val="both"/>
      </w:pPr>
      <w:r w:rsidRPr="008573C5">
        <w:t xml:space="preserve">Asian Countries of Hong Kong, Singapore and China </w:t>
      </w:r>
      <w:r w:rsidR="00A87477" w:rsidRPr="008573C5">
        <w:t>a</w:t>
      </w:r>
      <w:r w:rsidR="004154E2" w:rsidRPr="008573C5">
        <w:t>re</w:t>
      </w:r>
      <w:r w:rsidRPr="008573C5">
        <w:t xml:space="preserve"> investigated in prior literature. Some of these studies are for Hong Kong by Wallace and Naser</w:t>
      </w:r>
      <w:r w:rsidR="008F75A9" w:rsidRPr="008573C5">
        <w:t xml:space="preserve"> </w:t>
      </w:r>
      <w:r w:rsidRPr="008573C5">
        <w:t>(1995</w:t>
      </w:r>
      <w:r w:rsidR="008F75A9" w:rsidRPr="008573C5">
        <w:t>:311</w:t>
      </w:r>
      <w:r w:rsidRPr="008573C5">
        <w:t>) and Ferguson et al (2002</w:t>
      </w:r>
      <w:r w:rsidR="008F75A9" w:rsidRPr="008573C5">
        <w:t>:125</w:t>
      </w:r>
      <w:r w:rsidRPr="008573C5">
        <w:t>), for China by Xiao (1999</w:t>
      </w:r>
      <w:r w:rsidR="008F75A9" w:rsidRPr="008573C5">
        <w:t>:349</w:t>
      </w:r>
      <w:r w:rsidRPr="008573C5">
        <w:t>), and for both Hong Kong and Singapore investigated by Chau and Gray (2002</w:t>
      </w:r>
      <w:r w:rsidR="008F75A9" w:rsidRPr="008573C5">
        <w:t>:247</w:t>
      </w:r>
      <w:r w:rsidRPr="008573C5">
        <w:t>). Wallace and Naser</w:t>
      </w:r>
      <w:r w:rsidR="00396280" w:rsidRPr="008573C5">
        <w:t xml:space="preserve"> </w:t>
      </w:r>
      <w:r w:rsidRPr="008573C5">
        <w:t>(1995</w:t>
      </w:r>
      <w:r w:rsidR="008F75A9" w:rsidRPr="008573C5">
        <w:t>:311</w:t>
      </w:r>
      <w:r w:rsidRPr="008573C5">
        <w:t xml:space="preserve">) </w:t>
      </w:r>
      <w:r w:rsidR="00A87477" w:rsidRPr="008573C5">
        <w:t>investigate</w:t>
      </w:r>
      <w:r w:rsidRPr="008573C5">
        <w:t xml:space="preserve"> the multivariate impact of selected firm characteristics on corporate annual reports. The principal objective of the study is to provide additional insight to the corporate reporting and accounting practices of the newly industrialized nation at that time. Eighty firms listed on the Stock Exchange of Hong Kong </w:t>
      </w:r>
      <w:r w:rsidR="00A87477" w:rsidRPr="008573C5">
        <w:t>a</w:t>
      </w:r>
      <w:r w:rsidRPr="008573C5">
        <w:t xml:space="preserve">re utilized for the study with annual year end 1991. Eleven variables </w:t>
      </w:r>
      <w:r w:rsidR="00A87477" w:rsidRPr="008573C5">
        <w:t>a</w:t>
      </w:r>
      <w:r w:rsidRPr="008573C5">
        <w:t xml:space="preserve">re selected as explanatory variables </w:t>
      </w:r>
      <w:r w:rsidR="00A87477" w:rsidRPr="008573C5">
        <w:t>which are</w:t>
      </w:r>
      <w:r w:rsidRPr="008573C5">
        <w:t xml:space="preserve"> broken down into performance-related, structure-related and market-related</w:t>
      </w:r>
      <w:r w:rsidR="00A87477" w:rsidRPr="008573C5">
        <w:t>. T</w:t>
      </w:r>
      <w:r w:rsidRPr="008573C5">
        <w:t>his is in line with the previous studies o</w:t>
      </w:r>
      <w:r w:rsidR="00E01443" w:rsidRPr="008573C5">
        <w:t xml:space="preserve">f </w:t>
      </w:r>
      <w:r w:rsidR="002B1157" w:rsidRPr="008573C5">
        <w:t>Wallace et al</w:t>
      </w:r>
      <w:r w:rsidR="00E01443" w:rsidRPr="008573C5">
        <w:t>.</w:t>
      </w:r>
      <w:r w:rsidR="003E3FA4" w:rsidRPr="008573C5">
        <w:t xml:space="preserve"> </w:t>
      </w:r>
      <w:r w:rsidR="002B1157" w:rsidRPr="008573C5">
        <w:t>(1994:44</w:t>
      </w:r>
      <w:r w:rsidRPr="008573C5">
        <w:t xml:space="preserve">). </w:t>
      </w:r>
    </w:p>
    <w:p w:rsidR="003E3FA4" w:rsidRPr="008573C5" w:rsidRDefault="003E3FA4" w:rsidP="00FF5EDF">
      <w:pPr>
        <w:autoSpaceDE w:val="0"/>
        <w:autoSpaceDN w:val="0"/>
        <w:adjustRightInd w:val="0"/>
        <w:spacing w:line="360" w:lineRule="auto"/>
        <w:jc w:val="both"/>
      </w:pPr>
    </w:p>
    <w:p w:rsidR="003E3FA4" w:rsidRPr="008573C5" w:rsidRDefault="003E3FA4" w:rsidP="00FF5EDF">
      <w:pPr>
        <w:autoSpaceDE w:val="0"/>
        <w:autoSpaceDN w:val="0"/>
        <w:adjustRightInd w:val="0"/>
        <w:spacing w:line="360" w:lineRule="auto"/>
        <w:jc w:val="both"/>
        <w:rPr>
          <w:lang w:val="en-GB" w:eastAsia="en-GB"/>
        </w:rPr>
      </w:pPr>
      <w:r w:rsidRPr="008573C5">
        <w:t>Wallace and Naser</w:t>
      </w:r>
      <w:r w:rsidR="00FF5EDF" w:rsidRPr="008573C5">
        <w:t xml:space="preserve"> utilize a scoring scheme and researcher-created indexes similar to Wallace et al. </w:t>
      </w:r>
      <w:r w:rsidR="00FF5EDF" w:rsidRPr="008573C5">
        <w:rPr>
          <w:bCs/>
          <w:lang w:val="en-GB" w:eastAsia="en-GB"/>
        </w:rPr>
        <w:t>A</w:t>
      </w:r>
      <w:r w:rsidR="00A87477" w:rsidRPr="008573C5">
        <w:rPr>
          <w:bCs/>
          <w:lang w:val="en-GB" w:eastAsia="en-GB"/>
        </w:rPr>
        <w:t xml:space="preserve"> set of eleven characteristics are</w:t>
      </w:r>
      <w:r w:rsidR="00FF5EDF" w:rsidRPr="008573C5">
        <w:rPr>
          <w:bCs/>
          <w:lang w:val="en-GB" w:eastAsia="en-GB"/>
        </w:rPr>
        <w:t xml:space="preserve"> examined as determinants of researcher constructed indexes of the comprehensiveness of disclosure in the annual reports. </w:t>
      </w:r>
      <w:r w:rsidR="00A87477" w:rsidRPr="008573C5">
        <w:rPr>
          <w:lang w:val="en-GB" w:eastAsia="en-GB"/>
        </w:rPr>
        <w:t>Some variables a</w:t>
      </w:r>
      <w:r w:rsidR="00FF5EDF" w:rsidRPr="008573C5">
        <w:rPr>
          <w:lang w:val="en-GB" w:eastAsia="en-GB"/>
        </w:rPr>
        <w:t xml:space="preserve">re transformed using natural logarithmic conversion to reduce their skewness and the potential size effects of these variables on the regression equations. </w:t>
      </w:r>
      <w:r w:rsidR="00FF5EDF" w:rsidRPr="008573C5">
        <w:rPr>
          <w:bCs/>
          <w:lang w:val="en-GB" w:eastAsia="en-GB"/>
        </w:rPr>
        <w:t>Two regression models (the unranked OLS and the ranked OLS procedure</w:t>
      </w:r>
      <w:r w:rsidR="00A87477" w:rsidRPr="008573C5">
        <w:rPr>
          <w:bCs/>
          <w:lang w:val="en-GB" w:eastAsia="en-GB"/>
        </w:rPr>
        <w:t>s) a</w:t>
      </w:r>
      <w:r w:rsidR="00FF5EDF" w:rsidRPr="008573C5">
        <w:rPr>
          <w:bCs/>
          <w:lang w:val="en-GB" w:eastAsia="en-GB"/>
        </w:rPr>
        <w:t>re used</w:t>
      </w:r>
      <w:r w:rsidR="00A87477" w:rsidRPr="008573C5">
        <w:rPr>
          <w:bCs/>
          <w:lang w:val="en-GB" w:eastAsia="en-GB"/>
        </w:rPr>
        <w:t xml:space="preserve"> and the reported conclusions a</w:t>
      </w:r>
      <w:r w:rsidR="00FF5EDF" w:rsidRPr="008573C5">
        <w:rPr>
          <w:bCs/>
          <w:lang w:val="en-GB" w:eastAsia="en-GB"/>
        </w:rPr>
        <w:t xml:space="preserve">re generally based on the more robust (ranked OLS) models though the results from the unranked OLS regressions were not dissimilar. </w:t>
      </w:r>
      <w:r w:rsidR="004154E2" w:rsidRPr="008573C5">
        <w:t>Their findings give</w:t>
      </w:r>
      <w:r w:rsidR="00FF5EDF" w:rsidRPr="008573C5">
        <w:t xml:space="preserve"> evidence that the disclosure indexes vary positively with asset size </w:t>
      </w:r>
      <w:r w:rsidR="00FF5EDF" w:rsidRPr="008573C5">
        <w:rPr>
          <w:lang w:val="en-GB" w:eastAsia="en-GB"/>
        </w:rPr>
        <w:t>and in line with the results from previous research (e.g., Cerf 1961</w:t>
      </w:r>
      <w:r w:rsidR="002B1157" w:rsidRPr="008573C5">
        <w:rPr>
          <w:lang w:val="en-GB" w:eastAsia="en-GB"/>
        </w:rPr>
        <w:t>:</w:t>
      </w:r>
      <w:r w:rsidR="00FF5EDF" w:rsidRPr="008573C5">
        <w:rPr>
          <w:lang w:val="en-GB" w:eastAsia="en-GB"/>
        </w:rPr>
        <w:t>31; Singhvi and Desai 1971</w:t>
      </w:r>
      <w:r w:rsidR="002B1157" w:rsidRPr="008573C5">
        <w:rPr>
          <w:lang w:val="en-GB" w:eastAsia="en-GB"/>
        </w:rPr>
        <w:t>:</w:t>
      </w:r>
      <w:r w:rsidR="00FF5EDF" w:rsidRPr="008573C5">
        <w:rPr>
          <w:lang w:val="en-GB" w:eastAsia="en-GB"/>
        </w:rPr>
        <w:t>137; Firth 1979</w:t>
      </w:r>
      <w:r w:rsidR="002B1157" w:rsidRPr="008573C5">
        <w:rPr>
          <w:lang w:val="en-GB" w:eastAsia="en-GB"/>
        </w:rPr>
        <w:t>:</w:t>
      </w:r>
      <w:r w:rsidR="00FF5EDF" w:rsidRPr="008573C5">
        <w:rPr>
          <w:lang w:val="en-GB" w:eastAsia="en-GB"/>
        </w:rPr>
        <w:t xml:space="preserve"> 279; McNally et al. 1982</w:t>
      </w:r>
      <w:r w:rsidR="002B1157" w:rsidRPr="008573C5">
        <w:rPr>
          <w:lang w:val="en-GB" w:eastAsia="en-GB"/>
        </w:rPr>
        <w:t>:</w:t>
      </w:r>
      <w:r w:rsidR="00FF5EDF" w:rsidRPr="008573C5">
        <w:rPr>
          <w:lang w:val="en-GB" w:eastAsia="en-GB"/>
        </w:rPr>
        <w:t>16-17). T</w:t>
      </w:r>
      <w:r w:rsidR="00FF5EDF" w:rsidRPr="008573C5">
        <w:t>he</w:t>
      </w:r>
      <w:r w:rsidR="00A87477" w:rsidRPr="008573C5">
        <w:t xml:space="preserve"> scope of business operations i</w:t>
      </w:r>
      <w:r w:rsidR="00FF5EDF" w:rsidRPr="008573C5">
        <w:t>s also significantly positive. Profit margin</w:t>
      </w:r>
      <w:r w:rsidR="00F361C0" w:rsidRPr="008573C5">
        <w:rPr>
          <w:lang w:val="en-GB" w:eastAsia="en-GB"/>
        </w:rPr>
        <w:t xml:space="preserve"> i</w:t>
      </w:r>
      <w:r w:rsidR="00FF5EDF" w:rsidRPr="008573C5">
        <w:rPr>
          <w:lang w:val="en-GB" w:eastAsia="en-GB"/>
        </w:rPr>
        <w:t>s significantly negative suggesting that HK firms w</w:t>
      </w:r>
      <w:r w:rsidR="00F361C0" w:rsidRPr="008573C5">
        <w:rPr>
          <w:lang w:val="en-GB" w:eastAsia="en-GB"/>
        </w:rPr>
        <w:t>ith higher profit margins tend</w:t>
      </w:r>
      <w:r w:rsidR="00FF5EDF" w:rsidRPr="008573C5">
        <w:rPr>
          <w:lang w:val="en-GB" w:eastAsia="en-GB"/>
        </w:rPr>
        <w:t xml:space="preserve"> to provide less detailed information in their CARs. The variable representin</w:t>
      </w:r>
      <w:r w:rsidR="00F361C0" w:rsidRPr="008573C5">
        <w:rPr>
          <w:lang w:val="en-GB" w:eastAsia="en-GB"/>
        </w:rPr>
        <w:t>g conglomerate status (scope) i</w:t>
      </w:r>
      <w:r w:rsidR="00FF5EDF" w:rsidRPr="008573C5">
        <w:rPr>
          <w:lang w:val="en-GB" w:eastAsia="en-GB"/>
        </w:rPr>
        <w:t>s also significantly negative, suggesting that HK firms which are not conglomerates</w:t>
      </w:r>
      <w:r w:rsidR="00F361C0" w:rsidRPr="008573C5">
        <w:rPr>
          <w:lang w:val="en-GB" w:eastAsia="en-GB"/>
        </w:rPr>
        <w:t xml:space="preserve"> tend</w:t>
      </w:r>
      <w:r w:rsidR="00FF5EDF" w:rsidRPr="008573C5">
        <w:rPr>
          <w:lang w:val="en-GB" w:eastAsia="en-GB"/>
        </w:rPr>
        <w:t xml:space="preserve"> to provide less detail in their annual reports. They also f</w:t>
      </w:r>
      <w:r w:rsidR="00F361C0" w:rsidRPr="008573C5">
        <w:rPr>
          <w:lang w:val="en-GB" w:eastAsia="en-GB"/>
        </w:rPr>
        <w:t>ind</w:t>
      </w:r>
      <w:r w:rsidR="00FF5EDF" w:rsidRPr="008573C5">
        <w:rPr>
          <w:lang w:val="en-GB" w:eastAsia="en-GB"/>
        </w:rPr>
        <w:t xml:space="preserve"> that m</w:t>
      </w:r>
      <w:r w:rsidR="00FF5EDF" w:rsidRPr="008573C5">
        <w:rPr>
          <w:bCs/>
          <w:lang w:val="en-GB" w:eastAsia="en-GB"/>
        </w:rPr>
        <w:t>arket capitalization, liquidity ratios, earnings return on equity, and ou</w:t>
      </w:r>
      <w:r w:rsidR="00F361C0" w:rsidRPr="008573C5">
        <w:rPr>
          <w:bCs/>
          <w:lang w:val="en-GB" w:eastAsia="en-GB"/>
        </w:rPr>
        <w:t>tside shareholders' interests a</w:t>
      </w:r>
      <w:r w:rsidR="00FF5EDF" w:rsidRPr="008573C5">
        <w:rPr>
          <w:bCs/>
          <w:lang w:val="en-GB" w:eastAsia="en-GB"/>
        </w:rPr>
        <w:t>re less useful in explaining variation in disclosure indexes.</w:t>
      </w:r>
      <w:r w:rsidR="00FF5EDF" w:rsidRPr="008573C5">
        <w:rPr>
          <w:lang w:val="en-GB" w:eastAsia="en-GB"/>
        </w:rPr>
        <w:t xml:space="preserve"> The study</w:t>
      </w:r>
      <w:r w:rsidR="00F361C0" w:rsidRPr="008573C5">
        <w:rPr>
          <w:lang w:val="en-GB" w:eastAsia="en-GB"/>
        </w:rPr>
        <w:t xml:space="preserve"> i</w:t>
      </w:r>
      <w:r w:rsidR="00FF5EDF" w:rsidRPr="008573C5">
        <w:rPr>
          <w:lang w:val="en-GB" w:eastAsia="en-GB"/>
        </w:rPr>
        <w:t>s criti</w:t>
      </w:r>
      <w:r w:rsidR="00396280" w:rsidRPr="008573C5">
        <w:rPr>
          <w:lang w:val="en-GB" w:eastAsia="en-GB"/>
        </w:rPr>
        <w:t>ci</w:t>
      </w:r>
      <w:r w:rsidR="002A6392" w:rsidRPr="008573C5">
        <w:rPr>
          <w:lang w:val="en-GB" w:eastAsia="en-GB"/>
        </w:rPr>
        <w:t>s</w:t>
      </w:r>
      <w:r w:rsidR="00FF5EDF" w:rsidRPr="008573C5">
        <w:rPr>
          <w:lang w:val="en-GB" w:eastAsia="en-GB"/>
        </w:rPr>
        <w:t>ed for evaluation of mandatory items only, thus ignoring voluntary disclosure items. Perhaps the disclosure indexes on non-mandatory items may reveal a profile different from the one reported in this study.</w:t>
      </w:r>
    </w:p>
    <w:p w:rsidR="003E3FA4" w:rsidRPr="008573C5" w:rsidRDefault="003E3FA4" w:rsidP="00FF5EDF">
      <w:pPr>
        <w:autoSpaceDE w:val="0"/>
        <w:autoSpaceDN w:val="0"/>
        <w:adjustRightInd w:val="0"/>
        <w:spacing w:line="360" w:lineRule="auto"/>
        <w:jc w:val="both"/>
        <w:rPr>
          <w:lang w:val="en-GB" w:eastAsia="en-GB"/>
        </w:rPr>
      </w:pPr>
    </w:p>
    <w:p w:rsidR="00FF5EDF" w:rsidRPr="008573C5" w:rsidRDefault="00FF5EDF" w:rsidP="00FF5EDF">
      <w:pPr>
        <w:autoSpaceDE w:val="0"/>
        <w:autoSpaceDN w:val="0"/>
        <w:adjustRightInd w:val="0"/>
        <w:spacing w:line="360" w:lineRule="auto"/>
        <w:jc w:val="both"/>
      </w:pPr>
      <w:r w:rsidRPr="008573C5">
        <w:rPr>
          <w:lang w:val="en-GB" w:eastAsia="en-GB"/>
        </w:rPr>
        <w:t xml:space="preserve">Further to the study on the stock exchange of Hong Kong, </w:t>
      </w:r>
      <w:r w:rsidRPr="008573C5">
        <w:t>Ferguson et al</w:t>
      </w:r>
      <w:r w:rsidR="00C02425" w:rsidRPr="008573C5">
        <w:t>.</w:t>
      </w:r>
      <w:r w:rsidRPr="008573C5">
        <w:t xml:space="preserve"> (2002</w:t>
      </w:r>
      <w:r w:rsidR="008F75A9" w:rsidRPr="008573C5">
        <w:t>:125</w:t>
      </w:r>
      <w:r w:rsidR="00742541" w:rsidRPr="008573C5">
        <w:t>)</w:t>
      </w:r>
      <w:r w:rsidRPr="008573C5">
        <w:t xml:space="preserve"> examine the impact of international capital market pressures on voluntary disclosure of former state owned enterprises in China listed at the stock exchange of Hong Kong. They assess the disclosure of strategic, financial and non-financial information using five independent variables namely firm type, firm s</w:t>
      </w:r>
      <w:r w:rsidR="002A6392" w:rsidRPr="008573C5">
        <w:t>ize (logarithm of total assets)</w:t>
      </w:r>
      <w:r w:rsidRPr="008573C5">
        <w:t>, leverage ( ratio of long term liability to stockholders equity), industry (utilities and electronic firms), multiple-listing. They f</w:t>
      </w:r>
      <w:r w:rsidR="00E94AA0" w:rsidRPr="008573C5">
        <w:t>ind</w:t>
      </w:r>
      <w:r w:rsidRPr="008573C5">
        <w:t xml:space="preserve"> that overall disclosure scores are highly variable ranging from 0.03 to 0.44.  Disclosure by type of information varies </w:t>
      </w:r>
      <w:r w:rsidR="00742541" w:rsidRPr="008573C5">
        <w:t>considerably</w:t>
      </w:r>
      <w:r w:rsidR="00E94AA0" w:rsidRPr="008573C5">
        <w:t>. T</w:t>
      </w:r>
      <w:r w:rsidRPr="008573C5">
        <w:t>his is consistent with the studies of Meek et al</w:t>
      </w:r>
      <w:r w:rsidR="008F75A9" w:rsidRPr="008573C5">
        <w:t xml:space="preserve"> </w:t>
      </w:r>
      <w:r w:rsidRPr="008573C5">
        <w:t>(1995</w:t>
      </w:r>
      <w:r w:rsidR="00666EC5" w:rsidRPr="008573C5">
        <w:t>:565</w:t>
      </w:r>
      <w:r w:rsidR="00E94AA0" w:rsidRPr="008573C5">
        <w:t>). Leverage i</w:t>
      </w:r>
      <w:r w:rsidRPr="008573C5">
        <w:t>s found to have an effect on the type of information disclosed.</w:t>
      </w:r>
      <w:r w:rsidR="00E94AA0" w:rsidRPr="008573C5">
        <w:t xml:space="preserve"> It i</w:t>
      </w:r>
      <w:r w:rsidR="002A6392" w:rsidRPr="008573C5">
        <w:t>s</w:t>
      </w:r>
      <w:r w:rsidRPr="008573C5">
        <w:t xml:space="preserve"> discovered that these firms disclose significantly more strategic and financial information than other listed firms at the Hong Kong Stock Exchange. </w:t>
      </w:r>
    </w:p>
    <w:p w:rsidR="00FF5EDF" w:rsidRPr="008573C5" w:rsidRDefault="00FF5EDF" w:rsidP="00FF5EDF">
      <w:pPr>
        <w:autoSpaceDE w:val="0"/>
        <w:autoSpaceDN w:val="0"/>
        <w:adjustRightInd w:val="0"/>
        <w:spacing w:line="360" w:lineRule="auto"/>
        <w:jc w:val="both"/>
      </w:pPr>
    </w:p>
    <w:p w:rsidR="00FF5EDF" w:rsidRPr="008573C5" w:rsidRDefault="00FF5EDF" w:rsidP="00FF5EDF">
      <w:pPr>
        <w:autoSpaceDE w:val="0"/>
        <w:autoSpaceDN w:val="0"/>
        <w:adjustRightInd w:val="0"/>
        <w:spacing w:line="360" w:lineRule="auto"/>
        <w:jc w:val="both"/>
      </w:pPr>
      <w:r w:rsidRPr="008573C5">
        <w:t>Xiao (1999</w:t>
      </w:r>
      <w:r w:rsidR="00666EC5" w:rsidRPr="008573C5">
        <w:t>:349</w:t>
      </w:r>
      <w:r w:rsidRPr="008573C5">
        <w:t xml:space="preserve">) investigates the current corporate disclosure requirements placed upon Chinese listed companies and the level of compliance with them. </w:t>
      </w:r>
      <w:r w:rsidRPr="008573C5">
        <w:rPr>
          <w:lang w:val="en-GB" w:eastAsia="en-GB"/>
        </w:rPr>
        <w:t>China operated a planned economic system until the late 1970s when it started its economic reform program</w:t>
      </w:r>
      <w:r w:rsidR="004154E2" w:rsidRPr="008573C5">
        <w:rPr>
          <w:lang w:val="en-GB" w:eastAsia="en-GB"/>
        </w:rPr>
        <w:t>me</w:t>
      </w:r>
      <w:r w:rsidRPr="008573C5">
        <w:rPr>
          <w:lang w:val="en-GB" w:eastAsia="en-GB"/>
        </w:rPr>
        <w:t xml:space="preserve"> and adopted an open door policy. Under the old system, all enterprises were either state-owned run directly by the government, with little room for market mechanisms. Economic reforms of the 1970s and the adoption of the open door policy, however, have resulted in dramatic changes to the disclosure environment. Xiao </w:t>
      </w:r>
      <w:r w:rsidRPr="008573C5">
        <w:t xml:space="preserve">uses descriptive analysis on 10 categories of information in annual reports of 13 companies. The ten informative items are, brief introduction of the company, three-year summary of accounting and operations data, Chairman or managing director's statement, Directors' report, Financial statements, Statement of material events, Description of related companies, Notice of the AGM, Other information and Reference information. Although this study was not statistically analyzed, it was reported that the general level of compliance appeared to be high.  </w:t>
      </w:r>
    </w:p>
    <w:p w:rsidR="00FF5EDF" w:rsidRPr="008573C5" w:rsidRDefault="00FF5EDF" w:rsidP="00FF5EDF">
      <w:pPr>
        <w:spacing w:line="360" w:lineRule="auto"/>
        <w:jc w:val="both"/>
      </w:pPr>
    </w:p>
    <w:p w:rsidR="00FF5EDF" w:rsidRPr="008573C5" w:rsidRDefault="00605E14" w:rsidP="00FF5EDF">
      <w:pPr>
        <w:spacing w:line="360" w:lineRule="auto"/>
        <w:jc w:val="both"/>
        <w:rPr>
          <w:rFonts w:ascii="Times" w:hAnsi="Times" w:cs="Times"/>
        </w:rPr>
      </w:pPr>
      <w:r w:rsidRPr="008573C5">
        <w:t xml:space="preserve">The examination of the association between ownership structure and voluntary disclosure of listed companies in two Asian Countries of Hong Kong and Singapore is conducted by </w:t>
      </w:r>
      <w:r w:rsidR="00FF5EDF" w:rsidRPr="008573C5">
        <w:t>Chau and Gray (2002</w:t>
      </w:r>
      <w:r w:rsidR="00666EC5" w:rsidRPr="008573C5">
        <w:t>:247</w:t>
      </w:r>
      <w:r w:rsidR="00FF5EDF" w:rsidRPr="008573C5">
        <w:t>)</w:t>
      </w:r>
      <w:r w:rsidRPr="008573C5">
        <w:t>.</w:t>
      </w:r>
      <w:r w:rsidR="00FF5EDF" w:rsidRPr="008573C5">
        <w:t xml:space="preserve"> A linear multiple regression analysis </w:t>
      </w:r>
      <w:r w:rsidRPr="008573C5">
        <w:t>is</w:t>
      </w:r>
      <w:r w:rsidR="00FF5EDF" w:rsidRPr="008573C5">
        <w:t xml:space="preserve"> used to test the association between the dependent variable of voluntary disclosure and the independent variable of ownership structure. In addition to the ownership structure, a number of control variables </w:t>
      </w:r>
      <w:r w:rsidR="00C02425" w:rsidRPr="008573C5">
        <w:t>are</w:t>
      </w:r>
      <w:r w:rsidR="00FF5EDF" w:rsidRPr="008573C5">
        <w:t xml:space="preserve"> also included in the model to test the hypotheses. They find that the extent of outside ownership is positively associated with voluntary disclosures. In particular, the results also indicate that the level of information disclosure is likely to be less in family businesses. </w:t>
      </w:r>
    </w:p>
    <w:p w:rsidR="00FF5EDF" w:rsidRPr="008573C5" w:rsidRDefault="00FF5EDF" w:rsidP="00FF5EDF">
      <w:pPr>
        <w:autoSpaceDE w:val="0"/>
        <w:autoSpaceDN w:val="0"/>
        <w:adjustRightInd w:val="0"/>
        <w:spacing w:line="360" w:lineRule="auto"/>
        <w:jc w:val="both"/>
      </w:pPr>
    </w:p>
    <w:p w:rsidR="00FF5EDF" w:rsidRPr="008573C5" w:rsidRDefault="00E94AA0" w:rsidP="00FF5EDF">
      <w:pPr>
        <w:autoSpaceDE w:val="0"/>
        <w:autoSpaceDN w:val="0"/>
        <w:adjustRightInd w:val="0"/>
        <w:spacing w:line="360" w:lineRule="auto"/>
        <w:jc w:val="both"/>
      </w:pPr>
      <w:r w:rsidRPr="008573C5">
        <w:t>German companies a</w:t>
      </w:r>
      <w:r w:rsidR="00605E14" w:rsidRPr="008573C5">
        <w:t xml:space="preserve">re investigated by </w:t>
      </w:r>
      <w:r w:rsidR="00FF5EDF" w:rsidRPr="008573C5">
        <w:t>Glaum and Street</w:t>
      </w:r>
      <w:r w:rsidR="00666EC5" w:rsidRPr="008573C5">
        <w:t xml:space="preserve"> </w:t>
      </w:r>
      <w:r w:rsidR="00FF5EDF" w:rsidRPr="008573C5">
        <w:t>(2003</w:t>
      </w:r>
      <w:r w:rsidR="00666EC5" w:rsidRPr="008573C5">
        <w:t>:64</w:t>
      </w:r>
      <w:r w:rsidR="00FF5EDF" w:rsidRPr="008573C5">
        <w:t>)</w:t>
      </w:r>
      <w:r w:rsidR="00605E14" w:rsidRPr="008573C5">
        <w:t>. They</w:t>
      </w:r>
      <w:r w:rsidR="00FF5EDF" w:rsidRPr="008573C5">
        <w:t xml:space="preserve"> investigate the extent to which German companies comply with both the International Accounting Standards and United States Generally Accepted Accounting Principles</w:t>
      </w:r>
      <w:r w:rsidR="00434C4F" w:rsidRPr="008573C5">
        <w:t xml:space="preserve"> (GAAP)</w:t>
      </w:r>
      <w:r w:rsidR="00FF5EDF" w:rsidRPr="008573C5">
        <w:t>, the two predominant internationally accepted sets of standards. Using a sample of 200 companies in their year 2000 finan</w:t>
      </w:r>
      <w:r w:rsidRPr="008573C5">
        <w:t>cial statements, they discover</w:t>
      </w:r>
      <w:r w:rsidR="00FF5EDF" w:rsidRPr="008573C5">
        <w:t xml:space="preserve"> that compliance range</w:t>
      </w:r>
      <w:r w:rsidRPr="008573C5">
        <w:t>s</w:t>
      </w:r>
      <w:r w:rsidR="00FF5EDF" w:rsidRPr="008573C5">
        <w:t xml:space="preserve"> from 41.6% to 100%. The average compliance is 83.7% but significantly low for companies that</w:t>
      </w:r>
      <w:r w:rsidRPr="008573C5">
        <w:t xml:space="preserve"> apply IAS. They report</w:t>
      </w:r>
      <w:r w:rsidR="00FF5EDF" w:rsidRPr="008573C5">
        <w:t xml:space="preserve"> that th</w:t>
      </w:r>
      <w:r w:rsidRPr="008573C5">
        <w:t>e overall level of disclosure i</w:t>
      </w:r>
      <w:r w:rsidR="00FF5EDF" w:rsidRPr="008573C5">
        <w:t xml:space="preserve">s positively related to firms audited by Big 5 auditing firms and firms having cross-listings on US exchanges. Checks further reveal that </w:t>
      </w:r>
      <w:r w:rsidR="00C02425" w:rsidRPr="008573C5">
        <w:t>industry, country of origin, profitability, multinationality, ownership structure, firm age, and growth has</w:t>
      </w:r>
      <w:r w:rsidR="00FF5EDF" w:rsidRPr="008573C5">
        <w:t xml:space="preserve"> no significant impact on the companies’ disclosure practices.  Similar to the studies of Glaum and Street</w:t>
      </w:r>
      <w:r w:rsidR="00742541" w:rsidRPr="008573C5">
        <w:t xml:space="preserve"> </w:t>
      </w:r>
      <w:r w:rsidR="00FF5EDF" w:rsidRPr="008573C5">
        <w:t>(2003</w:t>
      </w:r>
      <w:r w:rsidR="00EB6FC0" w:rsidRPr="008573C5">
        <w:t>:64</w:t>
      </w:r>
      <w:r w:rsidR="00FF5EDF" w:rsidRPr="008573C5">
        <w:t>), Cuijpers and Buijink (2005</w:t>
      </w:r>
      <w:r w:rsidR="00EB6FC0" w:rsidRPr="008573C5">
        <w:t>:487</w:t>
      </w:r>
      <w:r w:rsidRPr="008573C5">
        <w:t>) use</w:t>
      </w:r>
      <w:r w:rsidR="00FF5EDF" w:rsidRPr="008573C5">
        <w:t xml:space="preserve"> IAS and US GAAP </w:t>
      </w:r>
      <w:r w:rsidR="00434C4F" w:rsidRPr="008573C5">
        <w:t>to examine</w:t>
      </w:r>
      <w:r w:rsidR="00FF5EDF" w:rsidRPr="008573C5">
        <w:t xml:space="preserve"> the extent of compliance and determinants of voluntary adoption of  these standards by firms listed and domiciled in the European Union (EU) for the period 1999. </w:t>
      </w:r>
      <w:r w:rsidR="00EB6394" w:rsidRPr="008573C5">
        <w:t>They f</w:t>
      </w:r>
      <w:r w:rsidRPr="008573C5">
        <w:t>ind</w:t>
      </w:r>
      <w:r w:rsidR="00EB6394" w:rsidRPr="008573C5">
        <w:t xml:space="preserve"> </w:t>
      </w:r>
      <w:r w:rsidR="00FF5EDF" w:rsidRPr="008573C5">
        <w:t xml:space="preserve">that firms voluntarily using nonlocal GAAP are more likely to be listed on a US exchange, the EASDAQ exchange in Brussels, and have more geographically dispersed operations. Furthermore, they are more likely to be domiciled in a country with lower quality financial reporting and where IAS is explicitly allowed as an alternative to local GAAP. </w:t>
      </w:r>
    </w:p>
    <w:p w:rsidR="00FF5EDF" w:rsidRPr="008573C5" w:rsidRDefault="00FF5EDF" w:rsidP="00FF5EDF">
      <w:pPr>
        <w:autoSpaceDE w:val="0"/>
        <w:autoSpaceDN w:val="0"/>
        <w:adjustRightInd w:val="0"/>
        <w:spacing w:line="360" w:lineRule="auto"/>
      </w:pPr>
    </w:p>
    <w:p w:rsidR="00FF5EDF" w:rsidRPr="008573C5" w:rsidRDefault="00605E14" w:rsidP="00FF5EDF">
      <w:pPr>
        <w:autoSpaceDE w:val="0"/>
        <w:autoSpaceDN w:val="0"/>
        <w:adjustRightInd w:val="0"/>
        <w:spacing w:line="360" w:lineRule="auto"/>
        <w:jc w:val="both"/>
      </w:pPr>
      <w:r w:rsidRPr="008573C5">
        <w:t>New Zealand</w:t>
      </w:r>
      <w:r w:rsidR="00E94AA0" w:rsidRPr="008573C5">
        <w:t xml:space="preserve"> companies a</w:t>
      </w:r>
      <w:r w:rsidRPr="008573C5">
        <w:t xml:space="preserve">re examined by </w:t>
      </w:r>
      <w:r w:rsidR="00FF5EDF" w:rsidRPr="008573C5">
        <w:t>Owusu-Ansah and Yeao (2005</w:t>
      </w:r>
      <w:r w:rsidR="00666EC5" w:rsidRPr="008573C5">
        <w:t>:92</w:t>
      </w:r>
      <w:r w:rsidR="00FF5EDF" w:rsidRPr="008573C5">
        <w:t>)</w:t>
      </w:r>
      <w:r w:rsidRPr="008573C5">
        <w:t xml:space="preserve">. </w:t>
      </w:r>
      <w:r w:rsidR="00FF5EDF" w:rsidRPr="008573C5">
        <w:rPr>
          <w:lang w:val="en-GB" w:eastAsia="en-GB"/>
        </w:rPr>
        <w:t xml:space="preserve">They </w:t>
      </w:r>
      <w:r w:rsidR="00FF5EDF" w:rsidRPr="008573C5">
        <w:t>investigate the effect of the Financial Reporting Act of 1993</w:t>
      </w:r>
      <w:r w:rsidR="003E4B66" w:rsidRPr="008573C5">
        <w:t xml:space="preserve"> </w:t>
      </w:r>
      <w:r w:rsidR="00FF5EDF" w:rsidRPr="008573C5">
        <w:t xml:space="preserve">(FRA) on mandatory disclosure practices of companies listed on the New Zealand Exchange Limited. The study covers a four-year period (i.e., 1 January 1992 to 31 December 1993, two consecutive years immediately </w:t>
      </w:r>
      <w:r w:rsidR="00FF5EDF" w:rsidRPr="008573C5">
        <w:rPr>
          <w:iCs/>
        </w:rPr>
        <w:t>before</w:t>
      </w:r>
      <w:r w:rsidR="00FF5EDF" w:rsidRPr="008573C5">
        <w:t xml:space="preserve"> and </w:t>
      </w:r>
      <w:r w:rsidR="00FF5EDF" w:rsidRPr="008573C5">
        <w:rPr>
          <w:iCs/>
        </w:rPr>
        <w:t>after</w:t>
      </w:r>
      <w:r w:rsidR="00FF5EDF" w:rsidRPr="008573C5">
        <w:t xml:space="preserve"> the effective date of the FRA. To quantify the mandatory disclosure practices of each company, a scoring template developed for each year under investigation </w:t>
      </w:r>
      <w:r w:rsidR="00E94AA0" w:rsidRPr="008573C5">
        <w:t>i</w:t>
      </w:r>
      <w:r w:rsidR="00FF5EDF" w:rsidRPr="008573C5">
        <w:t xml:space="preserve">s used to derive an index of mandatory disclosure. They use both univariate and multivariate analyses to examine the association between the levels of compliance with mandatory disclosure by the selected companies before and after the implementation of the FRA. </w:t>
      </w:r>
    </w:p>
    <w:p w:rsidR="00FF5EDF" w:rsidRPr="008573C5" w:rsidRDefault="00FF5EDF" w:rsidP="00FF5EDF">
      <w:pPr>
        <w:autoSpaceDE w:val="0"/>
        <w:autoSpaceDN w:val="0"/>
        <w:adjustRightInd w:val="0"/>
        <w:spacing w:line="360" w:lineRule="auto"/>
        <w:jc w:val="both"/>
      </w:pPr>
    </w:p>
    <w:p w:rsidR="00FF5EDF" w:rsidRPr="008573C5" w:rsidRDefault="00FF5EDF" w:rsidP="00FF5EDF">
      <w:pPr>
        <w:autoSpaceDE w:val="0"/>
        <w:autoSpaceDN w:val="0"/>
        <w:adjustRightInd w:val="0"/>
        <w:spacing w:line="360" w:lineRule="auto"/>
        <w:jc w:val="both"/>
      </w:pPr>
      <w:r w:rsidRPr="008573C5">
        <w:t>They f</w:t>
      </w:r>
      <w:r w:rsidR="00E94AA0" w:rsidRPr="008573C5">
        <w:t>in</w:t>
      </w:r>
      <w:r w:rsidRPr="008573C5">
        <w:t>d that mean corporate disclosure compliance levels in the periods after the enactment of the FRA are significantly higher than those in the periods before the enac</w:t>
      </w:r>
      <w:r w:rsidR="00EB6394" w:rsidRPr="008573C5">
        <w:t xml:space="preserve">tment of the legislation. They </w:t>
      </w:r>
      <w:r w:rsidR="00EB6394" w:rsidRPr="008573C5">
        <w:rPr>
          <w:lang w:val="en-GB" w:eastAsia="en-GB"/>
        </w:rPr>
        <w:t>control</w:t>
      </w:r>
      <w:r w:rsidRPr="008573C5">
        <w:rPr>
          <w:lang w:val="en-GB" w:eastAsia="en-GB"/>
        </w:rPr>
        <w:t xml:space="preserve"> only for the effects of seven company-specific characteristics which are company size, company age, liquidity, profitabi</w:t>
      </w:r>
      <w:r w:rsidR="00C02425" w:rsidRPr="008573C5">
        <w:rPr>
          <w:lang w:val="en-GB" w:eastAsia="en-GB"/>
        </w:rPr>
        <w:t>lity, management equity holding</w:t>
      </w:r>
      <w:r w:rsidRPr="008573C5">
        <w:rPr>
          <w:lang w:val="en-GB" w:eastAsia="en-GB"/>
        </w:rPr>
        <w:t>, auditor-type, and industry-</w:t>
      </w:r>
      <w:r w:rsidR="00E94AA0" w:rsidRPr="008573C5">
        <w:rPr>
          <w:lang w:val="en-GB" w:eastAsia="en-GB"/>
        </w:rPr>
        <w:t>type.  Three of the variables a</w:t>
      </w:r>
      <w:r w:rsidRPr="008573C5">
        <w:rPr>
          <w:lang w:val="en-GB" w:eastAsia="en-GB"/>
        </w:rPr>
        <w:t xml:space="preserve">re found to be statistically </w:t>
      </w:r>
      <w:r w:rsidR="00E06FD2" w:rsidRPr="008573C5">
        <w:rPr>
          <w:lang w:val="en-GB" w:eastAsia="en-GB"/>
        </w:rPr>
        <w:t>significant;</w:t>
      </w:r>
      <w:r w:rsidRPr="008573C5">
        <w:rPr>
          <w:lang w:val="en-GB" w:eastAsia="en-GB"/>
        </w:rPr>
        <w:t xml:space="preserve"> these are company size, auditor type, and profitability except for the auditor type they all have their expected signs. In the final analysis, the overall findings suggest</w:t>
      </w:r>
      <w:r w:rsidRPr="008573C5">
        <w:t xml:space="preserve"> </w:t>
      </w:r>
      <w:r w:rsidRPr="008573C5">
        <w:rPr>
          <w:i/>
          <w:iCs/>
          <w:lang w:val="en-GB" w:eastAsia="en-GB"/>
        </w:rPr>
        <w:t>ceteris paribus</w:t>
      </w:r>
      <w:r w:rsidRPr="008573C5">
        <w:rPr>
          <w:lang w:val="en-GB" w:eastAsia="en-GB"/>
        </w:rPr>
        <w:t>, that minimum corporate disclosure compliance levels between the pre- and post-FRA periods increased as a result of the implementation of the FRA.</w:t>
      </w:r>
    </w:p>
    <w:p w:rsidR="00FF5EDF" w:rsidRPr="008573C5" w:rsidRDefault="00FF5EDF" w:rsidP="00FF5EDF">
      <w:pPr>
        <w:autoSpaceDE w:val="0"/>
        <w:autoSpaceDN w:val="0"/>
        <w:adjustRightInd w:val="0"/>
        <w:spacing w:line="360" w:lineRule="auto"/>
        <w:jc w:val="both"/>
      </w:pPr>
    </w:p>
    <w:p w:rsidR="00FF5EDF" w:rsidRPr="008573C5" w:rsidRDefault="00C02425" w:rsidP="00FF5EDF">
      <w:pPr>
        <w:autoSpaceDE w:val="0"/>
        <w:autoSpaceDN w:val="0"/>
        <w:adjustRightInd w:val="0"/>
        <w:spacing w:line="360" w:lineRule="auto"/>
        <w:jc w:val="both"/>
      </w:pPr>
      <w:r w:rsidRPr="008573C5">
        <w:t>Networks</w:t>
      </w:r>
      <w:r w:rsidR="00605E14" w:rsidRPr="008573C5">
        <w:t xml:space="preserve"> of hypotheses that link the driving forces of disclosure </w:t>
      </w:r>
      <w:r w:rsidR="00E94AA0" w:rsidRPr="008573C5">
        <w:t>a</w:t>
      </w:r>
      <w:r w:rsidR="00605E14" w:rsidRPr="008573C5">
        <w:t xml:space="preserve">re developed by </w:t>
      </w:r>
      <w:r w:rsidR="00FF5EDF" w:rsidRPr="008573C5">
        <w:t>Gruning (2006)</w:t>
      </w:r>
      <w:r w:rsidR="00605E14" w:rsidRPr="008573C5">
        <w:t>. The driving f</w:t>
      </w:r>
      <w:r w:rsidR="00FF5EDF" w:rsidRPr="008573C5">
        <w:t xml:space="preserve">actors are empirically evaluated simultaneously, hence, including secondary effects. Structural equation </w:t>
      </w:r>
      <w:r w:rsidRPr="008573C5">
        <w:t>modeling</w:t>
      </w:r>
      <w:r w:rsidR="00FF5EDF" w:rsidRPr="008573C5">
        <w:t xml:space="preserve"> with a correct weight matrix is used to analyse data for a sample of 30 German and 30 Polish companies listed in the respective premium stock market segment. To obtain results that can be compared with previous research the approach of the European PRISM project was modified to measure corporate disclosure quality. For seven commu</w:t>
      </w:r>
      <w:r w:rsidR="00E94AA0" w:rsidRPr="008573C5">
        <w:t>nication dimensions 118 items a</w:t>
      </w:r>
      <w:r w:rsidR="00FF5EDF" w:rsidRPr="008573C5">
        <w:t>re analysed for each company based on t</w:t>
      </w:r>
      <w:r w:rsidR="00E94AA0" w:rsidRPr="008573C5">
        <w:t>he 2002 annual reports. They fi</w:t>
      </w:r>
      <w:r w:rsidR="00FF5EDF" w:rsidRPr="008573C5">
        <w:t>nd that firm size and industry do not directly influence corporate disclosure but are mediated by cross</w:t>
      </w:r>
      <w:r w:rsidRPr="008573C5">
        <w:t>-</w:t>
      </w:r>
      <w:r w:rsidR="00FF5EDF" w:rsidRPr="008573C5">
        <w:t>listing. The home country effect is of a direct and indirect nature that is mediated by firm size and cro</w:t>
      </w:r>
      <w:r w:rsidR="00E94AA0" w:rsidRPr="008573C5">
        <w:t>ss</w:t>
      </w:r>
      <w:r w:rsidRPr="008573C5">
        <w:t>-</w:t>
      </w:r>
      <w:r w:rsidR="00E94AA0" w:rsidRPr="008573C5">
        <w:t>listing. They discover</w:t>
      </w:r>
      <w:r w:rsidR="00E06FD2" w:rsidRPr="008573C5">
        <w:t xml:space="preserve"> that</w:t>
      </w:r>
      <w:r w:rsidR="00FF5EDF" w:rsidRPr="008573C5">
        <w:t xml:space="preserve"> cross</w:t>
      </w:r>
      <w:r w:rsidRPr="008573C5">
        <w:t>-</w:t>
      </w:r>
      <w:r w:rsidR="00FF5EDF" w:rsidRPr="008573C5">
        <w:t>listing plays a central role in mediating most of the secondary effects on corporate disclosure.</w:t>
      </w:r>
    </w:p>
    <w:p w:rsidR="00FF5EDF" w:rsidRPr="008573C5" w:rsidRDefault="00FF5EDF" w:rsidP="00FF5EDF">
      <w:pPr>
        <w:spacing w:line="360" w:lineRule="auto"/>
        <w:jc w:val="both"/>
      </w:pPr>
    </w:p>
    <w:p w:rsidR="00FF5EDF" w:rsidRPr="008573C5" w:rsidRDefault="00605E14" w:rsidP="00FF5EDF">
      <w:pPr>
        <w:autoSpaceDE w:val="0"/>
        <w:autoSpaceDN w:val="0"/>
        <w:adjustRightInd w:val="0"/>
        <w:spacing w:line="360" w:lineRule="auto"/>
        <w:jc w:val="both"/>
      </w:pPr>
      <w:r w:rsidRPr="008573C5">
        <w:t>The quality of the annual financial statements of firms in three Continental European countries</w:t>
      </w:r>
      <w:r w:rsidR="00E06FD2" w:rsidRPr="008573C5">
        <w:t>:</w:t>
      </w:r>
      <w:r w:rsidRPr="008573C5">
        <w:t xml:space="preserve"> Austria, Germany and Switzerland were assessed by Daske and Gebhardt</w:t>
      </w:r>
      <w:r w:rsidR="003E4B66" w:rsidRPr="008573C5">
        <w:t xml:space="preserve"> </w:t>
      </w:r>
      <w:r w:rsidRPr="008573C5">
        <w:t xml:space="preserve">(2006:461). </w:t>
      </w:r>
      <w:r w:rsidR="00FF5EDF" w:rsidRPr="008573C5">
        <w:t xml:space="preserve">The period covered was 1998 when the IAS/IFRS standards were revised considerably. The selected firms had already adopted internationally recognized standards (IAS/IFRS or U.S. GAAP) during the period of study. Both univariate and multivariate tests </w:t>
      </w:r>
      <w:r w:rsidR="00C02425" w:rsidRPr="008573C5">
        <w:t>are</w:t>
      </w:r>
      <w:r w:rsidR="00FF5EDF" w:rsidRPr="008573C5">
        <w:t xml:space="preserve"> performed using average, median, mean, t-test, spearman correlation and rank regression. Their multivariate analyses utilize a very similar set of control variables to prior research. These variables are firm size proxied by log of market capitalization or log of total assets, the number of analysts following a firm, its financing needs proxied by leverage, free float, capital intensity and performance measured by return on assets. Their evidence shows that disclosure quality has increased significantly with the adoption of IFRS in the three countries studied, even when controlling firm characteristics.</w:t>
      </w:r>
    </w:p>
    <w:p w:rsidR="00FF5EDF" w:rsidRPr="008573C5" w:rsidRDefault="00FF5EDF" w:rsidP="00FF5EDF">
      <w:pPr>
        <w:autoSpaceDE w:val="0"/>
        <w:autoSpaceDN w:val="0"/>
        <w:adjustRightInd w:val="0"/>
        <w:spacing w:line="360" w:lineRule="auto"/>
        <w:jc w:val="both"/>
      </w:pPr>
    </w:p>
    <w:p w:rsidR="00AA519C" w:rsidRPr="008573C5" w:rsidRDefault="00AA519C" w:rsidP="00AA519C">
      <w:pPr>
        <w:autoSpaceDE w:val="0"/>
        <w:autoSpaceDN w:val="0"/>
        <w:adjustRightInd w:val="0"/>
        <w:spacing w:line="360" w:lineRule="auto"/>
        <w:jc w:val="both"/>
      </w:pPr>
      <w:r w:rsidRPr="008573C5">
        <w:t>Iatridis (2008:219</w:t>
      </w:r>
      <w:r w:rsidR="006218DD" w:rsidRPr="008573C5">
        <w:t>)</w:t>
      </w:r>
      <w:r w:rsidRPr="008573C5">
        <w:t xml:space="preserve"> examines the disclosure of accounting information in the financial statements of U</w:t>
      </w:r>
      <w:r w:rsidR="00E94AA0" w:rsidRPr="008573C5">
        <w:t>K firms. The study also examines</w:t>
      </w:r>
      <w:r w:rsidRPr="008573C5">
        <w:t xml:space="preserve"> the financial attributes of firms that disclose key accounting issues such as   risk exposure, changes in accounting policies, use of international financial reporting standards and hedging practices.  Their evidence reveals that firms that provide informative accounting disclosures appear to display higher size, growth, profitability and leverage measures. His findings also reveal that the implementation of international financial reporting standards promotes consistency and reliability of financial reports, enhances the quality and the comparability of financial statements and also facilitates companies raising capital internationally.</w:t>
      </w:r>
    </w:p>
    <w:p w:rsidR="00AA519C" w:rsidRPr="008573C5" w:rsidRDefault="00AA519C" w:rsidP="00FF5EDF">
      <w:pPr>
        <w:spacing w:line="360" w:lineRule="auto"/>
        <w:jc w:val="both"/>
        <w:rPr>
          <w:rFonts w:ascii="Times" w:hAnsi="Times" w:cs="Times"/>
          <w:b/>
          <w:sz w:val="28"/>
          <w:szCs w:val="28"/>
        </w:rPr>
      </w:pPr>
    </w:p>
    <w:p w:rsidR="00FF5EDF" w:rsidRPr="008573C5" w:rsidRDefault="00CE2EA1" w:rsidP="00FF5EDF">
      <w:pPr>
        <w:spacing w:line="360" w:lineRule="auto"/>
        <w:jc w:val="both"/>
        <w:rPr>
          <w:rFonts w:ascii="Times" w:hAnsi="Times" w:cs="Times"/>
          <w:b/>
          <w:sz w:val="28"/>
          <w:szCs w:val="28"/>
        </w:rPr>
      </w:pPr>
      <w:r w:rsidRPr="008573C5">
        <w:rPr>
          <w:rFonts w:ascii="Times" w:hAnsi="Times" w:cs="Times"/>
          <w:b/>
          <w:sz w:val="28"/>
          <w:szCs w:val="28"/>
        </w:rPr>
        <w:t>2.</w:t>
      </w:r>
      <w:r w:rsidR="0005589B" w:rsidRPr="008573C5">
        <w:rPr>
          <w:rFonts w:ascii="Times" w:hAnsi="Times" w:cs="Times"/>
          <w:b/>
          <w:sz w:val="28"/>
          <w:szCs w:val="28"/>
        </w:rPr>
        <w:t>2</w:t>
      </w:r>
      <w:r w:rsidRPr="008573C5">
        <w:rPr>
          <w:rFonts w:ascii="Times" w:hAnsi="Times" w:cs="Times"/>
          <w:b/>
          <w:sz w:val="28"/>
          <w:szCs w:val="28"/>
        </w:rPr>
        <w:t>.2</w:t>
      </w:r>
      <w:r w:rsidRPr="008573C5">
        <w:rPr>
          <w:rFonts w:ascii="Times" w:hAnsi="Times" w:cs="Times"/>
          <w:b/>
          <w:sz w:val="28"/>
          <w:szCs w:val="28"/>
        </w:rPr>
        <w:tab/>
      </w:r>
      <w:r w:rsidR="00473DCC" w:rsidRPr="008573C5">
        <w:rPr>
          <w:rFonts w:ascii="Times" w:hAnsi="Times" w:cs="Times"/>
          <w:b/>
          <w:sz w:val="28"/>
          <w:szCs w:val="28"/>
        </w:rPr>
        <w:t>Previous Studies</w:t>
      </w:r>
      <w:r w:rsidR="00FF5EDF" w:rsidRPr="008573C5">
        <w:rPr>
          <w:rFonts w:ascii="Times" w:hAnsi="Times" w:cs="Times"/>
          <w:b/>
          <w:sz w:val="28"/>
          <w:szCs w:val="28"/>
        </w:rPr>
        <w:t xml:space="preserve"> in Developing Countries</w:t>
      </w:r>
    </w:p>
    <w:p w:rsidR="00FF5EDF" w:rsidRPr="008573C5" w:rsidRDefault="00FF5EDF" w:rsidP="00FF5EDF">
      <w:pPr>
        <w:spacing w:line="360" w:lineRule="auto"/>
        <w:jc w:val="both"/>
        <w:rPr>
          <w:rFonts w:ascii="Times" w:hAnsi="Times" w:cs="Times"/>
        </w:rPr>
      </w:pPr>
      <w:r w:rsidRPr="008573C5">
        <w:rPr>
          <w:rFonts w:ascii="Times" w:hAnsi="Times" w:cs="Times"/>
        </w:rPr>
        <w:t>Singhvi (1968</w:t>
      </w:r>
      <w:r w:rsidR="000C6FE2" w:rsidRPr="008573C5">
        <w:rPr>
          <w:rFonts w:ascii="Times" w:hAnsi="Times" w:cs="Times"/>
        </w:rPr>
        <w:t>:551</w:t>
      </w:r>
      <w:r w:rsidRPr="008573C5">
        <w:rPr>
          <w:rFonts w:ascii="Times" w:hAnsi="Times" w:cs="Times"/>
        </w:rPr>
        <w:t xml:space="preserve">) in his doctoral dissertation attempts to improve on and </w:t>
      </w:r>
      <w:r w:rsidR="00E81226" w:rsidRPr="008573C5">
        <w:rPr>
          <w:rFonts w:ascii="Times" w:hAnsi="Times" w:cs="Times"/>
        </w:rPr>
        <w:t>extend the work of Cerf (Buzby</w:t>
      </w:r>
      <w:r w:rsidR="008C1387" w:rsidRPr="008573C5">
        <w:rPr>
          <w:rFonts w:ascii="Times" w:hAnsi="Times" w:cs="Times"/>
        </w:rPr>
        <w:t>, 1975:17</w:t>
      </w:r>
      <w:r w:rsidR="00E94AA0" w:rsidRPr="008573C5">
        <w:rPr>
          <w:rFonts w:ascii="Times" w:hAnsi="Times" w:cs="Times"/>
        </w:rPr>
        <w:t>). He modifies</w:t>
      </w:r>
      <w:r w:rsidRPr="008573C5">
        <w:rPr>
          <w:rFonts w:ascii="Times" w:hAnsi="Times" w:cs="Times"/>
        </w:rPr>
        <w:t xml:space="preserve"> Cerf’s index of disclosure and expands the tested explanatory variable</w:t>
      </w:r>
      <w:r w:rsidR="00B1532D" w:rsidRPr="008573C5">
        <w:rPr>
          <w:rFonts w:ascii="Times" w:hAnsi="Times" w:cs="Times"/>
        </w:rPr>
        <w:t>s</w:t>
      </w:r>
      <w:r w:rsidRPr="008573C5">
        <w:rPr>
          <w:rFonts w:ascii="Times" w:hAnsi="Times" w:cs="Times"/>
        </w:rPr>
        <w:t xml:space="preserve"> to six. H</w:t>
      </w:r>
      <w:r w:rsidR="00E06FD2" w:rsidRPr="008573C5">
        <w:rPr>
          <w:rFonts w:ascii="Times" w:hAnsi="Times" w:cs="Times"/>
        </w:rPr>
        <w:t>is</w:t>
      </w:r>
      <w:r w:rsidRPr="008573C5">
        <w:rPr>
          <w:rFonts w:ascii="Times" w:hAnsi="Times" w:cs="Times"/>
        </w:rPr>
        <w:t xml:space="preserve"> studies </w:t>
      </w:r>
      <w:r w:rsidR="00E94AA0" w:rsidRPr="008573C5">
        <w:rPr>
          <w:rFonts w:ascii="Times" w:hAnsi="Times" w:cs="Times"/>
        </w:rPr>
        <w:t>a</w:t>
      </w:r>
      <w:r w:rsidR="00E23D70" w:rsidRPr="008573C5">
        <w:rPr>
          <w:rFonts w:ascii="Times" w:hAnsi="Times" w:cs="Times"/>
        </w:rPr>
        <w:t>re</w:t>
      </w:r>
      <w:r w:rsidRPr="008573C5">
        <w:rPr>
          <w:rFonts w:ascii="Times" w:hAnsi="Times" w:cs="Times"/>
        </w:rPr>
        <w:t xml:space="preserve"> based on the ann</w:t>
      </w:r>
      <w:r w:rsidR="00E06FD2" w:rsidRPr="008573C5">
        <w:rPr>
          <w:rFonts w:ascii="Times" w:hAnsi="Times" w:cs="Times"/>
        </w:rPr>
        <w:t>ual reports of 200 corporations</w:t>
      </w:r>
      <w:r w:rsidR="00E94AA0" w:rsidRPr="008573C5">
        <w:rPr>
          <w:rFonts w:ascii="Times" w:hAnsi="Times" w:cs="Times"/>
        </w:rPr>
        <w:t xml:space="preserve"> which include</w:t>
      </w:r>
      <w:r w:rsidRPr="008573C5">
        <w:rPr>
          <w:rFonts w:ascii="Times" w:hAnsi="Times" w:cs="Times"/>
        </w:rPr>
        <w:t xml:space="preserve"> 100 listed and 55 unlisted corporations in the United States and 45 listed corporations in India. An index containi</w:t>
      </w:r>
      <w:r w:rsidR="00E94AA0" w:rsidRPr="008573C5">
        <w:rPr>
          <w:rFonts w:ascii="Times" w:hAnsi="Times" w:cs="Times"/>
        </w:rPr>
        <w:t>ng 34 items of information i</w:t>
      </w:r>
      <w:r w:rsidRPr="008573C5">
        <w:rPr>
          <w:rFonts w:ascii="Times" w:hAnsi="Times" w:cs="Times"/>
        </w:rPr>
        <w:t xml:space="preserve">s created using assigned weights, ranging from1 to 4. Size is measured by total assets, listing status, number of shareholders, </w:t>
      </w:r>
      <w:r w:rsidR="00E23D70" w:rsidRPr="008573C5">
        <w:rPr>
          <w:rFonts w:ascii="Times" w:hAnsi="Times" w:cs="Times"/>
        </w:rPr>
        <w:t xml:space="preserve">audit </w:t>
      </w:r>
      <w:r w:rsidRPr="008573C5">
        <w:rPr>
          <w:rFonts w:ascii="Times" w:hAnsi="Times" w:cs="Times"/>
        </w:rPr>
        <w:t>firms, and low profit as measured by rate of return and earnings margin. He discovers that small</w:t>
      </w:r>
      <w:r w:rsidR="00466A33" w:rsidRPr="008573C5">
        <w:rPr>
          <w:rFonts w:ascii="Times" w:hAnsi="Times" w:cs="Times"/>
        </w:rPr>
        <w:t xml:space="preserve"> </w:t>
      </w:r>
      <w:r w:rsidRPr="008573C5">
        <w:rPr>
          <w:rFonts w:ascii="Times" w:hAnsi="Times" w:cs="Times"/>
        </w:rPr>
        <w:t xml:space="preserve">- </w:t>
      </w:r>
      <w:r w:rsidR="008C1387" w:rsidRPr="008573C5">
        <w:rPr>
          <w:rFonts w:ascii="Times" w:hAnsi="Times" w:cs="Times"/>
        </w:rPr>
        <w:t>sized corporations</w:t>
      </w:r>
      <w:r w:rsidRPr="008573C5">
        <w:rPr>
          <w:rFonts w:ascii="Times" w:hAnsi="Times" w:cs="Times"/>
        </w:rPr>
        <w:t xml:space="preserve"> in the U.S and India do not disclose adequate information and that Indian based corporations disclose less adequate information and less inventor-oriented information than US companies. He also finds that the companies that are likely to disclose low quality information in India are likely to be small in size, less profitable and managed by Indian managers. </w:t>
      </w:r>
    </w:p>
    <w:p w:rsidR="00FF5EDF" w:rsidRPr="008573C5" w:rsidRDefault="00FF5EDF" w:rsidP="00FF5EDF">
      <w:pPr>
        <w:spacing w:line="360" w:lineRule="auto"/>
        <w:jc w:val="both"/>
        <w:rPr>
          <w:rFonts w:ascii="Times" w:hAnsi="Times" w:cs="Times"/>
        </w:rPr>
      </w:pPr>
    </w:p>
    <w:p w:rsidR="00FF5EDF" w:rsidRPr="008573C5" w:rsidRDefault="00C73A31" w:rsidP="00FF5EDF">
      <w:pPr>
        <w:autoSpaceDE w:val="0"/>
        <w:autoSpaceDN w:val="0"/>
        <w:adjustRightInd w:val="0"/>
        <w:spacing w:line="360" w:lineRule="auto"/>
        <w:jc w:val="both"/>
      </w:pPr>
      <w:r w:rsidRPr="008573C5">
        <w:t>Mexican corporations were</w:t>
      </w:r>
      <w:r w:rsidR="00FF5EDF" w:rsidRPr="008573C5">
        <w:t xml:space="preserve"> examin</w:t>
      </w:r>
      <w:r w:rsidR="00E81226" w:rsidRPr="008573C5">
        <w:t>ed by Chow and Wong-Boren</w:t>
      </w:r>
      <w:r w:rsidR="003E4B66" w:rsidRPr="008573C5">
        <w:t xml:space="preserve"> </w:t>
      </w:r>
      <w:r w:rsidR="00E81226" w:rsidRPr="008573C5">
        <w:t>(1987:</w:t>
      </w:r>
      <w:r w:rsidR="00FF5EDF" w:rsidRPr="008573C5">
        <w:t>533). Their aim was to expand understanding of accounting practices in non-Anglo- American nation and secondly to provide additional evidence on the factors attributable to voluntary financial disclosures. They</w:t>
      </w:r>
      <w:r w:rsidR="00E06FD2" w:rsidRPr="008573C5">
        <w:t xml:space="preserve"> tested</w:t>
      </w:r>
      <w:r w:rsidR="00FF5EDF" w:rsidRPr="008573C5">
        <w:t xml:space="preserve"> the effect of three firm characteristics - firm size, financial leverage and asset proportion- based on Agency Theory</w:t>
      </w:r>
      <w:r w:rsidR="008C1387" w:rsidRPr="008573C5">
        <w:t xml:space="preserve"> </w:t>
      </w:r>
      <w:r w:rsidR="00FF5EDF" w:rsidRPr="008573C5">
        <w:t>( Jenson and Meckling (1976</w:t>
      </w:r>
      <w:r w:rsidR="000C6FE2" w:rsidRPr="008573C5">
        <w:t>:305-360</w:t>
      </w:r>
      <w:r w:rsidR="00FF5EDF" w:rsidRPr="008573C5">
        <w:t>) and Leftwich, Watts and Zimmerman (1981</w:t>
      </w:r>
      <w:r w:rsidR="00B8086C" w:rsidRPr="008573C5">
        <w:t>:50-77</w:t>
      </w:r>
      <w:r w:rsidR="00FF5EDF" w:rsidRPr="008573C5">
        <w:t>) and Watts and Zimmerman (19</w:t>
      </w:r>
      <w:r w:rsidR="000C6FE2" w:rsidRPr="008573C5">
        <w:t>78:112-134</w:t>
      </w:r>
      <w:r w:rsidR="00FF5EDF" w:rsidRPr="008573C5">
        <w:t>). They sample</w:t>
      </w:r>
      <w:r w:rsidR="00E23D70" w:rsidRPr="008573C5">
        <w:t>d</w:t>
      </w:r>
      <w:r w:rsidR="00FF5EDF" w:rsidRPr="008573C5">
        <w:t xml:space="preserve"> 52 manufacturing firms using the unweighted disclosure index method. 24 information items </w:t>
      </w:r>
      <w:r w:rsidR="00E06FD2" w:rsidRPr="008573C5">
        <w:t>are</w:t>
      </w:r>
      <w:r w:rsidR="00FF5EDF" w:rsidRPr="008573C5">
        <w:t xml:space="preserve"> used to construct the disclosure index. Using descriptive statistic</w:t>
      </w:r>
      <w:r w:rsidR="00E06FD2" w:rsidRPr="008573C5">
        <w:t>s,</w:t>
      </w:r>
      <w:r w:rsidR="00B1532D" w:rsidRPr="008573C5">
        <w:t xml:space="preserve"> p</w:t>
      </w:r>
      <w:r w:rsidR="00FF5EDF" w:rsidRPr="008573C5">
        <w:t>earson correlation and regression</w:t>
      </w:r>
      <w:r w:rsidR="00E06FD2" w:rsidRPr="008573C5">
        <w:t xml:space="preserve">, </w:t>
      </w:r>
      <w:r w:rsidR="00FF5EDF" w:rsidRPr="008573C5">
        <w:t>the</w:t>
      </w:r>
      <w:r w:rsidR="00E06FD2" w:rsidRPr="008573C5">
        <w:t>ir study reveals</w:t>
      </w:r>
      <w:r w:rsidR="00FF5EDF" w:rsidRPr="008573C5">
        <w:t xml:space="preserve"> that disclosure increases with firm size</w:t>
      </w:r>
      <w:r w:rsidR="00E06FD2" w:rsidRPr="008573C5">
        <w:t>. N</w:t>
      </w:r>
      <w:r w:rsidR="00FF5EDF" w:rsidRPr="008573C5">
        <w:t>o significant effect was observe</w:t>
      </w:r>
      <w:r w:rsidR="00E06FD2" w:rsidRPr="008573C5">
        <w:t>d</w:t>
      </w:r>
      <w:r w:rsidR="00FF5EDF" w:rsidRPr="008573C5">
        <w:t xml:space="preserve"> for financial leverage and assets.  The positive significance of firm size is consistent with the findings of </w:t>
      </w:r>
      <w:r w:rsidR="003313F2" w:rsidRPr="008573C5">
        <w:t xml:space="preserve">Cerf </w:t>
      </w:r>
      <w:r w:rsidR="00FF5EDF" w:rsidRPr="008573C5">
        <w:t xml:space="preserve">and </w:t>
      </w:r>
      <w:r w:rsidR="003313F2" w:rsidRPr="008573C5">
        <w:rPr>
          <w:rFonts w:ascii="Times" w:hAnsi="Times" w:cs="Times"/>
        </w:rPr>
        <w:t>Singhvi and Desai</w:t>
      </w:r>
      <w:r w:rsidR="00FF5EDF" w:rsidRPr="008573C5">
        <w:rPr>
          <w:rFonts w:ascii="Times" w:hAnsi="Times" w:cs="Times"/>
        </w:rPr>
        <w:t>.</w:t>
      </w:r>
    </w:p>
    <w:p w:rsidR="00FF5EDF" w:rsidRPr="008573C5" w:rsidRDefault="00FF5EDF" w:rsidP="00FF5EDF">
      <w:pPr>
        <w:autoSpaceDE w:val="0"/>
        <w:autoSpaceDN w:val="0"/>
        <w:adjustRightInd w:val="0"/>
        <w:spacing w:line="360" w:lineRule="auto"/>
        <w:jc w:val="both"/>
      </w:pPr>
    </w:p>
    <w:p w:rsidR="00FF5EDF" w:rsidRPr="008573C5" w:rsidRDefault="00FF5EDF" w:rsidP="00FF5EDF">
      <w:pPr>
        <w:autoSpaceDE w:val="0"/>
        <w:autoSpaceDN w:val="0"/>
        <w:adjustRightInd w:val="0"/>
        <w:spacing w:line="360" w:lineRule="auto"/>
        <w:jc w:val="both"/>
        <w:rPr>
          <w:iCs/>
        </w:rPr>
      </w:pPr>
      <w:r w:rsidRPr="008573C5">
        <w:t>Nigerian financial reporting environment was empirically investigated by Wallace</w:t>
      </w:r>
      <w:r w:rsidR="008C1387" w:rsidRPr="008573C5">
        <w:t xml:space="preserve"> </w:t>
      </w:r>
      <w:r w:rsidRPr="008573C5">
        <w:t>(1988</w:t>
      </w:r>
      <w:r w:rsidR="00EA37DA" w:rsidRPr="008573C5">
        <w:t>:352-362</w:t>
      </w:r>
      <w:r w:rsidRPr="008573C5">
        <w:t>)</w:t>
      </w:r>
      <w:r w:rsidRPr="008573C5">
        <w:rPr>
          <w:iCs/>
        </w:rPr>
        <w:t>, Okike (2000</w:t>
      </w:r>
      <w:r w:rsidR="00FC7F84" w:rsidRPr="008573C5">
        <w:rPr>
          <w:iCs/>
        </w:rPr>
        <w:t>:39</w:t>
      </w:r>
      <w:r w:rsidRPr="008573C5">
        <w:rPr>
          <w:iCs/>
        </w:rPr>
        <w:t>)</w:t>
      </w:r>
      <w:r w:rsidR="00EA37DA" w:rsidRPr="008573C5">
        <w:rPr>
          <w:iCs/>
        </w:rPr>
        <w:t>,</w:t>
      </w:r>
      <w:r w:rsidRPr="008573C5">
        <w:rPr>
          <w:iCs/>
        </w:rPr>
        <w:t xml:space="preserve"> </w:t>
      </w:r>
      <w:r w:rsidR="00EA37DA" w:rsidRPr="008573C5">
        <w:rPr>
          <w:iCs/>
        </w:rPr>
        <w:t>Adeyemi (2006</w:t>
      </w:r>
      <w:r w:rsidR="00FC7F84" w:rsidRPr="008573C5">
        <w:rPr>
          <w:iCs/>
        </w:rPr>
        <w:t>:40</w:t>
      </w:r>
      <w:r w:rsidR="00EA37DA" w:rsidRPr="008573C5">
        <w:rPr>
          <w:iCs/>
        </w:rPr>
        <w:t xml:space="preserve">) </w:t>
      </w:r>
      <w:r w:rsidRPr="008573C5">
        <w:rPr>
          <w:iCs/>
        </w:rPr>
        <w:t>and Ofoegbu and Okoye</w:t>
      </w:r>
      <w:r w:rsidR="008C1387" w:rsidRPr="008573C5">
        <w:rPr>
          <w:iCs/>
        </w:rPr>
        <w:t xml:space="preserve"> </w:t>
      </w:r>
      <w:r w:rsidRPr="008573C5">
        <w:rPr>
          <w:iCs/>
        </w:rPr>
        <w:t>(2006</w:t>
      </w:r>
      <w:r w:rsidR="00EA37DA" w:rsidRPr="008573C5">
        <w:rPr>
          <w:iCs/>
        </w:rPr>
        <w:t>:45-53</w:t>
      </w:r>
      <w:r w:rsidRPr="008573C5">
        <w:rPr>
          <w:iCs/>
        </w:rPr>
        <w:t>)</w:t>
      </w:r>
      <w:r w:rsidRPr="008573C5">
        <w:t>. Wallace</w:t>
      </w:r>
      <w:r w:rsidR="00EA37DA" w:rsidRPr="008573C5">
        <w:t xml:space="preserve"> work </w:t>
      </w:r>
      <w:r w:rsidR="002B1F91" w:rsidRPr="008573C5">
        <w:t>i</w:t>
      </w:r>
      <w:r w:rsidRPr="008573C5">
        <w:t>s one of the pioneer studies on the Nigerian corporate reporting.</w:t>
      </w:r>
      <w:r w:rsidRPr="008573C5">
        <w:rPr>
          <w:rFonts w:ascii="Times" w:hAnsi="Times" w:cs="Times"/>
        </w:rPr>
        <w:t xml:space="preserve"> His study won interna</w:t>
      </w:r>
      <w:r w:rsidR="00E06FD2" w:rsidRPr="008573C5">
        <w:rPr>
          <w:rFonts w:ascii="Times" w:hAnsi="Times" w:cs="Times"/>
        </w:rPr>
        <w:t>tional recognition and accolade</w:t>
      </w:r>
      <w:r w:rsidR="002B1F91" w:rsidRPr="008573C5">
        <w:rPr>
          <w:rFonts w:ascii="Times" w:hAnsi="Times" w:cs="Times"/>
        </w:rPr>
        <w:t xml:space="preserve"> since this i</w:t>
      </w:r>
      <w:r w:rsidRPr="008573C5">
        <w:rPr>
          <w:rFonts w:ascii="Times" w:hAnsi="Times" w:cs="Times"/>
        </w:rPr>
        <w:t xml:space="preserve">s the first work to show a detailed analysis of this subject empirically. He </w:t>
      </w:r>
      <w:r w:rsidRPr="008573C5">
        <w:t>investigates the extent of disclosure usi</w:t>
      </w:r>
      <w:r w:rsidR="00E06FD2" w:rsidRPr="008573C5">
        <w:t>ng statutory and voluntary item</w:t>
      </w:r>
      <w:r w:rsidRPr="008573C5">
        <w:t>, similar to the studies of Buzby (1975</w:t>
      </w:r>
      <w:r w:rsidR="00EA37DA" w:rsidRPr="008573C5">
        <w:t>:16</w:t>
      </w:r>
      <w:r w:rsidRPr="008573C5">
        <w:t>), Barrett (1975</w:t>
      </w:r>
      <w:r w:rsidR="00EA37DA" w:rsidRPr="008573C5">
        <w:t>:15</w:t>
      </w:r>
      <w:r w:rsidRPr="008573C5">
        <w:t>), McNally et al (1982</w:t>
      </w:r>
      <w:r w:rsidR="00EA37DA" w:rsidRPr="008573C5">
        <w:t>:11</w:t>
      </w:r>
      <w:r w:rsidRPr="008573C5">
        <w:t>)</w:t>
      </w:r>
      <w:r w:rsidR="00E81226" w:rsidRPr="008573C5">
        <w:t xml:space="preserve"> and Chow and Wong-Boren</w:t>
      </w:r>
      <w:r w:rsidR="00960DB7" w:rsidRPr="008573C5">
        <w:t xml:space="preserve"> </w:t>
      </w:r>
      <w:r w:rsidR="00E81226" w:rsidRPr="008573C5">
        <w:t>(1987:</w:t>
      </w:r>
      <w:r w:rsidRPr="008573C5">
        <w:t xml:space="preserve">533). Wallace’s </w:t>
      </w:r>
      <w:r w:rsidR="00843507" w:rsidRPr="008573C5">
        <w:t>choice of information items was re</w:t>
      </w:r>
      <w:r w:rsidRPr="008573C5">
        <w:t>levan</w:t>
      </w:r>
      <w:r w:rsidR="00843507" w:rsidRPr="008573C5">
        <w:t xml:space="preserve">t to the </w:t>
      </w:r>
      <w:r w:rsidR="008C1387" w:rsidRPr="008573C5">
        <w:t>user group</w:t>
      </w:r>
      <w:r w:rsidRPr="008573C5">
        <w:t xml:space="preserve"> - accountants, top civil servants, managers, investors and other professionals.  He use</w:t>
      </w:r>
      <w:r w:rsidR="002B1F91" w:rsidRPr="008573C5">
        <w:t>s</w:t>
      </w:r>
      <w:r w:rsidRPr="008573C5">
        <w:t xml:space="preserve"> a sample of 47 companies, 54% of the total population of listed firms quoted at the Nigerian Stock Exchange dur</w:t>
      </w:r>
      <w:r w:rsidR="002B1F91" w:rsidRPr="008573C5">
        <w:t>ing 1982 and 1986. Disclosure i</w:t>
      </w:r>
      <w:r w:rsidRPr="008573C5">
        <w:t xml:space="preserve">s treated as a dichotomous item, 1 for an item disclosed and 0 </w:t>
      </w:r>
      <w:r w:rsidR="00DC5952" w:rsidRPr="008573C5">
        <w:t>for those not disclosed</w:t>
      </w:r>
      <w:r w:rsidR="002B1F91" w:rsidRPr="008573C5">
        <w:t>. The scoring system i</w:t>
      </w:r>
      <w:r w:rsidRPr="008573C5">
        <w:t xml:space="preserve">s informed by its intensity. Two types of disclosure indexes </w:t>
      </w:r>
      <w:r w:rsidR="002B1F91" w:rsidRPr="008573C5">
        <w:t>a</w:t>
      </w:r>
      <w:r w:rsidRPr="008573C5">
        <w:t>re constructed, unweighted and weighted. The weighted disclosure index reflects the preferences of the six-user groups. The result of the analysis reveals that compan</w:t>
      </w:r>
      <w:r w:rsidR="00843507" w:rsidRPr="008573C5">
        <w:t>ies wh</w:t>
      </w:r>
      <w:r w:rsidR="002B1F91" w:rsidRPr="008573C5">
        <w:t xml:space="preserve">ich </w:t>
      </w:r>
      <w:r w:rsidR="00843507" w:rsidRPr="008573C5">
        <w:t>publish annual reports d</w:t>
      </w:r>
      <w:r w:rsidRPr="008573C5">
        <w:t>o not adequately comply with the disclosure regime. The overall disclosure index reveals the weakness in the disclosure practice in Nigeria, ranging</w:t>
      </w:r>
      <w:r w:rsidR="002B1F91" w:rsidRPr="008573C5">
        <w:t xml:space="preserve"> from 37.55% to 43.11%. There i</w:t>
      </w:r>
      <w:r w:rsidRPr="008573C5">
        <w:t>s a high level of disclosure relating to balance sheet, historical items and valuation methods, whereas there are apparent weakness</w:t>
      </w:r>
      <w:r w:rsidR="002B1F91" w:rsidRPr="008573C5">
        <w:t>es</w:t>
      </w:r>
      <w:r w:rsidRPr="008573C5">
        <w:t xml:space="preserve"> in status data, social reporting, income statement item</w:t>
      </w:r>
      <w:r w:rsidR="002B1F91" w:rsidRPr="008573C5">
        <w:t>s and projections. His result i</w:t>
      </w:r>
      <w:r w:rsidRPr="008573C5">
        <w:t>s similar to the New Zealand study of Mc Nally</w:t>
      </w:r>
      <w:r w:rsidR="003E4B66" w:rsidRPr="008573C5">
        <w:t xml:space="preserve"> </w:t>
      </w:r>
      <w:r w:rsidRPr="008573C5">
        <w:t>(1982</w:t>
      </w:r>
      <w:r w:rsidR="00EA37DA" w:rsidRPr="008573C5">
        <w:t>:14</w:t>
      </w:r>
      <w:r w:rsidRPr="008573C5">
        <w:t xml:space="preserve">). Eight items not disclosed by any company in New Zealand </w:t>
      </w:r>
      <w:r w:rsidR="002B1F91" w:rsidRPr="008573C5">
        <w:t>are</w:t>
      </w:r>
      <w:r w:rsidRPr="008573C5">
        <w:t xml:space="preserve"> among the list of 26 items not disclosed by any company in this Nigerian study.</w:t>
      </w:r>
      <w:r w:rsidRPr="008573C5">
        <w:rPr>
          <w:iCs/>
        </w:rPr>
        <w:t xml:space="preserve"> </w:t>
      </w:r>
    </w:p>
    <w:p w:rsidR="00FF5EDF" w:rsidRPr="008573C5" w:rsidRDefault="00FF5EDF" w:rsidP="00FF5EDF">
      <w:pPr>
        <w:autoSpaceDE w:val="0"/>
        <w:autoSpaceDN w:val="0"/>
        <w:adjustRightInd w:val="0"/>
        <w:spacing w:line="360" w:lineRule="auto"/>
        <w:jc w:val="both"/>
      </w:pPr>
    </w:p>
    <w:p w:rsidR="00FF5EDF" w:rsidRPr="008573C5" w:rsidRDefault="00FF5EDF" w:rsidP="00FF5EDF">
      <w:pPr>
        <w:autoSpaceDE w:val="0"/>
        <w:autoSpaceDN w:val="0"/>
        <w:adjustRightInd w:val="0"/>
        <w:spacing w:line="360" w:lineRule="auto"/>
        <w:jc w:val="both"/>
        <w:rPr>
          <w:iCs/>
        </w:rPr>
      </w:pPr>
      <w:r w:rsidRPr="008573C5">
        <w:t>Further to the study of Wallace (198</w:t>
      </w:r>
      <w:r w:rsidR="00582A65" w:rsidRPr="008573C5">
        <w:t>8</w:t>
      </w:r>
      <w:r w:rsidR="00010804" w:rsidRPr="008573C5">
        <w:t>:352</w:t>
      </w:r>
      <w:r w:rsidR="002B1F91" w:rsidRPr="008573C5">
        <w:t>), Okike (2000:39) investigates</w:t>
      </w:r>
      <w:r w:rsidRPr="008573C5">
        <w:t xml:space="preserve"> the corporate reporting practices in N</w:t>
      </w:r>
      <w:r w:rsidR="002B1F91" w:rsidRPr="008573C5">
        <w:t>igeria. She observes</w:t>
      </w:r>
      <w:r w:rsidRPr="008573C5">
        <w:t xml:space="preserve"> that it is weak and accounting re</w:t>
      </w:r>
      <w:r w:rsidR="00843507" w:rsidRPr="008573C5">
        <w:t>ports have been found deficient</w:t>
      </w:r>
      <w:r w:rsidRPr="008573C5">
        <w:t xml:space="preserve"> in the sense that they lack vital information. </w:t>
      </w:r>
      <w:r w:rsidRPr="008573C5">
        <w:rPr>
          <w:iCs/>
        </w:rPr>
        <w:t>Ofoegbu and Okoye</w:t>
      </w:r>
      <w:r w:rsidR="003E4B66" w:rsidRPr="008573C5">
        <w:rPr>
          <w:iCs/>
        </w:rPr>
        <w:t xml:space="preserve"> </w:t>
      </w:r>
      <w:r w:rsidRPr="008573C5">
        <w:rPr>
          <w:iCs/>
        </w:rPr>
        <w:t>(2006</w:t>
      </w:r>
      <w:r w:rsidR="00010804" w:rsidRPr="008573C5">
        <w:rPr>
          <w:iCs/>
        </w:rPr>
        <w:t>:45</w:t>
      </w:r>
      <w:r w:rsidR="00843507" w:rsidRPr="008573C5">
        <w:rPr>
          <w:iCs/>
        </w:rPr>
        <w:t>)</w:t>
      </w:r>
      <w:r w:rsidRPr="008573C5">
        <w:rPr>
          <w:iCs/>
        </w:rPr>
        <w:t xml:space="preserve"> investigate the extent to which Statement of Accounting standards are complied with in Nigeria. Using a sample of seven standards ( SAS 3,</w:t>
      </w:r>
      <w:r w:rsidR="003E4B66" w:rsidRPr="008573C5">
        <w:rPr>
          <w:iCs/>
        </w:rPr>
        <w:t xml:space="preserve"> </w:t>
      </w:r>
      <w:r w:rsidRPr="008573C5">
        <w:rPr>
          <w:iCs/>
        </w:rPr>
        <w:t>7,</w:t>
      </w:r>
      <w:r w:rsidR="003E4B66" w:rsidRPr="008573C5">
        <w:rPr>
          <w:iCs/>
        </w:rPr>
        <w:t xml:space="preserve"> </w:t>
      </w:r>
      <w:r w:rsidRPr="008573C5">
        <w:rPr>
          <w:iCs/>
        </w:rPr>
        <w:t>8,</w:t>
      </w:r>
      <w:r w:rsidR="003E4B66" w:rsidRPr="008573C5">
        <w:rPr>
          <w:iCs/>
        </w:rPr>
        <w:t xml:space="preserve"> </w:t>
      </w:r>
      <w:r w:rsidRPr="008573C5">
        <w:rPr>
          <w:iCs/>
        </w:rPr>
        <w:t>10,</w:t>
      </w:r>
      <w:r w:rsidR="003E4B66" w:rsidRPr="008573C5">
        <w:rPr>
          <w:iCs/>
        </w:rPr>
        <w:t xml:space="preserve"> </w:t>
      </w:r>
      <w:r w:rsidRPr="008573C5">
        <w:rPr>
          <w:iCs/>
        </w:rPr>
        <w:t>11,</w:t>
      </w:r>
      <w:r w:rsidR="00C926AB" w:rsidRPr="008573C5">
        <w:rPr>
          <w:iCs/>
        </w:rPr>
        <w:t xml:space="preserve"> 18 and 19) conveniently chosen, they analysed the a</w:t>
      </w:r>
      <w:r w:rsidRPr="008573C5">
        <w:rPr>
          <w:iCs/>
        </w:rPr>
        <w:t>nnual reports of 41 companies publicly quoted</w:t>
      </w:r>
      <w:r w:rsidR="00C926AB" w:rsidRPr="008573C5">
        <w:rPr>
          <w:iCs/>
        </w:rPr>
        <w:t xml:space="preserve"> at the Nigerian Stock Exchange.</w:t>
      </w:r>
      <w:r w:rsidR="002B1F91" w:rsidRPr="008573C5">
        <w:rPr>
          <w:iCs/>
        </w:rPr>
        <w:t xml:space="preserve"> It is discovered that there i</w:t>
      </w:r>
      <w:r w:rsidRPr="008573C5">
        <w:rPr>
          <w:iCs/>
        </w:rPr>
        <w:t>s a mixed result of compliance with disclosure requirements. No</w:t>
      </w:r>
      <w:r w:rsidR="002B1F91" w:rsidRPr="008573C5">
        <w:rPr>
          <w:iCs/>
        </w:rPr>
        <w:t>tably, full compliance (100%) i</w:t>
      </w:r>
      <w:r w:rsidRPr="008573C5">
        <w:rPr>
          <w:iCs/>
        </w:rPr>
        <w:t>s recorded for items such as: bases of determining book value of assets, cash flow presentations, disclosure of various forms of tax and movements of tax</w:t>
      </w:r>
      <w:r w:rsidR="003E4B66" w:rsidRPr="008573C5">
        <w:rPr>
          <w:iCs/>
        </w:rPr>
        <w:t>e</w:t>
      </w:r>
      <w:r w:rsidRPr="008573C5">
        <w:rPr>
          <w:iCs/>
        </w:rPr>
        <w:t>s and assets during</w:t>
      </w:r>
      <w:r w:rsidR="006218DD" w:rsidRPr="008573C5">
        <w:rPr>
          <w:iCs/>
        </w:rPr>
        <w:t xml:space="preserve"> the year. Partial compliance (</w:t>
      </w:r>
      <w:r w:rsidR="002B1F91" w:rsidRPr="008573C5">
        <w:rPr>
          <w:iCs/>
        </w:rPr>
        <w:t>ranging from 2% to 90%) i</w:t>
      </w:r>
      <w:r w:rsidRPr="008573C5">
        <w:rPr>
          <w:iCs/>
        </w:rPr>
        <w:t>s recorded for items such as: frequency of revaluation policy, amount of foreign exchange gain or loss, maturity profile of risk asset of banks, and commission paid/received.</w:t>
      </w:r>
      <w:r w:rsidR="00E2265D" w:rsidRPr="008573C5">
        <w:rPr>
          <w:iCs/>
        </w:rPr>
        <w:t xml:space="preserve"> </w:t>
      </w:r>
    </w:p>
    <w:p w:rsidR="00FF5EDF" w:rsidRPr="008573C5" w:rsidRDefault="00FF5EDF" w:rsidP="00FF5EDF">
      <w:pPr>
        <w:autoSpaceDE w:val="0"/>
        <w:autoSpaceDN w:val="0"/>
        <w:adjustRightInd w:val="0"/>
        <w:spacing w:line="360" w:lineRule="auto"/>
        <w:jc w:val="both"/>
      </w:pPr>
    </w:p>
    <w:p w:rsidR="00FF5EDF" w:rsidRPr="008573C5" w:rsidRDefault="00FF5EDF" w:rsidP="00FF5EDF">
      <w:pPr>
        <w:autoSpaceDE w:val="0"/>
        <w:autoSpaceDN w:val="0"/>
        <w:adjustRightInd w:val="0"/>
        <w:spacing w:line="360" w:lineRule="auto"/>
        <w:jc w:val="both"/>
        <w:rPr>
          <w:lang w:val="en-GB" w:eastAsia="en-GB"/>
        </w:rPr>
      </w:pPr>
      <w:r w:rsidRPr="008573C5">
        <w:t>Studies on mandatory and v</w:t>
      </w:r>
      <w:r w:rsidR="00434C4F" w:rsidRPr="008573C5">
        <w:t>oluntary disclosure practices in</w:t>
      </w:r>
      <w:r w:rsidR="002B1F91" w:rsidRPr="008573C5">
        <w:t xml:space="preserve"> Zimbabwe a</w:t>
      </w:r>
      <w:r w:rsidR="00C926AB" w:rsidRPr="008573C5">
        <w:t>re</w:t>
      </w:r>
      <w:r w:rsidRPr="008573C5">
        <w:t xml:space="preserve"> conducted by Owusu-Ansah</w:t>
      </w:r>
      <w:r w:rsidR="003E4B66" w:rsidRPr="008573C5">
        <w:t xml:space="preserve"> </w:t>
      </w:r>
      <w:r w:rsidRPr="008573C5">
        <w:t>(1998</w:t>
      </w:r>
      <w:r w:rsidR="00E2265D" w:rsidRPr="008573C5">
        <w:t>:92</w:t>
      </w:r>
      <w:r w:rsidRPr="008573C5">
        <w:t>)</w:t>
      </w:r>
      <w:r w:rsidRPr="008573C5">
        <w:rPr>
          <w:iCs/>
        </w:rPr>
        <w:t xml:space="preserve"> and Chamisa</w:t>
      </w:r>
      <w:r w:rsidR="003E4B66" w:rsidRPr="008573C5">
        <w:rPr>
          <w:iCs/>
        </w:rPr>
        <w:t xml:space="preserve"> </w:t>
      </w:r>
      <w:r w:rsidRPr="008573C5">
        <w:rPr>
          <w:iCs/>
        </w:rPr>
        <w:t>(2000</w:t>
      </w:r>
      <w:r w:rsidR="005411A5" w:rsidRPr="008573C5">
        <w:rPr>
          <w:iCs/>
        </w:rPr>
        <w:t>:267</w:t>
      </w:r>
      <w:r w:rsidRPr="008573C5">
        <w:rPr>
          <w:iCs/>
        </w:rPr>
        <w:t xml:space="preserve">). </w:t>
      </w:r>
      <w:r w:rsidRPr="008573C5">
        <w:t>Owusu-Ansah</w:t>
      </w:r>
      <w:r w:rsidR="003E4B66" w:rsidRPr="008573C5">
        <w:t xml:space="preserve"> </w:t>
      </w:r>
      <w:r w:rsidRPr="008573C5">
        <w:t>(1998</w:t>
      </w:r>
      <w:r w:rsidR="00E2265D" w:rsidRPr="008573C5">
        <w:t>:92</w:t>
      </w:r>
      <w:r w:rsidRPr="008573C5">
        <w:t>)</w:t>
      </w:r>
      <w:r w:rsidRPr="008573C5">
        <w:rPr>
          <w:iCs/>
        </w:rPr>
        <w:t xml:space="preserve"> empirically investigates the degree of influence of eight corporate attributes on the extent of mandatory disclosure and reporting of 49 listed companies in  Zimbabwe. </w:t>
      </w:r>
      <w:r w:rsidR="00F94775" w:rsidRPr="008573C5">
        <w:t xml:space="preserve">Owusu-Ansah </w:t>
      </w:r>
      <w:r w:rsidR="00F94775" w:rsidRPr="008573C5">
        <w:rPr>
          <w:iCs/>
        </w:rPr>
        <w:t>and Chamisa</w:t>
      </w:r>
      <w:r w:rsidRPr="008573C5">
        <w:rPr>
          <w:iCs/>
        </w:rPr>
        <w:t xml:space="preserve"> used an unweighted relative disclosure index method which consists of </w:t>
      </w:r>
      <w:r w:rsidRPr="008573C5">
        <w:rPr>
          <w:lang w:val="en-GB" w:eastAsia="en-GB"/>
        </w:rPr>
        <w:t>32 disclosure items from the three regulatory sources in Zimbabwe (i.e., the adopted IAS, the Companies Act, and the listing rules of the ZSE). To capture the intensity of the disclosure of these items, they were disaggregated into 214 sub-items. The relative index has been used in previous studies (e.g., Wallace, 1988</w:t>
      </w:r>
      <w:r w:rsidR="00E2265D" w:rsidRPr="008573C5">
        <w:rPr>
          <w:lang w:val="en-GB" w:eastAsia="en-GB"/>
        </w:rPr>
        <w:t>:352</w:t>
      </w:r>
      <w:r w:rsidRPr="008573C5">
        <w:rPr>
          <w:lang w:val="en-GB" w:eastAsia="en-GB"/>
        </w:rPr>
        <w:t>; Cooke, 1989</w:t>
      </w:r>
      <w:r w:rsidR="00E2265D" w:rsidRPr="008573C5">
        <w:rPr>
          <w:lang w:val="en-GB" w:eastAsia="en-GB"/>
        </w:rPr>
        <w:t>:113</w:t>
      </w:r>
      <w:r w:rsidRPr="008573C5">
        <w:rPr>
          <w:lang w:val="en-GB" w:eastAsia="en-GB"/>
        </w:rPr>
        <w:t>, Wallace et al., 1994</w:t>
      </w:r>
      <w:r w:rsidR="00E2265D" w:rsidRPr="008573C5">
        <w:rPr>
          <w:lang w:val="en-GB" w:eastAsia="en-GB"/>
        </w:rPr>
        <w:t>:41</w:t>
      </w:r>
      <w:r w:rsidRPr="008573C5">
        <w:rPr>
          <w:lang w:val="en-GB" w:eastAsia="en-GB"/>
        </w:rPr>
        <w:t xml:space="preserve">). Using </w:t>
      </w:r>
      <w:r w:rsidRPr="008573C5">
        <w:rPr>
          <w:iCs/>
        </w:rPr>
        <w:t>multivariate regression models, he discover</w:t>
      </w:r>
      <w:r w:rsidR="002B1F91" w:rsidRPr="008573C5">
        <w:rPr>
          <w:iCs/>
        </w:rPr>
        <w:t>s</w:t>
      </w:r>
      <w:r w:rsidRPr="008573C5">
        <w:rPr>
          <w:iCs/>
        </w:rPr>
        <w:t xml:space="preserve"> that company size, ownership structure, company age, multinational corporation alienation, and profitability have statistically significant positive effect on mandatory disclosure while the quality of external audit, industry-type and liquidity were statistically insignificant. Some of the results w</w:t>
      </w:r>
      <w:r w:rsidR="00E7692A" w:rsidRPr="008573C5">
        <w:rPr>
          <w:iCs/>
        </w:rPr>
        <w:t>ere</w:t>
      </w:r>
      <w:r w:rsidRPr="008573C5">
        <w:rPr>
          <w:iCs/>
        </w:rPr>
        <w:t xml:space="preserve"> consiste</w:t>
      </w:r>
      <w:r w:rsidR="00E7692A" w:rsidRPr="008573C5">
        <w:rPr>
          <w:iCs/>
        </w:rPr>
        <w:t>nt</w:t>
      </w:r>
      <w:r w:rsidRPr="008573C5">
        <w:rPr>
          <w:iCs/>
        </w:rPr>
        <w:t xml:space="preserve"> with prior studies e.g. Singhvi (1968</w:t>
      </w:r>
      <w:r w:rsidR="00E2265D" w:rsidRPr="008573C5">
        <w:rPr>
          <w:iCs/>
        </w:rPr>
        <w:t>:551</w:t>
      </w:r>
      <w:r w:rsidRPr="008573C5">
        <w:rPr>
          <w:iCs/>
        </w:rPr>
        <w:t>) for India, Cooke</w:t>
      </w:r>
      <w:r w:rsidR="00CB70DC" w:rsidRPr="008573C5">
        <w:rPr>
          <w:iCs/>
        </w:rPr>
        <w:t xml:space="preserve"> </w:t>
      </w:r>
      <w:r w:rsidRPr="008573C5">
        <w:rPr>
          <w:iCs/>
        </w:rPr>
        <w:t>(1992</w:t>
      </w:r>
      <w:r w:rsidR="00E2265D" w:rsidRPr="008573C5">
        <w:rPr>
          <w:iCs/>
        </w:rPr>
        <w:t>:229</w:t>
      </w:r>
      <w:r w:rsidRPr="008573C5">
        <w:rPr>
          <w:iCs/>
        </w:rPr>
        <w:t>) for Japan, Wallace et al</w:t>
      </w:r>
      <w:r w:rsidR="00960DB7" w:rsidRPr="008573C5">
        <w:rPr>
          <w:iCs/>
        </w:rPr>
        <w:t xml:space="preserve"> </w:t>
      </w:r>
      <w:r w:rsidRPr="008573C5">
        <w:rPr>
          <w:iCs/>
        </w:rPr>
        <w:t>(1994</w:t>
      </w:r>
      <w:r w:rsidR="00E2265D" w:rsidRPr="008573C5">
        <w:rPr>
          <w:iCs/>
        </w:rPr>
        <w:t>:41</w:t>
      </w:r>
      <w:r w:rsidR="00582A65" w:rsidRPr="008573C5">
        <w:rPr>
          <w:iCs/>
        </w:rPr>
        <w:t>) for Spain</w:t>
      </w:r>
      <w:r w:rsidRPr="008573C5">
        <w:rPr>
          <w:iCs/>
        </w:rPr>
        <w:t xml:space="preserve">. </w:t>
      </w:r>
      <w:r w:rsidRPr="008573C5">
        <w:t>For the same country, Zimbabwe, Chamisa</w:t>
      </w:r>
      <w:r w:rsidR="00CB70DC" w:rsidRPr="008573C5">
        <w:t xml:space="preserve"> </w:t>
      </w:r>
      <w:r w:rsidRPr="008573C5">
        <w:t>(2000</w:t>
      </w:r>
      <w:r w:rsidR="005411A5" w:rsidRPr="008573C5">
        <w:t>:267</w:t>
      </w:r>
      <w:r w:rsidRPr="008573C5">
        <w:t>), examines the compliance of listed companies with the IASC standard.  His results reveal high significance for both the compliance level and the impact of the IASC standards on the corporate r</w:t>
      </w:r>
      <w:r w:rsidR="002B1F91" w:rsidRPr="008573C5">
        <w:t>eporting practices. He concludes</w:t>
      </w:r>
      <w:r w:rsidRPr="008573C5">
        <w:t xml:space="preserve"> that the IASC standards are relevant to Zimbabwe and similar capitalistic developing countries.</w:t>
      </w:r>
    </w:p>
    <w:p w:rsidR="00FF5EDF" w:rsidRPr="008573C5" w:rsidRDefault="00FF5EDF" w:rsidP="00FF5EDF">
      <w:pPr>
        <w:autoSpaceDE w:val="0"/>
        <w:autoSpaceDN w:val="0"/>
        <w:adjustRightInd w:val="0"/>
        <w:spacing w:line="360" w:lineRule="auto"/>
        <w:rPr>
          <w:rFonts w:ascii="Palatino-Roman" w:hAnsi="Palatino-Roman" w:cs="Palatino-Roman"/>
          <w:sz w:val="22"/>
          <w:szCs w:val="22"/>
          <w:lang w:val="en-GB" w:eastAsia="en-GB"/>
        </w:rPr>
      </w:pPr>
    </w:p>
    <w:p w:rsidR="00FF5EDF" w:rsidRPr="008573C5" w:rsidRDefault="00FF5EDF" w:rsidP="00FF5EDF">
      <w:pPr>
        <w:autoSpaceDE w:val="0"/>
        <w:autoSpaceDN w:val="0"/>
        <w:adjustRightInd w:val="0"/>
        <w:spacing w:line="360" w:lineRule="auto"/>
        <w:jc w:val="both"/>
        <w:rPr>
          <w:lang w:val="en-GB" w:eastAsia="en-GB"/>
        </w:rPr>
      </w:pPr>
      <w:r w:rsidRPr="008573C5">
        <w:rPr>
          <w:lang w:val="en-GB" w:eastAsia="en-GB"/>
        </w:rPr>
        <w:t>In Asia, Banglade</w:t>
      </w:r>
      <w:r w:rsidR="00500DBE" w:rsidRPr="008573C5">
        <w:rPr>
          <w:lang w:val="en-GB" w:eastAsia="en-GB"/>
        </w:rPr>
        <w:t>sh was investigated by Karim et</w:t>
      </w:r>
      <w:r w:rsidRPr="008573C5">
        <w:rPr>
          <w:lang w:val="en-GB" w:eastAsia="en-GB"/>
        </w:rPr>
        <w:t xml:space="preserve"> al</w:t>
      </w:r>
      <w:r w:rsidR="00500DBE" w:rsidRPr="008573C5">
        <w:rPr>
          <w:lang w:val="en-GB" w:eastAsia="en-GB"/>
        </w:rPr>
        <w:t xml:space="preserve"> </w:t>
      </w:r>
      <w:r w:rsidRPr="008573C5">
        <w:rPr>
          <w:lang w:val="en-GB" w:eastAsia="en-GB"/>
        </w:rPr>
        <w:t>(1998</w:t>
      </w:r>
      <w:r w:rsidR="003313F2" w:rsidRPr="008573C5">
        <w:rPr>
          <w:lang w:val="en-GB" w:eastAsia="en-GB"/>
        </w:rPr>
        <w:t>:57</w:t>
      </w:r>
      <w:r w:rsidRPr="008573C5">
        <w:rPr>
          <w:lang w:val="en-GB" w:eastAsia="en-GB"/>
        </w:rPr>
        <w:t xml:space="preserve">). </w:t>
      </w:r>
      <w:r w:rsidR="002B1F91" w:rsidRPr="008573C5">
        <w:rPr>
          <w:lang w:val="en-GB" w:eastAsia="en-GB"/>
        </w:rPr>
        <w:t>They</w:t>
      </w:r>
      <w:r w:rsidRPr="008573C5">
        <w:rPr>
          <w:lang w:val="en-GB" w:eastAsia="en-GB"/>
        </w:rPr>
        <w:t xml:space="preserve"> investigated the extent of voluntary disclosure with 91 voluntary items for 146 companies. By using unweighted index they f</w:t>
      </w:r>
      <w:r w:rsidR="002B1F91" w:rsidRPr="008573C5">
        <w:rPr>
          <w:lang w:val="en-GB" w:eastAsia="en-GB"/>
        </w:rPr>
        <w:t>ind</w:t>
      </w:r>
      <w:r w:rsidRPr="008573C5">
        <w:rPr>
          <w:lang w:val="en-GB" w:eastAsia="en-GB"/>
        </w:rPr>
        <w:t xml:space="preserve"> that the companies</w:t>
      </w:r>
      <w:r w:rsidR="002B1F91" w:rsidRPr="008573C5">
        <w:rPr>
          <w:lang w:val="en-GB" w:eastAsia="en-GB"/>
        </w:rPr>
        <w:t xml:space="preserve"> disclose</w:t>
      </w:r>
      <w:r w:rsidRPr="008573C5">
        <w:rPr>
          <w:lang w:val="en-GB" w:eastAsia="en-GB"/>
        </w:rPr>
        <w:t xml:space="preserve"> an average of only 26 percent of the 91 voluntary</w:t>
      </w:r>
      <w:r w:rsidR="002B1F91" w:rsidRPr="008573C5">
        <w:rPr>
          <w:lang w:val="en-GB" w:eastAsia="en-GB"/>
        </w:rPr>
        <w:t xml:space="preserve"> information items. The range i</w:t>
      </w:r>
      <w:r w:rsidRPr="008573C5">
        <w:rPr>
          <w:lang w:val="en-GB" w:eastAsia="en-GB"/>
        </w:rPr>
        <w:t>s from 5 to 50.</w:t>
      </w:r>
      <w:r w:rsidRPr="008573C5">
        <w:t xml:space="preserve"> Other Asian studies include the work of Ali et al</w:t>
      </w:r>
      <w:r w:rsidR="00CB70DC" w:rsidRPr="008573C5">
        <w:t xml:space="preserve"> </w:t>
      </w:r>
      <w:r w:rsidRPr="008573C5">
        <w:t>(2004</w:t>
      </w:r>
      <w:r w:rsidR="00CB70DC" w:rsidRPr="008573C5">
        <w:t>:183</w:t>
      </w:r>
      <w:r w:rsidRPr="008573C5">
        <w:t>) and Akhtaruddin</w:t>
      </w:r>
      <w:r w:rsidR="00960DB7" w:rsidRPr="008573C5">
        <w:t xml:space="preserve"> </w:t>
      </w:r>
      <w:r w:rsidRPr="008573C5">
        <w:t>(2005</w:t>
      </w:r>
      <w:r w:rsidR="00CB70DC" w:rsidRPr="008573C5">
        <w:t>:399</w:t>
      </w:r>
      <w:r w:rsidRPr="008573C5">
        <w:t>). Akhtaruddin</w:t>
      </w:r>
      <w:r w:rsidR="00960DB7" w:rsidRPr="008573C5">
        <w:t xml:space="preserve"> </w:t>
      </w:r>
      <w:r w:rsidRPr="008573C5">
        <w:t>(2005</w:t>
      </w:r>
      <w:r w:rsidR="00CB70DC" w:rsidRPr="008573C5">
        <w:t>:399</w:t>
      </w:r>
      <w:r w:rsidRPr="008573C5">
        <w:t>) investigates the extent of mandatory disclosure by 94 comp</w:t>
      </w:r>
      <w:r w:rsidRPr="008573C5">
        <w:rPr>
          <w:lang w:val="en-GB" w:eastAsia="en-GB"/>
        </w:rPr>
        <w:t>anies listed both on the Dhaka Stock Exchange (DSE) and the Chittagong Stock Exchange (CSE).</w:t>
      </w:r>
      <w:r w:rsidR="002B1F91" w:rsidRPr="008573C5">
        <w:t xml:space="preserve"> It also assesses</w:t>
      </w:r>
      <w:r w:rsidRPr="008573C5">
        <w:t xml:space="preserve"> the relationship between company specific characteristics   (age, size, status, profitability) and mandatory disclosure of the sample companies. The disclosure index employed in this study is based mainly on the three regulatory sources namely, the Companies Act 1994, disclosure requirements of the stock exchanges, and the approved IASs. Using unweighted disclosure index and OLS regression analysis</w:t>
      </w:r>
      <w:r w:rsidR="00E7692A" w:rsidRPr="008573C5">
        <w:t>, t</w:t>
      </w:r>
      <w:r w:rsidRPr="008573C5">
        <w:t>hey f</w:t>
      </w:r>
      <w:r w:rsidR="002B1F91" w:rsidRPr="008573C5">
        <w:t>ind</w:t>
      </w:r>
      <w:r w:rsidRPr="008573C5">
        <w:t xml:space="preserve"> that companies, on average, disclose 44% of the items of information. In addition they f</w:t>
      </w:r>
      <w:r w:rsidR="002B1F91" w:rsidRPr="008573C5">
        <w:t>ind</w:t>
      </w:r>
      <w:r w:rsidRPr="008573C5">
        <w:t xml:space="preserve"> that company age, profitability and status have no significant effect on disclosure however; there is little support for industry size as a predictor of mandatory disclosure. </w:t>
      </w:r>
    </w:p>
    <w:p w:rsidR="00FF5EDF" w:rsidRPr="008573C5" w:rsidRDefault="00FF5EDF" w:rsidP="00FF5EDF">
      <w:pPr>
        <w:spacing w:before="180" w:line="360" w:lineRule="auto"/>
        <w:jc w:val="both"/>
        <w:rPr>
          <w:rFonts w:ascii="Verdana" w:hAnsi="Verdana"/>
          <w:sz w:val="19"/>
          <w:szCs w:val="19"/>
        </w:rPr>
      </w:pPr>
      <w:r w:rsidRPr="008573C5">
        <w:t>Naser</w:t>
      </w:r>
      <w:r w:rsidR="00CB70DC" w:rsidRPr="008573C5">
        <w:t xml:space="preserve"> et al</w:t>
      </w:r>
      <w:r w:rsidRPr="008573C5">
        <w:t xml:space="preserve"> (2002</w:t>
      </w:r>
      <w:r w:rsidR="00CB70DC" w:rsidRPr="008573C5">
        <w:t>:122</w:t>
      </w:r>
      <w:r w:rsidR="002B1F91" w:rsidRPr="008573C5">
        <w:t>), investigate</w:t>
      </w:r>
      <w:r w:rsidRPr="008573C5">
        <w:t xml:space="preserve"> the changes in the </w:t>
      </w:r>
      <w:r w:rsidR="00D00E6C" w:rsidRPr="008573C5">
        <w:t xml:space="preserve">disclosure practices of Jordan </w:t>
      </w:r>
      <w:r w:rsidRPr="008573C5">
        <w:t xml:space="preserve">after introducing IASs and the relationship between fifteen corporate attributes and depth of information. The outcome </w:t>
      </w:r>
      <w:r w:rsidR="002B1F91" w:rsidRPr="008573C5">
        <w:t>of the analysis reveals there i</w:t>
      </w:r>
      <w:r w:rsidRPr="008573C5">
        <w:t xml:space="preserve">s a slight increase in information disclosure after the introduction </w:t>
      </w:r>
      <w:r w:rsidR="00EB6394" w:rsidRPr="008573C5">
        <w:t xml:space="preserve">of </w:t>
      </w:r>
      <w:r w:rsidRPr="008573C5">
        <w:t>the IASs. He also finds that the depth of disclosure is associated with profitability, size, liquidity, gearing and audit firm status.</w:t>
      </w:r>
    </w:p>
    <w:p w:rsidR="00FF5EDF" w:rsidRPr="008573C5" w:rsidRDefault="00FF5EDF" w:rsidP="00FF5EDF">
      <w:pPr>
        <w:autoSpaceDE w:val="0"/>
        <w:autoSpaceDN w:val="0"/>
        <w:adjustRightInd w:val="0"/>
        <w:spacing w:line="360" w:lineRule="auto"/>
      </w:pPr>
    </w:p>
    <w:p w:rsidR="00FF5EDF" w:rsidRPr="008573C5" w:rsidRDefault="00FF5EDF" w:rsidP="00FF5EDF">
      <w:pPr>
        <w:autoSpaceDE w:val="0"/>
        <w:autoSpaceDN w:val="0"/>
        <w:adjustRightInd w:val="0"/>
        <w:spacing w:line="360" w:lineRule="auto"/>
        <w:jc w:val="both"/>
      </w:pPr>
      <w:r w:rsidRPr="008573C5">
        <w:t xml:space="preserve">Saudi Arabia became an area of interest after the </w:t>
      </w:r>
      <w:r w:rsidRPr="008573C5">
        <w:rPr>
          <w:lang w:val="en-GB" w:eastAsia="en-GB"/>
        </w:rPr>
        <w:t>Saudi authorities introduced a number of reforms in order to transform the economy in the late 1990s to 2000. One notable measure is that the Saudi government issued a law that allow</w:t>
      </w:r>
      <w:r w:rsidR="002B1F91" w:rsidRPr="008573C5">
        <w:rPr>
          <w:lang w:val="en-GB" w:eastAsia="en-GB"/>
        </w:rPr>
        <w:t>s</w:t>
      </w:r>
      <w:r w:rsidRPr="008573C5">
        <w:rPr>
          <w:lang w:val="en-GB" w:eastAsia="en-GB"/>
        </w:rPr>
        <w:t xml:space="preserve"> foreign investors, for the first time, to invest in Saudi Arabia. Central to this development are the annual reports published by companies operating in Saudi Arabia. In this light, </w:t>
      </w:r>
      <w:r w:rsidRPr="008573C5">
        <w:t>Naser and Nuseibeh</w:t>
      </w:r>
      <w:r w:rsidR="00D00E6C" w:rsidRPr="008573C5">
        <w:t xml:space="preserve"> </w:t>
      </w:r>
      <w:r w:rsidRPr="008573C5">
        <w:t>(2003</w:t>
      </w:r>
      <w:r w:rsidR="00CB70DC" w:rsidRPr="008573C5">
        <w:t>:41</w:t>
      </w:r>
      <w:r w:rsidRPr="008573C5">
        <w:t xml:space="preserve">) </w:t>
      </w:r>
      <w:r w:rsidR="00D00E6C" w:rsidRPr="008573C5">
        <w:rPr>
          <w:lang w:val="en-GB" w:eastAsia="en-GB"/>
        </w:rPr>
        <w:t>attempt</w:t>
      </w:r>
      <w:r w:rsidRPr="008573C5">
        <w:rPr>
          <w:lang w:val="en-GB" w:eastAsia="en-GB"/>
        </w:rPr>
        <w:t xml:space="preserve"> to assess</w:t>
      </w:r>
      <w:r w:rsidR="00D00E6C" w:rsidRPr="008573C5">
        <w:rPr>
          <w:lang w:val="en-GB" w:eastAsia="en-GB"/>
        </w:rPr>
        <w:t xml:space="preserve"> </w:t>
      </w:r>
      <w:r w:rsidRPr="008573C5">
        <w:rPr>
          <w:lang w:val="en-GB" w:eastAsia="en-GB"/>
        </w:rPr>
        <w:t>the quality of information disclosed by nonfinancial companies listed on the Saudi Stock Ex</w:t>
      </w:r>
      <w:r w:rsidR="00D00E6C" w:rsidRPr="008573C5">
        <w:rPr>
          <w:lang w:val="en-GB" w:eastAsia="en-GB"/>
        </w:rPr>
        <w:t xml:space="preserve">change by examining the extent </w:t>
      </w:r>
      <w:r w:rsidRPr="008573C5">
        <w:rPr>
          <w:lang w:val="en-GB" w:eastAsia="en-GB"/>
        </w:rPr>
        <w:t xml:space="preserve">to which Saudi firms comply with stated accounting measurement and disclosure.  </w:t>
      </w:r>
      <w:r w:rsidRPr="008573C5">
        <w:t xml:space="preserve">An Index of disclosure is constructed using three main categories: mandatory; voluntary related to mandatory; and voluntary unrelated to mandatory disclosure.   The outcome of the analysis indicated a relatively high compliance with the mandatory requirements in all industries covered by the study, with the exception of the electricity sector. As for the voluntary </w:t>
      </w:r>
      <w:r w:rsidR="002B1F91" w:rsidRPr="008573C5">
        <w:t>disclosure, the analysis reveals</w:t>
      </w:r>
      <w:r w:rsidRPr="008573C5">
        <w:t xml:space="preserve"> that Saudi companies disclose information more than the minimum required by law. The level of voluntary disclosure, however, is relatively low. </w:t>
      </w:r>
    </w:p>
    <w:p w:rsidR="00FF5EDF" w:rsidRPr="008573C5" w:rsidRDefault="00FF5EDF" w:rsidP="00FF5EDF">
      <w:pPr>
        <w:autoSpaceDE w:val="0"/>
        <w:autoSpaceDN w:val="0"/>
        <w:adjustRightInd w:val="0"/>
        <w:spacing w:line="360" w:lineRule="auto"/>
        <w:jc w:val="both"/>
      </w:pPr>
    </w:p>
    <w:p w:rsidR="00FF5EDF" w:rsidRPr="008573C5" w:rsidRDefault="00FF5EDF" w:rsidP="00FF5EDF">
      <w:pPr>
        <w:autoSpaceDE w:val="0"/>
        <w:autoSpaceDN w:val="0"/>
        <w:adjustRightInd w:val="0"/>
        <w:spacing w:line="360" w:lineRule="auto"/>
        <w:jc w:val="both"/>
        <w:rPr>
          <w:iCs/>
        </w:rPr>
      </w:pPr>
      <w:r w:rsidRPr="008573C5">
        <w:t>In India, Ahmed</w:t>
      </w:r>
      <w:r w:rsidR="00CB70DC" w:rsidRPr="008573C5">
        <w:t xml:space="preserve"> </w:t>
      </w:r>
      <w:r w:rsidRPr="008573C5">
        <w:t>(2005</w:t>
      </w:r>
      <w:r w:rsidR="00CB70DC" w:rsidRPr="008573C5">
        <w:t>:73</w:t>
      </w:r>
      <w:r w:rsidR="00DC1D64" w:rsidRPr="008573C5">
        <w:t>)</w:t>
      </w:r>
      <w:r w:rsidR="00DC1D64" w:rsidRPr="008573C5">
        <w:rPr>
          <w:iCs/>
        </w:rPr>
        <w:t xml:space="preserve"> investigates</w:t>
      </w:r>
      <w:r w:rsidRPr="008573C5">
        <w:rPr>
          <w:iCs/>
        </w:rPr>
        <w:t xml:space="preserve"> the extent </w:t>
      </w:r>
      <w:r w:rsidR="00DC1D64" w:rsidRPr="008573C5">
        <w:rPr>
          <w:iCs/>
        </w:rPr>
        <w:t>of voluntary</w:t>
      </w:r>
      <w:r w:rsidRPr="008573C5">
        <w:rPr>
          <w:iCs/>
        </w:rPr>
        <w:t xml:space="preserve"> reporting practices of listed non-financial companies with 12 disclosure items for 100 companies. He also relates the extent of voluntary reporting practices to industry type. An unweighted disclosure index was applied to the corporate annual reports for the year ending between June 30, 2002 and December</w:t>
      </w:r>
      <w:r w:rsidR="00416FC7" w:rsidRPr="008573C5">
        <w:rPr>
          <w:iCs/>
        </w:rPr>
        <w:t xml:space="preserve"> </w:t>
      </w:r>
      <w:r w:rsidRPr="008573C5">
        <w:rPr>
          <w:iCs/>
        </w:rPr>
        <w:t>31, 2002. He f</w:t>
      </w:r>
      <w:r w:rsidR="001F434E" w:rsidRPr="008573C5">
        <w:rPr>
          <w:iCs/>
        </w:rPr>
        <w:t>inds</w:t>
      </w:r>
      <w:r w:rsidRPr="008573C5">
        <w:rPr>
          <w:iCs/>
        </w:rPr>
        <w:t xml:space="preserve"> that the level of reporting voluntary information items is low and the variability in the level of reporting among the companies is wide. Sector wise comparison of voluntary reporting shows little fluctuations among the sectors that indicate a great deal of similarity among them in respect of reporting voluntary information items</w:t>
      </w:r>
    </w:p>
    <w:p w:rsidR="00FF5EDF" w:rsidRPr="008573C5" w:rsidRDefault="00FF5EDF" w:rsidP="00FF5EDF">
      <w:pPr>
        <w:autoSpaceDE w:val="0"/>
        <w:autoSpaceDN w:val="0"/>
        <w:adjustRightInd w:val="0"/>
        <w:spacing w:line="360" w:lineRule="auto"/>
        <w:jc w:val="both"/>
      </w:pPr>
    </w:p>
    <w:p w:rsidR="00FF5EDF" w:rsidRPr="008573C5" w:rsidRDefault="00FF5EDF" w:rsidP="00FF5EDF">
      <w:pPr>
        <w:autoSpaceDE w:val="0"/>
        <w:autoSpaceDN w:val="0"/>
        <w:adjustRightInd w:val="0"/>
        <w:spacing w:line="360" w:lineRule="auto"/>
        <w:jc w:val="both"/>
      </w:pPr>
      <w:r w:rsidRPr="008573C5">
        <w:t xml:space="preserve">A detailed analysis of the disclosures of the financial statements of listed companies </w:t>
      </w:r>
      <w:r w:rsidR="00D00E6C" w:rsidRPr="008573C5">
        <w:t>i</w:t>
      </w:r>
      <w:r w:rsidR="001F434E" w:rsidRPr="008573C5">
        <w:t>n the Egyptian Stock i</w:t>
      </w:r>
      <w:r w:rsidRPr="008573C5">
        <w:t xml:space="preserve">s conducted by </w:t>
      </w:r>
      <w:r w:rsidRPr="008573C5">
        <w:rPr>
          <w:iCs/>
        </w:rPr>
        <w:t>Dahawy and Conover (2007</w:t>
      </w:r>
      <w:r w:rsidR="00E60515" w:rsidRPr="008573C5">
        <w:rPr>
          <w:iCs/>
        </w:rPr>
        <w:t>:1</w:t>
      </w:r>
      <w:r w:rsidR="001F434E" w:rsidRPr="008573C5">
        <w:rPr>
          <w:iCs/>
        </w:rPr>
        <w:t>). They use</w:t>
      </w:r>
      <w:r w:rsidRPr="008573C5">
        <w:rPr>
          <w:iCs/>
        </w:rPr>
        <w:t xml:space="preserve"> the disclosure check list already designed by the Egyptian Capital Market Authority to measure compliance of the companies to disclosure requirement of the standards. The findings reveal that not all the companies compl</w:t>
      </w:r>
      <w:r w:rsidR="001F434E" w:rsidRPr="008573C5">
        <w:rPr>
          <w:iCs/>
        </w:rPr>
        <w:t>y</w:t>
      </w:r>
      <w:r w:rsidRPr="008573C5">
        <w:rPr>
          <w:iCs/>
        </w:rPr>
        <w:t xml:space="preserve"> fully with the international </w:t>
      </w:r>
      <w:r w:rsidR="001F434E" w:rsidRPr="008573C5">
        <w:rPr>
          <w:iCs/>
        </w:rPr>
        <w:t>standard. The compliance rate i</w:t>
      </w:r>
      <w:r w:rsidRPr="008573C5">
        <w:rPr>
          <w:iCs/>
        </w:rPr>
        <w:t>s between 52% and 76% with an average disclosure level of 62%. T</w:t>
      </w:r>
      <w:r w:rsidR="001F434E" w:rsidRPr="008573C5">
        <w:rPr>
          <w:iCs/>
        </w:rPr>
        <w:t>he lowest level of compliance i</w:t>
      </w:r>
      <w:r w:rsidRPr="008573C5">
        <w:rPr>
          <w:iCs/>
        </w:rPr>
        <w:t>s noticed for consolidated financial statements, leasing and treatment of intangible a</w:t>
      </w:r>
      <w:r w:rsidR="001F434E" w:rsidRPr="008573C5">
        <w:rPr>
          <w:iCs/>
        </w:rPr>
        <w:t>ssets. Their result i</w:t>
      </w:r>
      <w:r w:rsidRPr="008573C5">
        <w:rPr>
          <w:iCs/>
        </w:rPr>
        <w:t>s consistent with Street and Gray</w:t>
      </w:r>
      <w:r w:rsidR="00D00E6C" w:rsidRPr="008573C5">
        <w:rPr>
          <w:iCs/>
        </w:rPr>
        <w:t xml:space="preserve"> </w:t>
      </w:r>
      <w:r w:rsidRPr="008573C5">
        <w:rPr>
          <w:iCs/>
        </w:rPr>
        <w:t>(2001</w:t>
      </w:r>
      <w:r w:rsidR="00E60515" w:rsidRPr="008573C5">
        <w:rPr>
          <w:iCs/>
        </w:rPr>
        <w:t>:1</w:t>
      </w:r>
      <w:r w:rsidRPr="008573C5">
        <w:rPr>
          <w:iCs/>
        </w:rPr>
        <w:t>) who f</w:t>
      </w:r>
      <w:r w:rsidR="001F434E" w:rsidRPr="008573C5">
        <w:rPr>
          <w:iCs/>
        </w:rPr>
        <w:t>i</w:t>
      </w:r>
      <w:r w:rsidRPr="008573C5">
        <w:rPr>
          <w:iCs/>
        </w:rPr>
        <w:t>nd similar results for countries studied.</w:t>
      </w:r>
    </w:p>
    <w:p w:rsidR="00FF5EDF" w:rsidRPr="008573C5" w:rsidRDefault="00FF5EDF" w:rsidP="00FF5EDF">
      <w:pPr>
        <w:autoSpaceDE w:val="0"/>
        <w:autoSpaceDN w:val="0"/>
        <w:adjustRightInd w:val="0"/>
        <w:spacing w:line="360" w:lineRule="auto"/>
        <w:jc w:val="both"/>
      </w:pPr>
    </w:p>
    <w:p w:rsidR="00FF5EDF" w:rsidRPr="008573C5" w:rsidRDefault="0005589B" w:rsidP="00FF5EDF">
      <w:pPr>
        <w:pStyle w:val="Heading2"/>
        <w:spacing w:line="360" w:lineRule="auto"/>
        <w:rPr>
          <w:rFonts w:ascii="Times New Roman" w:hAnsi="Times New Roman" w:cs="Times New Roman"/>
          <w:i w:val="0"/>
        </w:rPr>
      </w:pPr>
      <w:r w:rsidRPr="008573C5">
        <w:rPr>
          <w:rFonts w:ascii="Times New Roman" w:hAnsi="Times New Roman" w:cs="Times New Roman"/>
          <w:i w:val="0"/>
        </w:rPr>
        <w:t>2.2</w:t>
      </w:r>
      <w:r w:rsidR="00CE2EA1" w:rsidRPr="008573C5">
        <w:rPr>
          <w:rFonts w:ascii="Times New Roman" w:hAnsi="Times New Roman" w:cs="Times New Roman"/>
          <w:i w:val="0"/>
        </w:rPr>
        <w:t>.3</w:t>
      </w:r>
      <w:r w:rsidR="00CE2EA1" w:rsidRPr="008573C5">
        <w:rPr>
          <w:rFonts w:ascii="Times New Roman" w:hAnsi="Times New Roman" w:cs="Times New Roman"/>
          <w:i w:val="0"/>
        </w:rPr>
        <w:tab/>
      </w:r>
      <w:r w:rsidR="003801F8" w:rsidRPr="008573C5">
        <w:rPr>
          <w:rFonts w:ascii="Times New Roman" w:hAnsi="Times New Roman" w:cs="Times New Roman"/>
          <w:i w:val="0"/>
        </w:rPr>
        <w:t>Previous Studies on IAS/</w:t>
      </w:r>
      <w:r w:rsidR="00FF5EDF" w:rsidRPr="008573C5">
        <w:rPr>
          <w:rFonts w:ascii="Times New Roman" w:hAnsi="Times New Roman" w:cs="Times New Roman"/>
          <w:i w:val="0"/>
        </w:rPr>
        <w:t>I</w:t>
      </w:r>
      <w:r w:rsidR="003C3CEB" w:rsidRPr="008573C5">
        <w:rPr>
          <w:rFonts w:ascii="Times New Roman" w:hAnsi="Times New Roman" w:cs="Times New Roman"/>
          <w:i w:val="0"/>
        </w:rPr>
        <w:t>FRS</w:t>
      </w:r>
      <w:r w:rsidR="00FF5EDF" w:rsidRPr="008573C5">
        <w:rPr>
          <w:rFonts w:ascii="Times New Roman" w:hAnsi="Times New Roman" w:cs="Times New Roman"/>
          <w:i w:val="0"/>
        </w:rPr>
        <w:t xml:space="preserve"> and Financial Reporting</w:t>
      </w:r>
    </w:p>
    <w:p w:rsidR="00DC1D64" w:rsidRPr="008573C5" w:rsidRDefault="00FF5EDF" w:rsidP="00FF5EDF">
      <w:pPr>
        <w:autoSpaceDE w:val="0"/>
        <w:autoSpaceDN w:val="0"/>
        <w:adjustRightInd w:val="0"/>
        <w:spacing w:line="360" w:lineRule="auto"/>
        <w:jc w:val="both"/>
        <w:rPr>
          <w:lang w:val="en-GB" w:eastAsia="en-GB"/>
        </w:rPr>
      </w:pPr>
      <w:r w:rsidRPr="008573C5">
        <w:rPr>
          <w:lang w:val="en-GB" w:eastAsia="en-GB"/>
        </w:rPr>
        <w:t>The degree of compliance by companies claiming to comply with I</w:t>
      </w:r>
      <w:r w:rsidR="003C3CEB" w:rsidRPr="008573C5">
        <w:rPr>
          <w:lang w:val="en-GB" w:eastAsia="en-GB"/>
        </w:rPr>
        <w:t>FRS</w:t>
      </w:r>
      <w:r w:rsidRPr="008573C5">
        <w:rPr>
          <w:lang w:val="en-GB" w:eastAsia="en-GB"/>
        </w:rPr>
        <w:t xml:space="preserve"> is very mixed and selective. According to Street, Gray and Bryant</w:t>
      </w:r>
      <w:r w:rsidR="00D00E6C" w:rsidRPr="008573C5">
        <w:rPr>
          <w:lang w:val="en-GB" w:eastAsia="en-GB"/>
        </w:rPr>
        <w:t xml:space="preserve"> </w:t>
      </w:r>
      <w:r w:rsidRPr="008573C5">
        <w:rPr>
          <w:lang w:val="en-GB" w:eastAsia="en-GB"/>
        </w:rPr>
        <w:t xml:space="preserve">(1999:46), IFAC had asserted in times past that auditors </w:t>
      </w:r>
      <w:r w:rsidR="001F434E" w:rsidRPr="008573C5">
        <w:rPr>
          <w:lang w:val="en-GB" w:eastAsia="en-GB"/>
        </w:rPr>
        <w:t>were</w:t>
      </w:r>
      <w:r w:rsidRPr="008573C5">
        <w:rPr>
          <w:lang w:val="en-GB" w:eastAsia="en-GB"/>
        </w:rPr>
        <w:t xml:space="preserve"> asserting that financial statements compl</w:t>
      </w:r>
      <w:r w:rsidR="001F434E" w:rsidRPr="008573C5">
        <w:rPr>
          <w:lang w:val="en-GB" w:eastAsia="en-GB"/>
        </w:rPr>
        <w:t>ied</w:t>
      </w:r>
      <w:r w:rsidRPr="008573C5">
        <w:rPr>
          <w:lang w:val="en-GB" w:eastAsia="en-GB"/>
        </w:rPr>
        <w:t xml:space="preserve"> with IASs when the accounting policies footnotes and other notes show</w:t>
      </w:r>
      <w:r w:rsidR="001F434E" w:rsidRPr="008573C5">
        <w:rPr>
          <w:lang w:val="en-GB" w:eastAsia="en-GB"/>
        </w:rPr>
        <w:t>ed otherwise. They opine</w:t>
      </w:r>
      <w:r w:rsidRPr="008573C5">
        <w:rPr>
          <w:lang w:val="en-GB" w:eastAsia="en-GB"/>
        </w:rPr>
        <w:t xml:space="preserve"> that while many companies may appear anxious to seek the international investment status that comes with the adoption of IASs they are not always willing to fulfil all obligations involved. To this end they </w:t>
      </w:r>
      <w:r w:rsidRPr="008573C5">
        <w:t>empirically examine t</w:t>
      </w:r>
      <w:r w:rsidRPr="008573C5">
        <w:rPr>
          <w:lang w:val="en-GB" w:eastAsia="en-GB"/>
        </w:rPr>
        <w:t>he 1996 annual reports for 49 compa</w:t>
      </w:r>
      <w:r w:rsidR="00726C65" w:rsidRPr="008573C5">
        <w:rPr>
          <w:lang w:val="en-GB" w:eastAsia="en-GB"/>
        </w:rPr>
        <w:t xml:space="preserve">nies in 12 developed countries </w:t>
      </w:r>
      <w:r w:rsidRPr="008573C5">
        <w:rPr>
          <w:lang w:val="en-GB" w:eastAsia="en-GB"/>
        </w:rPr>
        <w:t>to determine the extent of compliance with IASs. Their tests for compliance focuse</w:t>
      </w:r>
      <w:r w:rsidR="001F434E" w:rsidRPr="008573C5">
        <w:rPr>
          <w:lang w:val="en-GB" w:eastAsia="en-GB"/>
        </w:rPr>
        <w:t>s</w:t>
      </w:r>
      <w:r w:rsidRPr="008573C5">
        <w:rPr>
          <w:lang w:val="en-GB" w:eastAsia="en-GB"/>
        </w:rPr>
        <w:t xml:space="preserve"> on both measurement and disclosure issues for the IASs revised during the Comparability Project. This entails IAS 2 to IAS 23, but excludes  IAS 11,</w:t>
      </w:r>
      <w:r w:rsidR="001F434E" w:rsidRPr="008573C5">
        <w:rPr>
          <w:lang w:val="en-GB" w:eastAsia="en-GB"/>
        </w:rPr>
        <w:t xml:space="preserve"> Construction Contracts, which i</w:t>
      </w:r>
      <w:r w:rsidRPr="008573C5">
        <w:rPr>
          <w:lang w:val="en-GB" w:eastAsia="en-GB"/>
        </w:rPr>
        <w:t>s not applicable for most Companies.</w:t>
      </w:r>
    </w:p>
    <w:p w:rsidR="00DC1D64" w:rsidRPr="008573C5" w:rsidRDefault="00DC1D64" w:rsidP="00FF5EDF">
      <w:pPr>
        <w:autoSpaceDE w:val="0"/>
        <w:autoSpaceDN w:val="0"/>
        <w:adjustRightInd w:val="0"/>
        <w:spacing w:line="360" w:lineRule="auto"/>
        <w:jc w:val="both"/>
        <w:rPr>
          <w:lang w:val="en-GB" w:eastAsia="en-GB"/>
        </w:rPr>
      </w:pPr>
    </w:p>
    <w:p w:rsidR="00FF5EDF" w:rsidRPr="008573C5" w:rsidRDefault="00FF5EDF" w:rsidP="00FF5EDF">
      <w:pPr>
        <w:autoSpaceDE w:val="0"/>
        <w:autoSpaceDN w:val="0"/>
        <w:adjustRightInd w:val="0"/>
        <w:spacing w:line="360" w:lineRule="auto"/>
        <w:jc w:val="both"/>
        <w:rPr>
          <w:lang w:val="en-GB" w:eastAsia="en-GB"/>
        </w:rPr>
      </w:pPr>
      <w:r w:rsidRPr="008573C5">
        <w:t>Their findings reveal that</w:t>
      </w:r>
      <w:r w:rsidR="001F434E" w:rsidRPr="008573C5">
        <w:rPr>
          <w:lang w:val="en-GB" w:eastAsia="en-GB"/>
        </w:rPr>
        <w:t xml:space="preserve"> only 20</w:t>
      </w:r>
      <w:r w:rsidR="008C1387" w:rsidRPr="008573C5">
        <w:rPr>
          <w:lang w:val="en-GB" w:eastAsia="en-GB"/>
        </w:rPr>
        <w:t xml:space="preserve"> </w:t>
      </w:r>
      <w:r w:rsidR="001F434E" w:rsidRPr="008573C5">
        <w:rPr>
          <w:lang w:val="en-GB" w:eastAsia="en-GB"/>
        </w:rPr>
        <w:t>(41%) companies note</w:t>
      </w:r>
      <w:r w:rsidRPr="008573C5">
        <w:rPr>
          <w:lang w:val="en-GB" w:eastAsia="en-GB"/>
        </w:rPr>
        <w:t xml:space="preserve"> full compliance wi</w:t>
      </w:r>
      <w:r w:rsidR="001F434E" w:rsidRPr="008573C5">
        <w:rPr>
          <w:lang w:val="en-GB" w:eastAsia="en-GB"/>
        </w:rPr>
        <w:t>th IASs while 29</w:t>
      </w:r>
      <w:r w:rsidR="008C1387" w:rsidRPr="008573C5">
        <w:rPr>
          <w:lang w:val="en-GB" w:eastAsia="en-GB"/>
        </w:rPr>
        <w:t xml:space="preserve"> (59%)</w:t>
      </w:r>
      <w:r w:rsidR="001F434E" w:rsidRPr="008573C5">
        <w:rPr>
          <w:lang w:val="en-GB" w:eastAsia="en-GB"/>
        </w:rPr>
        <w:t xml:space="preserve"> companies note</w:t>
      </w:r>
      <w:r w:rsidRPr="008573C5">
        <w:rPr>
          <w:lang w:val="en-GB" w:eastAsia="en-GB"/>
        </w:rPr>
        <w:t xml:space="preserve"> compliance with some limited exceptions. The main areas of noncompliance are in respect of IAS 2, Inventory, where 4% of the companies used inventory valuations not endorsed by the standard and did not disclose the method used. In the case of IAS 8, Net Profit or Loss, for the Period, 27% of the companies violate the all inclusive requirement and 20% violated the IASC’s strict guidelines on extraordinary items. Noncompliance in respect of disclosures was noticed for IAS 9, Research and Development Costs, and for IAS 16, Property, Plant and Equipment. For IAS 18, Revenue, the majority of companies (55%) are not in compliance with the disclosure requirements. In respect of IAS 19, Retirement Benefit Costs, disclosure by the majority of companies (53%) is very limited. Some companies use methods eliminated by the standard for IAS 21, and failure to comply with the required standard was evident in IAS 22, Effects of Changes in Foreign Exchange Rates and IAS 23 Borrowing Costs. </w:t>
      </w:r>
      <w:r w:rsidRPr="008573C5">
        <w:t>Taylor and Jones</w:t>
      </w:r>
      <w:r w:rsidR="00E60515" w:rsidRPr="008573C5">
        <w:t xml:space="preserve"> </w:t>
      </w:r>
      <w:r w:rsidRPr="008573C5">
        <w:t>(1999</w:t>
      </w:r>
      <w:r w:rsidR="00E60515" w:rsidRPr="008573C5">
        <w:t>:557</w:t>
      </w:r>
      <w:r w:rsidRPr="008573C5">
        <w:t xml:space="preserve">) investigate where and how companies that purport to be using International Accounting Standards (IAS) are referring to IAS in their financial statements. </w:t>
      </w:r>
      <w:r w:rsidRPr="008573C5">
        <w:rPr>
          <w:lang w:val="en-GB" w:eastAsia="en-GB"/>
        </w:rPr>
        <w:t>One hundred and twenty-four financial statements from a total of 26 devel</w:t>
      </w:r>
      <w:r w:rsidR="001F434E" w:rsidRPr="008573C5">
        <w:rPr>
          <w:lang w:val="en-GB" w:eastAsia="en-GB"/>
        </w:rPr>
        <w:t>oped and developing countries a</w:t>
      </w:r>
      <w:r w:rsidRPr="008573C5">
        <w:rPr>
          <w:lang w:val="en-GB" w:eastAsia="en-GB"/>
        </w:rPr>
        <w:t>re examined and classified.</w:t>
      </w:r>
      <w:r w:rsidRPr="008573C5">
        <w:t xml:space="preserve"> Virtually all firms surveyed refer to IAS in the footnotes but refer to IAS in the audit report just under 50% of the time.</w:t>
      </w:r>
      <w:r w:rsidRPr="008573C5">
        <w:rPr>
          <w:lang w:val="en-GB" w:eastAsia="en-GB"/>
        </w:rPr>
        <w:t xml:space="preserve"> The country with the largest number of IAS references is Switzerland, followed by Canada, France and Sweden</w:t>
      </w:r>
      <w:r w:rsidR="00E7692A" w:rsidRPr="008573C5">
        <w:rPr>
          <w:lang w:val="en-GB" w:eastAsia="en-GB"/>
        </w:rPr>
        <w:t xml:space="preserve">. </w:t>
      </w:r>
      <w:r w:rsidRPr="008573C5">
        <w:rPr>
          <w:lang w:val="en-GB" w:eastAsia="en-GB"/>
        </w:rPr>
        <w:t xml:space="preserve"> </w:t>
      </w:r>
    </w:p>
    <w:p w:rsidR="00FF5EDF" w:rsidRPr="008573C5" w:rsidRDefault="00FF5EDF" w:rsidP="00FF5EDF">
      <w:pPr>
        <w:autoSpaceDE w:val="0"/>
        <w:autoSpaceDN w:val="0"/>
        <w:adjustRightInd w:val="0"/>
        <w:spacing w:line="360" w:lineRule="auto"/>
        <w:jc w:val="both"/>
        <w:rPr>
          <w:lang w:val="en-GB" w:eastAsia="en-GB"/>
        </w:rPr>
      </w:pPr>
    </w:p>
    <w:p w:rsidR="00FF5EDF" w:rsidRPr="008573C5" w:rsidRDefault="00FF5EDF" w:rsidP="00FF5EDF">
      <w:pPr>
        <w:autoSpaceDE w:val="0"/>
        <w:autoSpaceDN w:val="0"/>
        <w:adjustRightInd w:val="0"/>
        <w:spacing w:line="360" w:lineRule="auto"/>
        <w:jc w:val="both"/>
      </w:pPr>
      <w:r w:rsidRPr="008573C5">
        <w:t>Street and Bryant</w:t>
      </w:r>
      <w:r w:rsidR="00D00E6C" w:rsidRPr="008573C5">
        <w:t xml:space="preserve"> </w:t>
      </w:r>
      <w:r w:rsidRPr="008573C5">
        <w:t>(2000</w:t>
      </w:r>
      <w:r w:rsidR="00E60515" w:rsidRPr="008573C5">
        <w:t>:41</w:t>
      </w:r>
      <w:r w:rsidRPr="008573C5">
        <w:t>)</w:t>
      </w:r>
      <w:r w:rsidR="00E7692A" w:rsidRPr="008573C5">
        <w:t xml:space="preserve"> go</w:t>
      </w:r>
      <w:r w:rsidRPr="008573C5">
        <w:t xml:space="preserve"> further to examine the overall level of disclosure and the level of compliance of companies preparing IAS based f</w:t>
      </w:r>
      <w:r w:rsidR="001F434E" w:rsidRPr="008573C5">
        <w:t>inancial statements. They utilise</w:t>
      </w:r>
      <w:r w:rsidRPr="008573C5">
        <w:t xml:space="preserve"> the methodology adopted by </w:t>
      </w:r>
      <w:r w:rsidR="001F434E" w:rsidRPr="008573C5">
        <w:t>Cooke (1989, 1992) and develop</w:t>
      </w:r>
      <w:r w:rsidRPr="008573C5">
        <w:t xml:space="preserve"> hypothesis based on prior literature. Their findings reveal the overall level of com</w:t>
      </w:r>
      <w:r w:rsidR="001F434E" w:rsidRPr="008573C5">
        <w:t>pliance for the entire sample i</w:t>
      </w:r>
      <w:r w:rsidRPr="008573C5">
        <w:t xml:space="preserve">s less than or equal to 75% of </w:t>
      </w:r>
      <w:r w:rsidR="001F434E" w:rsidRPr="008573C5">
        <w:t>several IASs. For IAS 17, 71% i</w:t>
      </w:r>
      <w:r w:rsidRPr="008573C5">
        <w:t>s observed, for I</w:t>
      </w:r>
      <w:r w:rsidR="001F434E" w:rsidRPr="008573C5">
        <w:t>AS 19, Employee benefits, 69% i</w:t>
      </w:r>
      <w:r w:rsidRPr="008573C5">
        <w:t>s observed, for IAS 14, Segment reporti</w:t>
      </w:r>
      <w:r w:rsidR="001F434E" w:rsidRPr="008573C5">
        <w:t>ng 60% is observed while 50% i</w:t>
      </w:r>
      <w:r w:rsidRPr="008573C5">
        <w:t>s observed for IAS 23 Borrowing Costs and IAS 29 Financial Reporting for Hy</w:t>
      </w:r>
      <w:r w:rsidR="00793F28" w:rsidRPr="008573C5">
        <w:t>perinflationary economies. It i</w:t>
      </w:r>
      <w:r w:rsidRPr="008573C5">
        <w:t xml:space="preserve">s discovered that the overall level of disclosure is greater for companies with U.S. listings. Additionally, higher level of compliance is associated with an audit opinion that states the financial statements are in accordance with IASs and the accounting policies footnote that specifically states that the financial statements are prepared in accordance with IASs. </w:t>
      </w:r>
    </w:p>
    <w:p w:rsidR="00FF5EDF" w:rsidRPr="008573C5" w:rsidRDefault="00FF5EDF" w:rsidP="00FF5EDF">
      <w:pPr>
        <w:autoSpaceDE w:val="0"/>
        <w:autoSpaceDN w:val="0"/>
        <w:adjustRightInd w:val="0"/>
        <w:spacing w:line="360" w:lineRule="auto"/>
        <w:jc w:val="both"/>
      </w:pPr>
    </w:p>
    <w:p w:rsidR="00FF5EDF" w:rsidRPr="008573C5" w:rsidRDefault="00FF5EDF" w:rsidP="00FF5EDF">
      <w:pPr>
        <w:autoSpaceDE w:val="0"/>
        <w:autoSpaceDN w:val="0"/>
        <w:adjustRightInd w:val="0"/>
        <w:spacing w:line="360" w:lineRule="auto"/>
        <w:jc w:val="both"/>
      </w:pPr>
      <w:r w:rsidRPr="008573C5">
        <w:t>Some critics may argue that the state of economic development between developed and developing countries may question the relevance of IASs to developing nations due to a variety of environmental factors</w:t>
      </w:r>
      <w:r w:rsidR="00D00E6C" w:rsidRPr="008573C5">
        <w:t xml:space="preserve"> </w:t>
      </w:r>
      <w:r w:rsidRPr="008573C5">
        <w:t>(Chamisa,</w:t>
      </w:r>
      <w:r w:rsidR="00D00E6C" w:rsidRPr="008573C5">
        <w:t xml:space="preserve"> </w:t>
      </w:r>
      <w:r w:rsidRPr="008573C5">
        <w:t>2000: 278). However, this question on relevance of IASs stan</w:t>
      </w:r>
      <w:r w:rsidR="00C55CC9" w:rsidRPr="008573C5">
        <w:t>dards to developing countries i</w:t>
      </w:r>
      <w:r w:rsidRPr="008573C5">
        <w:t>s evaluated by Chamisa</w:t>
      </w:r>
      <w:r w:rsidR="00D00E6C" w:rsidRPr="008573C5">
        <w:t xml:space="preserve"> </w:t>
      </w:r>
      <w:r w:rsidRPr="008573C5">
        <w:t xml:space="preserve">(2000:267) using Zimbabwe as case study. He examines the </w:t>
      </w:r>
      <w:r w:rsidRPr="008573C5">
        <w:rPr>
          <w:i/>
        </w:rPr>
        <w:t>de facto</w:t>
      </w:r>
      <w:r w:rsidRPr="008573C5">
        <w:t xml:space="preserve"> compliance by a sample of listed Zimbabwe companies. The result reveals that listed Zimbabwe companies appear to comply significantly with IASs disclosure requirement which are not required by the Companies Act. Specifically, this is so for the requirements of IASs 1, 2,</w:t>
      </w:r>
      <w:r w:rsidR="00EA5251" w:rsidRPr="008573C5">
        <w:t xml:space="preserve"> </w:t>
      </w:r>
      <w:r w:rsidRPr="008573C5">
        <w:t>3,</w:t>
      </w:r>
      <w:r w:rsidR="00EA5251" w:rsidRPr="008573C5">
        <w:t xml:space="preserve"> </w:t>
      </w:r>
      <w:r w:rsidRPr="008573C5">
        <w:t>4,</w:t>
      </w:r>
      <w:r w:rsidR="00EA5251" w:rsidRPr="008573C5">
        <w:t xml:space="preserve"> </w:t>
      </w:r>
      <w:r w:rsidRPr="008573C5">
        <w:t>5,</w:t>
      </w:r>
      <w:r w:rsidR="00EA5251" w:rsidRPr="008573C5">
        <w:t xml:space="preserve"> </w:t>
      </w:r>
      <w:r w:rsidRPr="008573C5">
        <w:t>6,</w:t>
      </w:r>
      <w:r w:rsidR="00EA5251" w:rsidRPr="008573C5">
        <w:t xml:space="preserve"> </w:t>
      </w:r>
      <w:r w:rsidRPr="008573C5">
        <w:t>7,</w:t>
      </w:r>
      <w:r w:rsidR="00EA5251" w:rsidRPr="008573C5">
        <w:t xml:space="preserve"> </w:t>
      </w:r>
      <w:r w:rsidRPr="008573C5">
        <w:t>10,</w:t>
      </w:r>
      <w:r w:rsidR="00EA5251" w:rsidRPr="008573C5">
        <w:t xml:space="preserve"> </w:t>
      </w:r>
      <w:r w:rsidRPr="008573C5">
        <w:t>12,</w:t>
      </w:r>
      <w:r w:rsidR="00EA5251" w:rsidRPr="008573C5">
        <w:t xml:space="preserve"> </w:t>
      </w:r>
      <w:r w:rsidRPr="008573C5">
        <w:t>13,</w:t>
      </w:r>
      <w:r w:rsidR="00EA5251" w:rsidRPr="008573C5">
        <w:t xml:space="preserve"> </w:t>
      </w:r>
      <w:r w:rsidRPr="008573C5">
        <w:t>16,</w:t>
      </w:r>
      <w:r w:rsidR="00EA5251" w:rsidRPr="008573C5">
        <w:t xml:space="preserve"> </w:t>
      </w:r>
      <w:r w:rsidRPr="008573C5">
        <w:t>19 and 21 in 1990. He concludes that IASs appear to have significant impact on the reporting practices of Zimbabwe listed companies.</w:t>
      </w:r>
    </w:p>
    <w:p w:rsidR="00FF5EDF" w:rsidRPr="008573C5" w:rsidRDefault="00FF5EDF" w:rsidP="00FF5EDF">
      <w:pPr>
        <w:autoSpaceDE w:val="0"/>
        <w:autoSpaceDN w:val="0"/>
        <w:adjustRightInd w:val="0"/>
        <w:spacing w:line="360" w:lineRule="auto"/>
        <w:jc w:val="both"/>
      </w:pPr>
    </w:p>
    <w:p w:rsidR="00FF5EDF" w:rsidRPr="008573C5" w:rsidRDefault="00FF5EDF" w:rsidP="00FF5EDF">
      <w:pPr>
        <w:autoSpaceDE w:val="0"/>
        <w:autoSpaceDN w:val="0"/>
        <w:adjustRightInd w:val="0"/>
        <w:spacing w:line="360" w:lineRule="auto"/>
        <w:jc w:val="both"/>
      </w:pPr>
      <w:r w:rsidRPr="008573C5">
        <w:t>After the International Accounting Standard Board came on board in 2001, there was concern that a comprehensive infrastructure should be in place so that high quality international accounting and reporting standards should be used, interpreted and consistently enforced throughout the world. In this light, Street and Gray</w:t>
      </w:r>
      <w:r w:rsidR="00EA5251" w:rsidRPr="008573C5">
        <w:t xml:space="preserve"> </w:t>
      </w:r>
      <w:r w:rsidRPr="008573C5">
        <w:t>(2001</w:t>
      </w:r>
      <w:r w:rsidR="00FF5108" w:rsidRPr="008573C5">
        <w:t>:1</w:t>
      </w:r>
      <w:r w:rsidRPr="008573C5">
        <w:t>) conducted a research for Association of Chartered Certified Accountants of England and Wales (ACCA) in 2001, to examine the financial statements of worldwide sample of companies that refer to the use of IAS,</w:t>
      </w:r>
      <w:r w:rsidR="00A77D90" w:rsidRPr="008573C5">
        <w:t xml:space="preserve"> and</w:t>
      </w:r>
      <w:r w:rsidRPr="008573C5">
        <w:t xml:space="preserve"> to explore the extent of noncompliance and the factors responsible for such. A sample of 279 companies for accounting year end 1999 was</w:t>
      </w:r>
      <w:r w:rsidR="00BD4D59" w:rsidRPr="008573C5">
        <w:t xml:space="preserve"> used for the study. They utilis</w:t>
      </w:r>
      <w:r w:rsidRPr="008573C5">
        <w:t>ed the methodology of Street and Bryant</w:t>
      </w:r>
      <w:r w:rsidR="00EA5251" w:rsidRPr="008573C5">
        <w:t xml:space="preserve"> </w:t>
      </w:r>
      <w:r w:rsidRPr="008573C5">
        <w:t>(2000</w:t>
      </w:r>
      <w:r w:rsidR="00FF5108" w:rsidRPr="008573C5">
        <w:t>:41</w:t>
      </w:r>
      <w:r w:rsidRPr="008573C5">
        <w:t xml:space="preserve">). The factors examined </w:t>
      </w:r>
      <w:r w:rsidR="00BD4D59" w:rsidRPr="008573C5">
        <w:t>are</w:t>
      </w:r>
      <w:r w:rsidRPr="008573C5">
        <w:t xml:space="preserve"> company size, industry type, listing status, the manner in which companies refer to IAS, type of auditor, profitability, type of audit standard, type of accounting standard, country of domicile and size of the home stock market. They reported a significant positive association  with level of compliance with IAS and non-regional listing status, being in transportation, electronics and communication industry, referring to IAS in the accounting policy note, being audited by Big 5+2 audit firm, and domiciled in China or Switzerland. Contrarily, countries domiciled in France, Germany, Western Europe and Africa</w:t>
      </w:r>
      <w:r w:rsidR="00EB6394" w:rsidRPr="008573C5">
        <w:t xml:space="preserve"> </w:t>
      </w:r>
      <w:r w:rsidR="00BD4D59" w:rsidRPr="008573C5">
        <w:t>are</w:t>
      </w:r>
      <w:r w:rsidRPr="008573C5">
        <w:t xml:space="preserve"> evident by lower levels of compliance.</w:t>
      </w:r>
    </w:p>
    <w:p w:rsidR="00FF5EDF" w:rsidRPr="008573C5" w:rsidRDefault="00FF5EDF" w:rsidP="00FF5EDF">
      <w:pPr>
        <w:autoSpaceDE w:val="0"/>
        <w:autoSpaceDN w:val="0"/>
        <w:adjustRightInd w:val="0"/>
        <w:spacing w:line="360" w:lineRule="auto"/>
        <w:jc w:val="both"/>
      </w:pPr>
    </w:p>
    <w:p w:rsidR="00FF5EDF" w:rsidRPr="008573C5" w:rsidRDefault="00FF5EDF" w:rsidP="00FF5EDF">
      <w:pPr>
        <w:autoSpaceDE w:val="0"/>
        <w:autoSpaceDN w:val="0"/>
        <w:adjustRightInd w:val="0"/>
        <w:spacing w:line="360" w:lineRule="auto"/>
        <w:jc w:val="both"/>
      </w:pPr>
      <w:r w:rsidRPr="008573C5">
        <w:t>A special study was conducted by the World Bank Group between November, 2003 and March, 2004 on the observance of standards and codes for Nigeria. As part of the aims of the project, they examine</w:t>
      </w:r>
      <w:r w:rsidR="00C55CC9" w:rsidRPr="008573C5">
        <w:t>d</w:t>
      </w:r>
      <w:r w:rsidRPr="008573C5">
        <w:t xml:space="preserve"> the degree of compliance with national accounting standards and determine the comparability of national accounting standards with International Accounting Standards (IASs). In their study they observed that the SASs ha</w:t>
      </w:r>
      <w:r w:rsidR="00C55CC9" w:rsidRPr="008573C5">
        <w:t>d</w:t>
      </w:r>
      <w:r w:rsidRPr="008573C5">
        <w:t xml:space="preserve"> not been reviewed or updated i</w:t>
      </w:r>
      <w:r w:rsidR="00825AED" w:rsidRPr="008573C5">
        <w:t>n line with the current IFRSs (World Bank, 2004:10</w:t>
      </w:r>
      <w:r w:rsidRPr="008573C5">
        <w:t xml:space="preserve">). The following </w:t>
      </w:r>
      <w:r w:rsidR="00C55CC9" w:rsidRPr="008573C5">
        <w:t>was</w:t>
      </w:r>
      <w:r w:rsidR="00825AED" w:rsidRPr="008573C5">
        <w:t xml:space="preserve"> </w:t>
      </w:r>
      <w:r w:rsidRPr="008573C5">
        <w:t>reported (World Bank, 2004:10-13).</w:t>
      </w:r>
    </w:p>
    <w:p w:rsidR="00FF5EDF" w:rsidRPr="008573C5" w:rsidRDefault="00FF5EDF" w:rsidP="004B5B5F">
      <w:pPr>
        <w:pStyle w:val="Default"/>
        <w:numPr>
          <w:ilvl w:val="0"/>
          <w:numId w:val="5"/>
        </w:numPr>
        <w:spacing w:line="360" w:lineRule="auto"/>
        <w:jc w:val="both"/>
        <w:rPr>
          <w:rFonts w:ascii="Times New Roman" w:hAnsi="Times New Roman" w:cs="Times New Roman"/>
          <w:color w:val="auto"/>
          <w:lang w:val="en-GB" w:eastAsia="en-GB"/>
        </w:rPr>
      </w:pPr>
      <w:r w:rsidRPr="008573C5">
        <w:rPr>
          <w:rFonts w:ascii="Times New Roman" w:hAnsi="Times New Roman" w:cs="Times New Roman"/>
          <w:color w:val="auto"/>
          <w:lang w:val="en-GB" w:eastAsia="en-GB"/>
        </w:rPr>
        <w:t xml:space="preserve">The Nigerian Statements of Accounting Standards (SAS) seem incomplete because there are many accounting issues not yet covered by NASB but had been addressed by IAS/IFRS. Also, the current SASs </w:t>
      </w:r>
      <w:r w:rsidR="002B48AE" w:rsidRPr="008573C5">
        <w:rPr>
          <w:rFonts w:ascii="Times New Roman" w:hAnsi="Times New Roman" w:cs="Times New Roman"/>
          <w:color w:val="auto"/>
          <w:lang w:val="en-GB" w:eastAsia="en-GB"/>
        </w:rPr>
        <w:t>is</w:t>
      </w:r>
      <w:r w:rsidRPr="008573C5">
        <w:rPr>
          <w:rFonts w:ascii="Times New Roman" w:hAnsi="Times New Roman" w:cs="Times New Roman"/>
          <w:color w:val="auto"/>
          <w:lang w:val="en-GB" w:eastAsia="en-GB"/>
        </w:rPr>
        <w:t xml:space="preserve"> based on old IASs which had been revised or withdrawn. </w:t>
      </w:r>
      <w:r w:rsidRPr="008573C5">
        <w:rPr>
          <w:rFonts w:ascii="Times New Roman" w:hAnsi="Times New Roman" w:cs="Times New Roman"/>
          <w:color w:val="auto"/>
        </w:rPr>
        <w:t>IAS</w:t>
      </w:r>
      <w:r w:rsidR="00A77D90" w:rsidRPr="008573C5">
        <w:rPr>
          <w:rFonts w:ascii="Times New Roman" w:hAnsi="Times New Roman" w:cs="Times New Roman"/>
          <w:color w:val="auto"/>
        </w:rPr>
        <w:t>s with</w:t>
      </w:r>
      <w:r w:rsidRPr="008573C5">
        <w:rPr>
          <w:rFonts w:ascii="Times New Roman" w:hAnsi="Times New Roman" w:cs="Times New Roman"/>
          <w:color w:val="auto"/>
        </w:rPr>
        <w:t xml:space="preserve"> no equivalent SAS</w:t>
      </w:r>
      <w:r w:rsidR="00A77D90" w:rsidRPr="008573C5">
        <w:rPr>
          <w:rFonts w:ascii="Times New Roman" w:hAnsi="Times New Roman" w:cs="Times New Roman"/>
          <w:color w:val="auto"/>
        </w:rPr>
        <w:t xml:space="preserve">s are: </w:t>
      </w:r>
      <w:r w:rsidRPr="008573C5">
        <w:rPr>
          <w:rFonts w:ascii="Times New Roman" w:hAnsi="Times New Roman" w:cs="Times New Roman"/>
          <w:color w:val="auto"/>
        </w:rPr>
        <w:t xml:space="preserve">IAS 18, Revenue; IAS 20, Accounting for Government Grants and Disclosure of Government Assistance; IAS 22, Business Combinations; IAS 23, Borrowing Costs;  IAS 32, Financial Instruments: Disclosure And Presentation; IAS 34, </w:t>
      </w:r>
      <w:r w:rsidRPr="008573C5">
        <w:rPr>
          <w:rFonts w:ascii="Times New Roman" w:hAnsi="Times New Roman" w:cs="Times New Roman"/>
          <w:color w:val="auto"/>
          <w:lang w:val="en-GB" w:eastAsia="en-GB"/>
        </w:rPr>
        <w:t>IAS 35, Discontinuing Operations; IAS 36, Impairment of Assets; IAS 38, Intangible Assets; IAS 39, Financial Instruments: Recognition And Measurement; and IAS 41, Agriculture.</w:t>
      </w:r>
    </w:p>
    <w:p w:rsidR="00FF5EDF" w:rsidRPr="008573C5" w:rsidRDefault="00FF5EDF" w:rsidP="00085210">
      <w:pPr>
        <w:pStyle w:val="Default"/>
        <w:numPr>
          <w:ilvl w:val="0"/>
          <w:numId w:val="5"/>
        </w:numPr>
        <w:spacing w:line="360" w:lineRule="auto"/>
        <w:jc w:val="both"/>
        <w:rPr>
          <w:color w:val="auto"/>
        </w:rPr>
      </w:pPr>
      <w:r w:rsidRPr="008573C5">
        <w:rPr>
          <w:rFonts w:ascii="Times New Roman" w:hAnsi="Times New Roman" w:cs="Times New Roman"/>
          <w:color w:val="auto"/>
          <w:lang w:val="en-GB" w:eastAsia="en-GB"/>
        </w:rPr>
        <w:t>Over the years, extensive revisions ha</w:t>
      </w:r>
      <w:r w:rsidR="00C55CC9" w:rsidRPr="008573C5">
        <w:rPr>
          <w:rFonts w:ascii="Times New Roman" w:hAnsi="Times New Roman" w:cs="Times New Roman"/>
          <w:color w:val="auto"/>
          <w:lang w:val="en-GB" w:eastAsia="en-GB"/>
        </w:rPr>
        <w:t>ve</w:t>
      </w:r>
      <w:r w:rsidR="00BD4D59" w:rsidRPr="008573C5">
        <w:rPr>
          <w:rFonts w:ascii="Times New Roman" w:hAnsi="Times New Roman" w:cs="Times New Roman"/>
          <w:color w:val="auto"/>
          <w:lang w:val="en-GB" w:eastAsia="en-GB"/>
        </w:rPr>
        <w:t xml:space="preserve"> </w:t>
      </w:r>
      <w:r w:rsidRPr="008573C5">
        <w:rPr>
          <w:rFonts w:ascii="Times New Roman" w:hAnsi="Times New Roman" w:cs="Times New Roman"/>
          <w:color w:val="auto"/>
          <w:lang w:val="en-GB" w:eastAsia="en-GB"/>
        </w:rPr>
        <w:t>been conducted on the IASs which</w:t>
      </w:r>
      <w:r w:rsidR="00C55CC9" w:rsidRPr="008573C5">
        <w:rPr>
          <w:rFonts w:ascii="Times New Roman" w:hAnsi="Times New Roman" w:cs="Times New Roman"/>
          <w:color w:val="auto"/>
          <w:lang w:val="en-GB" w:eastAsia="en-GB"/>
        </w:rPr>
        <w:t xml:space="preserve"> are</w:t>
      </w:r>
      <w:r w:rsidRPr="008573C5">
        <w:rPr>
          <w:rFonts w:ascii="Times New Roman" w:hAnsi="Times New Roman" w:cs="Times New Roman"/>
          <w:color w:val="auto"/>
          <w:lang w:val="en-GB" w:eastAsia="en-GB"/>
        </w:rPr>
        <w:t xml:space="preserve"> not be</w:t>
      </w:r>
      <w:r w:rsidR="00A77D90" w:rsidRPr="008573C5">
        <w:rPr>
          <w:rFonts w:ascii="Times New Roman" w:hAnsi="Times New Roman" w:cs="Times New Roman"/>
          <w:color w:val="auto"/>
          <w:lang w:val="en-GB" w:eastAsia="en-GB"/>
        </w:rPr>
        <w:t>i</w:t>
      </w:r>
      <w:r w:rsidRPr="008573C5">
        <w:rPr>
          <w:rFonts w:ascii="Times New Roman" w:hAnsi="Times New Roman" w:cs="Times New Roman"/>
          <w:color w:val="auto"/>
          <w:lang w:val="en-GB" w:eastAsia="en-GB"/>
        </w:rPr>
        <w:t>n</w:t>
      </w:r>
      <w:r w:rsidR="00A77D90" w:rsidRPr="008573C5">
        <w:rPr>
          <w:rFonts w:ascii="Times New Roman" w:hAnsi="Times New Roman" w:cs="Times New Roman"/>
          <w:color w:val="auto"/>
          <w:lang w:val="en-GB" w:eastAsia="en-GB"/>
        </w:rPr>
        <w:t>g</w:t>
      </w:r>
      <w:r w:rsidRPr="008573C5">
        <w:rPr>
          <w:rFonts w:ascii="Times New Roman" w:hAnsi="Times New Roman" w:cs="Times New Roman"/>
          <w:color w:val="auto"/>
          <w:lang w:val="en-GB" w:eastAsia="en-GB"/>
        </w:rPr>
        <w:t xml:space="preserve"> reflected in the SAS. Large sections and paragraphs in IAS which</w:t>
      </w:r>
      <w:r w:rsidR="00A77D90" w:rsidRPr="008573C5">
        <w:rPr>
          <w:rFonts w:ascii="Times New Roman" w:hAnsi="Times New Roman" w:cs="Times New Roman"/>
          <w:color w:val="auto"/>
          <w:lang w:val="en-GB" w:eastAsia="en-GB"/>
        </w:rPr>
        <w:t xml:space="preserve"> are</w:t>
      </w:r>
      <w:r w:rsidRPr="008573C5">
        <w:rPr>
          <w:rFonts w:ascii="Times New Roman" w:hAnsi="Times New Roman" w:cs="Times New Roman"/>
          <w:color w:val="auto"/>
          <w:lang w:val="en-GB" w:eastAsia="en-GB"/>
        </w:rPr>
        <w:t xml:space="preserve"> newly included cannot be found in the SAS. For instance, some requirements in IAS 1,</w:t>
      </w:r>
      <w:r w:rsidR="00EA5251" w:rsidRPr="008573C5">
        <w:rPr>
          <w:rFonts w:ascii="Times New Roman" w:hAnsi="Times New Roman" w:cs="Times New Roman"/>
          <w:color w:val="auto"/>
          <w:lang w:val="en-GB" w:eastAsia="en-GB"/>
        </w:rPr>
        <w:t xml:space="preserve"> </w:t>
      </w:r>
      <w:r w:rsidRPr="008573C5">
        <w:rPr>
          <w:rFonts w:ascii="Times New Roman" w:hAnsi="Times New Roman" w:cs="Times New Roman"/>
          <w:color w:val="auto"/>
          <w:lang w:val="en-GB" w:eastAsia="en-GB"/>
        </w:rPr>
        <w:t>Presentation of financial statements are omitted from SAS. These are: statement</w:t>
      </w:r>
      <w:r w:rsidR="00C55CC9" w:rsidRPr="008573C5">
        <w:rPr>
          <w:rFonts w:ascii="Times New Roman" w:hAnsi="Times New Roman" w:cs="Times New Roman"/>
          <w:color w:val="auto"/>
          <w:lang w:val="en-GB" w:eastAsia="en-GB"/>
        </w:rPr>
        <w:t>s</w:t>
      </w:r>
      <w:r w:rsidRPr="008573C5">
        <w:rPr>
          <w:rFonts w:ascii="Times New Roman" w:hAnsi="Times New Roman" w:cs="Times New Roman"/>
          <w:color w:val="auto"/>
          <w:lang w:val="en-GB" w:eastAsia="en-GB"/>
        </w:rPr>
        <w:t xml:space="preserve"> of changes in equity, distinction</w:t>
      </w:r>
      <w:r w:rsidR="00C55CC9" w:rsidRPr="008573C5">
        <w:rPr>
          <w:rFonts w:ascii="Times New Roman" w:hAnsi="Times New Roman" w:cs="Times New Roman"/>
          <w:color w:val="auto"/>
          <w:lang w:val="en-GB" w:eastAsia="en-GB"/>
        </w:rPr>
        <w:t>s</w:t>
      </w:r>
      <w:r w:rsidRPr="008573C5">
        <w:rPr>
          <w:rFonts w:ascii="Times New Roman" w:hAnsi="Times New Roman" w:cs="Times New Roman"/>
          <w:color w:val="auto"/>
          <w:lang w:val="en-GB" w:eastAsia="en-GB"/>
        </w:rPr>
        <w:t xml:space="preserve"> between current and noncurrent classifications, information to be presented on the face of the balance sheet, income statement and notes to the financial statements and their structure, true and fair override, restricted cash, concession arrangements, and development stage enterprises.</w:t>
      </w:r>
    </w:p>
    <w:p w:rsidR="00FF5EDF" w:rsidRPr="008573C5" w:rsidRDefault="00FF5EDF" w:rsidP="00085210">
      <w:pPr>
        <w:pStyle w:val="Default"/>
        <w:numPr>
          <w:ilvl w:val="0"/>
          <w:numId w:val="5"/>
        </w:numPr>
        <w:spacing w:line="360" w:lineRule="auto"/>
        <w:jc w:val="both"/>
        <w:rPr>
          <w:color w:val="auto"/>
        </w:rPr>
      </w:pPr>
      <w:r w:rsidRPr="008573C5">
        <w:rPr>
          <w:rFonts w:ascii="Times New Roman" w:hAnsi="Times New Roman" w:cs="Times New Roman"/>
          <w:color w:val="auto"/>
          <w:lang w:val="en-GB" w:eastAsia="en-GB"/>
        </w:rPr>
        <w:t xml:space="preserve">There is no requirement to adopt the IASs in areas where the Nigerian Accounting Standards Board has not issued standards. Although some preparers </w:t>
      </w:r>
      <w:r w:rsidRPr="008573C5">
        <w:rPr>
          <w:rFonts w:ascii="PFODKE+TimesNewRoman" w:hAnsi="PFODKE+TimesNewRoman" w:cs="PFODKE+TimesNewRoman"/>
          <w:color w:val="auto"/>
          <w:lang w:val="en-GB" w:eastAsia="en-GB"/>
        </w:rPr>
        <w:t>of financial statements have applied some IAS/IFRS where there is a gap, but this does not denote full compliance with all requirements of IAS/IFRS and related interpretations.</w:t>
      </w:r>
    </w:p>
    <w:p w:rsidR="00FF5EDF" w:rsidRPr="008573C5" w:rsidRDefault="00FF5EDF" w:rsidP="00085210">
      <w:pPr>
        <w:pStyle w:val="Default"/>
        <w:numPr>
          <w:ilvl w:val="0"/>
          <w:numId w:val="5"/>
        </w:numPr>
        <w:spacing w:line="360" w:lineRule="auto"/>
        <w:jc w:val="both"/>
        <w:rPr>
          <w:color w:val="auto"/>
        </w:rPr>
      </w:pPr>
      <w:r w:rsidRPr="008573C5">
        <w:rPr>
          <w:rFonts w:ascii="PFODKE+TimesNewRoman" w:hAnsi="PFODKE+TimesNewRoman" w:cs="PFODKE+TimesNewRoman"/>
          <w:color w:val="auto"/>
          <w:lang w:val="en-GB" w:eastAsia="en-GB"/>
        </w:rPr>
        <w:t>Review of 45 sets of financial statements (including 8 banks and 2 insurance companies) of l</w:t>
      </w:r>
      <w:r w:rsidR="00A77D90" w:rsidRPr="008573C5">
        <w:rPr>
          <w:rFonts w:ascii="PFODKE+TimesNewRoman" w:hAnsi="PFODKE+TimesNewRoman" w:cs="PFODKE+TimesNewRoman"/>
          <w:color w:val="auto"/>
          <w:lang w:val="en-GB" w:eastAsia="en-GB"/>
        </w:rPr>
        <w:t>isted companies reveals there</w:t>
      </w:r>
      <w:r w:rsidRPr="008573C5">
        <w:rPr>
          <w:rFonts w:ascii="PFODKE+TimesNewRoman" w:hAnsi="PFODKE+TimesNewRoman" w:cs="PFODKE+TimesNewRoman"/>
          <w:color w:val="auto"/>
          <w:lang w:val="en-GB" w:eastAsia="en-GB"/>
        </w:rPr>
        <w:t xml:space="preserve"> are some compliance gaps between local accounting standard and actual practice. </w:t>
      </w:r>
      <w:r w:rsidRPr="008573C5">
        <w:rPr>
          <w:rFonts w:ascii="PFONFN+TimesNewRoman,BoldItalic" w:hAnsi="PFONFN+TimesNewRoman,BoldItalic" w:cs="PFONFN+TimesNewRoman,BoldItalic"/>
          <w:color w:val="auto"/>
          <w:lang w:val="en-GB" w:eastAsia="en-GB"/>
        </w:rPr>
        <w:t>Disclosures by some companies are insufficient</w:t>
      </w:r>
      <w:r w:rsidRPr="008573C5">
        <w:rPr>
          <w:rFonts w:ascii="PFOEEG+TimesNewRoman,Italic" w:hAnsi="PFOEEG+TimesNewRoman,Italic" w:cs="PFOEEG+TimesNewRoman,Italic"/>
          <w:color w:val="auto"/>
          <w:lang w:val="en-GB" w:eastAsia="en-GB"/>
        </w:rPr>
        <w:t>. For instance, c</w:t>
      </w:r>
      <w:r w:rsidRPr="008573C5">
        <w:rPr>
          <w:rFonts w:ascii="PFODKE+TimesNewRoman" w:hAnsi="PFODKE+TimesNewRoman" w:cs="PFODKE+TimesNewRoman"/>
          <w:color w:val="auto"/>
          <w:lang w:val="en-GB" w:eastAsia="en-GB"/>
        </w:rPr>
        <w:t>ash flow statements of some companies d</w:t>
      </w:r>
      <w:r w:rsidR="00C55CC9" w:rsidRPr="008573C5">
        <w:rPr>
          <w:rFonts w:ascii="PFODKE+TimesNewRoman" w:hAnsi="PFODKE+TimesNewRoman" w:cs="PFODKE+TimesNewRoman"/>
          <w:color w:val="auto"/>
          <w:lang w:val="en-GB" w:eastAsia="en-GB"/>
        </w:rPr>
        <w:t>o</w:t>
      </w:r>
      <w:r w:rsidRPr="008573C5">
        <w:rPr>
          <w:rFonts w:ascii="PFODKE+TimesNewRoman" w:hAnsi="PFODKE+TimesNewRoman" w:cs="PFODKE+TimesNewRoman"/>
          <w:color w:val="auto"/>
          <w:lang w:val="en-GB" w:eastAsia="en-GB"/>
        </w:rPr>
        <w:t xml:space="preserve"> not include reconciliation of amounts in the statements with the equivalent items repor</w:t>
      </w:r>
      <w:r w:rsidR="00C55CC9" w:rsidRPr="008573C5">
        <w:rPr>
          <w:rFonts w:ascii="PFODKE+TimesNewRoman" w:hAnsi="PFODKE+TimesNewRoman" w:cs="PFODKE+TimesNewRoman"/>
          <w:color w:val="auto"/>
          <w:lang w:val="en-GB" w:eastAsia="en-GB"/>
        </w:rPr>
        <w:t>ted in the balance sheets. It i</w:t>
      </w:r>
      <w:r w:rsidRPr="008573C5">
        <w:rPr>
          <w:rFonts w:ascii="PFODKE+TimesNewRoman" w:hAnsi="PFODKE+TimesNewRoman" w:cs="PFODKE+TimesNewRoman"/>
          <w:color w:val="auto"/>
          <w:lang w:val="en-GB" w:eastAsia="en-GB"/>
        </w:rPr>
        <w:t>s also seen that m</w:t>
      </w:r>
      <w:r w:rsidRPr="008573C5">
        <w:rPr>
          <w:rFonts w:ascii="PFODHA+TimesNewRoman,Bold" w:hAnsi="PFODHA+TimesNewRoman,Bold" w:cs="PFODHA+TimesNewRoman,Bold"/>
          <w:color w:val="auto"/>
          <w:lang w:val="en-GB" w:eastAsia="en-GB"/>
        </w:rPr>
        <w:t>ost entities d</w:t>
      </w:r>
      <w:r w:rsidR="00C55CC9" w:rsidRPr="008573C5">
        <w:rPr>
          <w:rFonts w:ascii="PFODHA+TimesNewRoman,Bold" w:hAnsi="PFODHA+TimesNewRoman,Bold" w:cs="PFODHA+TimesNewRoman,Bold"/>
          <w:color w:val="auto"/>
          <w:lang w:val="en-GB" w:eastAsia="en-GB"/>
        </w:rPr>
        <w:t>o</w:t>
      </w:r>
      <w:r w:rsidRPr="008573C5">
        <w:rPr>
          <w:rFonts w:ascii="PFODHA+TimesNewRoman,Bold" w:hAnsi="PFODHA+TimesNewRoman,Bold" w:cs="PFODHA+TimesNewRoman,Bold"/>
          <w:color w:val="auto"/>
          <w:lang w:val="en-GB" w:eastAsia="en-GB"/>
        </w:rPr>
        <w:t xml:space="preserve"> not disclose their</w:t>
      </w:r>
      <w:r w:rsidRPr="008573C5">
        <w:rPr>
          <w:rFonts w:ascii="PFODKE+TimesNewRoman" w:hAnsi="PFODKE+TimesNewRoman" w:cs="PFODKE+TimesNewRoman"/>
          <w:color w:val="auto"/>
          <w:lang w:val="en-GB" w:eastAsia="en-GB"/>
        </w:rPr>
        <w:t xml:space="preserve"> ultimate parent, associated or affiliated companies, and their relationships with significant local and overseas suppliers or customers. </w:t>
      </w:r>
    </w:p>
    <w:p w:rsidR="00FF5EDF" w:rsidRPr="008573C5" w:rsidRDefault="00FF5EDF" w:rsidP="00085210">
      <w:pPr>
        <w:pStyle w:val="Default"/>
        <w:numPr>
          <w:ilvl w:val="0"/>
          <w:numId w:val="5"/>
        </w:numPr>
        <w:spacing w:after="60" w:line="360" w:lineRule="auto"/>
        <w:jc w:val="both"/>
        <w:rPr>
          <w:color w:val="auto"/>
        </w:rPr>
      </w:pPr>
      <w:r w:rsidRPr="008573C5">
        <w:rPr>
          <w:rFonts w:ascii="PFODHA+TimesNewRoman,Bold" w:hAnsi="PFODHA+TimesNewRoman,Bold" w:cs="PFODHA+TimesNewRoman,Bold"/>
          <w:color w:val="auto"/>
          <w:lang w:val="en-GB" w:eastAsia="en-GB"/>
        </w:rPr>
        <w:t xml:space="preserve">Banks </w:t>
      </w:r>
      <w:r w:rsidR="00C55CC9" w:rsidRPr="008573C5">
        <w:rPr>
          <w:rFonts w:ascii="PFODHA+TimesNewRoman,Bold" w:hAnsi="PFODHA+TimesNewRoman,Bold" w:cs="PFODHA+TimesNewRoman,Bold"/>
          <w:color w:val="auto"/>
          <w:lang w:val="en-GB" w:eastAsia="en-GB"/>
        </w:rPr>
        <w:t>are</w:t>
      </w:r>
      <w:r w:rsidRPr="008573C5">
        <w:rPr>
          <w:rFonts w:ascii="PFODHA+TimesNewRoman,Bold" w:hAnsi="PFODHA+TimesNewRoman,Bold" w:cs="PFODHA+TimesNewRoman,Bold"/>
          <w:color w:val="auto"/>
          <w:lang w:val="en-GB" w:eastAsia="en-GB"/>
        </w:rPr>
        <w:t xml:space="preserve"> </w:t>
      </w:r>
      <w:r w:rsidR="00A77D90" w:rsidRPr="008573C5">
        <w:rPr>
          <w:rFonts w:ascii="PFODHA+TimesNewRoman,Bold" w:hAnsi="PFODHA+TimesNewRoman,Bold" w:cs="PFODHA+TimesNewRoman,Bold"/>
          <w:color w:val="auto"/>
          <w:lang w:val="en-GB" w:eastAsia="en-GB"/>
        </w:rPr>
        <w:t>observed to comply ge</w:t>
      </w:r>
      <w:r w:rsidRPr="008573C5">
        <w:rPr>
          <w:rFonts w:ascii="PFODHA+TimesNewRoman,Bold" w:hAnsi="PFODHA+TimesNewRoman,Bold" w:cs="PFODHA+TimesNewRoman,Bold"/>
          <w:color w:val="auto"/>
          <w:lang w:val="en-GB" w:eastAsia="en-GB"/>
        </w:rPr>
        <w:t>nerally with national accounting standards but</w:t>
      </w:r>
      <w:r w:rsidRPr="008573C5">
        <w:rPr>
          <w:rFonts w:ascii="PFODKE+TimesNewRoman" w:hAnsi="PFODKE+TimesNewRoman" w:cs="PFODKE+TimesNewRoman"/>
          <w:color w:val="auto"/>
          <w:lang w:val="en-GB" w:eastAsia="en-GB"/>
        </w:rPr>
        <w:t xml:space="preserve"> tr</w:t>
      </w:r>
      <w:r w:rsidR="00EB6394" w:rsidRPr="008573C5">
        <w:rPr>
          <w:rFonts w:ascii="PFODKE+TimesNewRoman" w:hAnsi="PFODKE+TimesNewRoman" w:cs="PFODKE+TimesNewRoman"/>
          <w:color w:val="auto"/>
          <w:lang w:val="en-GB" w:eastAsia="en-GB"/>
        </w:rPr>
        <w:t>ansparency and disclosures seem</w:t>
      </w:r>
      <w:r w:rsidRPr="008573C5">
        <w:rPr>
          <w:rFonts w:ascii="PFODKE+TimesNewRoman" w:hAnsi="PFODKE+TimesNewRoman" w:cs="PFODKE+TimesNewRoman"/>
          <w:color w:val="auto"/>
          <w:lang w:val="en-GB" w:eastAsia="en-GB"/>
        </w:rPr>
        <w:t xml:space="preserve"> inadequate. They exhibit weak risk management and weak</w:t>
      </w:r>
      <w:r w:rsidR="00EB6394" w:rsidRPr="008573C5">
        <w:rPr>
          <w:rFonts w:ascii="PFODKE+TimesNewRoman" w:hAnsi="PFODKE+TimesNewRoman" w:cs="PFODKE+TimesNewRoman"/>
          <w:color w:val="auto"/>
          <w:lang w:val="en-GB" w:eastAsia="en-GB"/>
        </w:rPr>
        <w:t xml:space="preserve"> governance practices that make</w:t>
      </w:r>
      <w:r w:rsidRPr="008573C5">
        <w:rPr>
          <w:rFonts w:ascii="PFODKE+TimesNewRoman" w:hAnsi="PFODKE+TimesNewRoman" w:cs="PFODKE+TimesNewRoman"/>
          <w:color w:val="auto"/>
          <w:lang w:val="en-GB" w:eastAsia="en-GB"/>
        </w:rPr>
        <w:t xml:space="preserve"> it difficult to detect problems</w:t>
      </w:r>
      <w:r w:rsidR="00C55CC9" w:rsidRPr="008573C5">
        <w:rPr>
          <w:rFonts w:ascii="PFODKE+TimesNewRoman" w:hAnsi="PFODKE+TimesNewRoman" w:cs="PFODKE+TimesNewRoman"/>
          <w:color w:val="auto"/>
          <w:lang w:val="en-GB" w:eastAsia="en-GB"/>
        </w:rPr>
        <w:t xml:space="preserve"> early</w:t>
      </w:r>
      <w:r w:rsidRPr="008573C5">
        <w:rPr>
          <w:rFonts w:ascii="PFODKE+TimesNewRoman" w:hAnsi="PFODKE+TimesNewRoman" w:cs="PFODKE+TimesNewRoman"/>
          <w:color w:val="auto"/>
          <w:lang w:val="en-GB" w:eastAsia="en-GB"/>
        </w:rPr>
        <w:t>.</w:t>
      </w:r>
    </w:p>
    <w:p w:rsidR="00507BD4" w:rsidRPr="008573C5" w:rsidRDefault="00507BD4" w:rsidP="00E602A7">
      <w:pPr>
        <w:jc w:val="both"/>
        <w:rPr>
          <w:b/>
          <w:sz w:val="28"/>
          <w:szCs w:val="28"/>
        </w:rPr>
      </w:pPr>
    </w:p>
    <w:p w:rsidR="004C0E56" w:rsidRPr="008573C5" w:rsidRDefault="004C0E56" w:rsidP="00E602A7">
      <w:pPr>
        <w:jc w:val="both"/>
        <w:rPr>
          <w:b/>
          <w:sz w:val="28"/>
          <w:szCs w:val="28"/>
        </w:rPr>
      </w:pPr>
    </w:p>
    <w:p w:rsidR="004C0E56" w:rsidRPr="008573C5" w:rsidRDefault="004C0E56" w:rsidP="00E602A7">
      <w:pPr>
        <w:jc w:val="both"/>
        <w:rPr>
          <w:b/>
          <w:sz w:val="28"/>
          <w:szCs w:val="28"/>
        </w:rPr>
      </w:pPr>
    </w:p>
    <w:p w:rsidR="004C0E56" w:rsidRPr="008573C5" w:rsidRDefault="004C0E56" w:rsidP="00E602A7">
      <w:pPr>
        <w:jc w:val="both"/>
        <w:rPr>
          <w:b/>
          <w:sz w:val="28"/>
          <w:szCs w:val="28"/>
        </w:rPr>
      </w:pPr>
    </w:p>
    <w:p w:rsidR="00E602A7" w:rsidRPr="008573C5" w:rsidRDefault="00A02836" w:rsidP="00E602A7">
      <w:pPr>
        <w:jc w:val="both"/>
        <w:rPr>
          <w:b/>
          <w:sz w:val="28"/>
          <w:szCs w:val="28"/>
        </w:rPr>
      </w:pPr>
      <w:r w:rsidRPr="008573C5">
        <w:rPr>
          <w:b/>
          <w:sz w:val="28"/>
          <w:szCs w:val="28"/>
        </w:rPr>
        <w:t>2.</w:t>
      </w:r>
      <w:r w:rsidR="0005589B" w:rsidRPr="008573C5">
        <w:rPr>
          <w:b/>
          <w:sz w:val="28"/>
          <w:szCs w:val="28"/>
        </w:rPr>
        <w:t>2</w:t>
      </w:r>
      <w:r w:rsidR="00CE2EA1" w:rsidRPr="008573C5">
        <w:rPr>
          <w:b/>
          <w:sz w:val="28"/>
          <w:szCs w:val="28"/>
        </w:rPr>
        <w:t>.4</w:t>
      </w:r>
      <w:r w:rsidR="00CE2EA1" w:rsidRPr="008573C5">
        <w:rPr>
          <w:b/>
          <w:sz w:val="28"/>
          <w:szCs w:val="28"/>
        </w:rPr>
        <w:tab/>
      </w:r>
      <w:r w:rsidR="00247776" w:rsidRPr="008573C5">
        <w:rPr>
          <w:b/>
          <w:sz w:val="28"/>
          <w:szCs w:val="28"/>
        </w:rPr>
        <w:t>Association between C</w:t>
      </w:r>
      <w:r w:rsidR="003C3CEB" w:rsidRPr="008573C5">
        <w:rPr>
          <w:b/>
          <w:sz w:val="28"/>
          <w:szCs w:val="28"/>
        </w:rPr>
        <w:t xml:space="preserve">orporate Attributes </w:t>
      </w:r>
      <w:r w:rsidR="00247776" w:rsidRPr="008573C5">
        <w:rPr>
          <w:b/>
          <w:sz w:val="28"/>
          <w:szCs w:val="28"/>
        </w:rPr>
        <w:t>and the</w:t>
      </w:r>
      <w:r w:rsidR="003801F8" w:rsidRPr="008573C5">
        <w:rPr>
          <w:b/>
          <w:sz w:val="28"/>
          <w:szCs w:val="28"/>
        </w:rPr>
        <w:t xml:space="preserve"> Extent of</w:t>
      </w:r>
      <w:r w:rsidR="003C3CEB" w:rsidRPr="008573C5">
        <w:rPr>
          <w:b/>
          <w:sz w:val="28"/>
          <w:szCs w:val="28"/>
        </w:rPr>
        <w:t xml:space="preserve"> Disclosure</w:t>
      </w:r>
    </w:p>
    <w:p w:rsidR="003C3CEB" w:rsidRPr="008573C5" w:rsidRDefault="003C3CEB" w:rsidP="00E602A7">
      <w:pPr>
        <w:jc w:val="both"/>
        <w:rPr>
          <w:b/>
          <w:sz w:val="28"/>
          <w:szCs w:val="28"/>
        </w:rPr>
      </w:pPr>
      <w:r w:rsidRPr="008573C5">
        <w:rPr>
          <w:b/>
          <w:sz w:val="28"/>
          <w:szCs w:val="28"/>
        </w:rPr>
        <w:t xml:space="preserve">  </w:t>
      </w:r>
    </w:p>
    <w:p w:rsidR="00D2519D" w:rsidRPr="008573C5" w:rsidRDefault="00FF5EDF" w:rsidP="00FF5EDF">
      <w:pPr>
        <w:autoSpaceDE w:val="0"/>
        <w:autoSpaceDN w:val="0"/>
        <w:adjustRightInd w:val="0"/>
        <w:spacing w:line="360" w:lineRule="auto"/>
        <w:jc w:val="both"/>
      </w:pPr>
      <w:r w:rsidRPr="008573C5">
        <w:rPr>
          <w:rFonts w:ascii="Times" w:hAnsi="Times" w:cs="Times"/>
        </w:rPr>
        <w:t xml:space="preserve">Company size is the most consistently reported significant </w:t>
      </w:r>
      <w:r w:rsidR="003801F8" w:rsidRPr="008573C5">
        <w:rPr>
          <w:rFonts w:ascii="Times" w:hAnsi="Times" w:cs="Times"/>
        </w:rPr>
        <w:t>corporate attribute</w:t>
      </w:r>
      <w:r w:rsidRPr="008573C5">
        <w:rPr>
          <w:rFonts w:ascii="Times" w:hAnsi="Times" w:cs="Times"/>
        </w:rPr>
        <w:t xml:space="preserve"> in previous empirical studies</w:t>
      </w:r>
      <w:r w:rsidRPr="008573C5">
        <w:t xml:space="preserve"> (Street and Bryant, 2000:309;</w:t>
      </w:r>
      <w:r w:rsidRPr="008573C5">
        <w:rPr>
          <w:rFonts w:ascii="Times" w:hAnsi="Times" w:cs="Times"/>
        </w:rPr>
        <w:t xml:space="preserve"> Meek et al,</w:t>
      </w:r>
      <w:r w:rsidR="00726C65" w:rsidRPr="008573C5">
        <w:rPr>
          <w:rFonts w:ascii="Times" w:hAnsi="Times" w:cs="Times"/>
        </w:rPr>
        <w:t xml:space="preserve"> </w:t>
      </w:r>
      <w:r w:rsidRPr="008573C5">
        <w:rPr>
          <w:rFonts w:ascii="Times" w:hAnsi="Times" w:cs="Times"/>
        </w:rPr>
        <w:t xml:space="preserve">1995: 558). According to </w:t>
      </w:r>
      <w:r w:rsidRPr="008573C5">
        <w:rPr>
          <w:rFonts w:ascii="TimesNewRomanPSMT" w:hAnsi="TimesNewRomanPSMT" w:cs="TimesNewRomanPSMT"/>
        </w:rPr>
        <w:t>Owusu – Ansah (1998:610), theory, intuition and empiri</w:t>
      </w:r>
      <w:r w:rsidR="009E36DA" w:rsidRPr="008573C5">
        <w:rPr>
          <w:rFonts w:ascii="TimesNewRomanPSMT" w:hAnsi="TimesNewRomanPSMT" w:cs="TimesNewRomanPSMT"/>
        </w:rPr>
        <w:t>cal studies suggest that size</w:t>
      </w:r>
      <w:r w:rsidRPr="008573C5">
        <w:rPr>
          <w:rFonts w:ascii="TimesNewRomanPSMT" w:hAnsi="TimesNewRomanPSMT" w:cs="TimesNewRomanPSMT"/>
        </w:rPr>
        <w:t xml:space="preserve"> positively influences mandatory disclosure practices. On the other hand</w:t>
      </w:r>
      <w:r w:rsidR="009E36DA" w:rsidRPr="008573C5">
        <w:rPr>
          <w:rFonts w:ascii="TimesNewRomanPSMT" w:hAnsi="TimesNewRomanPSMT" w:cs="TimesNewRomanPSMT"/>
        </w:rPr>
        <w:t>,</w:t>
      </w:r>
      <w:r w:rsidRPr="008573C5">
        <w:rPr>
          <w:rFonts w:ascii="TimesNewRomanPSMT" w:hAnsi="TimesNewRomanPSMT" w:cs="TimesNewRomanPSMT"/>
        </w:rPr>
        <w:t xml:space="preserve"> Wallace et al</w:t>
      </w:r>
      <w:r w:rsidR="00416FC7" w:rsidRPr="008573C5">
        <w:rPr>
          <w:rFonts w:ascii="TimesNewRomanPSMT" w:hAnsi="TimesNewRomanPSMT" w:cs="TimesNewRomanPSMT"/>
        </w:rPr>
        <w:t xml:space="preserve"> (1994:</w:t>
      </w:r>
      <w:r w:rsidR="00BF13F4" w:rsidRPr="008573C5">
        <w:rPr>
          <w:rFonts w:ascii="TimesNewRomanPSMT" w:hAnsi="TimesNewRomanPSMT" w:cs="TimesNewRomanPSMT"/>
        </w:rPr>
        <w:t>4</w:t>
      </w:r>
      <w:r w:rsidR="000E797E" w:rsidRPr="008573C5">
        <w:rPr>
          <w:rFonts w:ascii="TimesNewRomanPSMT" w:hAnsi="TimesNewRomanPSMT" w:cs="TimesNewRomanPSMT"/>
        </w:rPr>
        <w:t>)</w:t>
      </w:r>
      <w:r w:rsidR="003801F8" w:rsidRPr="008573C5">
        <w:rPr>
          <w:rFonts w:ascii="TimesNewRomanPSMT" w:hAnsi="TimesNewRomanPSMT" w:cs="TimesNewRomanPSMT"/>
        </w:rPr>
        <w:t>,</w:t>
      </w:r>
      <w:r w:rsidRPr="008573C5">
        <w:rPr>
          <w:rFonts w:ascii="TimesNewRomanPSMT" w:hAnsi="TimesNewRomanPSMT" w:cs="TimesNewRomanPSMT"/>
        </w:rPr>
        <w:t xml:space="preserve"> </w:t>
      </w:r>
      <w:r w:rsidR="009E36DA" w:rsidRPr="008573C5">
        <w:rPr>
          <w:rFonts w:ascii="TimesNewRomanPSMT" w:hAnsi="TimesNewRomanPSMT" w:cs="TimesNewRomanPSMT"/>
        </w:rPr>
        <w:t>admit that although there</w:t>
      </w:r>
      <w:r w:rsidRPr="008573C5">
        <w:rPr>
          <w:rFonts w:ascii="TimesNewRomanPSMT" w:hAnsi="TimesNewRomanPSMT" w:cs="TimesNewRomanPSMT"/>
        </w:rPr>
        <w:t xml:space="preserve"> </w:t>
      </w:r>
      <w:r w:rsidR="00EB6394" w:rsidRPr="008573C5">
        <w:rPr>
          <w:rFonts w:ascii="TimesNewRomanPSMT" w:hAnsi="TimesNewRomanPSMT" w:cs="TimesNewRomanPSMT"/>
        </w:rPr>
        <w:t xml:space="preserve">is </w:t>
      </w:r>
      <w:r w:rsidRPr="008573C5">
        <w:rPr>
          <w:rFonts w:ascii="TimesNewRomanPSMT" w:hAnsi="TimesNewRomanPSMT" w:cs="TimesNewRomanPSMT"/>
        </w:rPr>
        <w:t>overwhelming support for a positive relationship between firm size and level of disclosure, the theoretical basis is unclear. The direction can be positive or negative. On the positive, it can be argued that since large companies usually operate over wide geographical area</w:t>
      </w:r>
      <w:r w:rsidR="009E36DA" w:rsidRPr="008573C5">
        <w:rPr>
          <w:rFonts w:ascii="TimesNewRomanPSMT" w:hAnsi="TimesNewRomanPSMT" w:cs="TimesNewRomanPSMT"/>
        </w:rPr>
        <w:t>s</w:t>
      </w:r>
      <w:r w:rsidRPr="008573C5">
        <w:rPr>
          <w:rFonts w:ascii="TimesNewRomanPSMT" w:hAnsi="TimesNewRomanPSMT" w:cs="TimesNewRomanPSMT"/>
        </w:rPr>
        <w:t xml:space="preserve"> and deal with multiple products an</w:t>
      </w:r>
      <w:r w:rsidR="009E36DA" w:rsidRPr="008573C5">
        <w:rPr>
          <w:rFonts w:ascii="TimesNewRomanPSMT" w:hAnsi="TimesNewRomanPSMT" w:cs="TimesNewRomanPSMT"/>
        </w:rPr>
        <w:t>d have several divisional units, t</w:t>
      </w:r>
      <w:r w:rsidRPr="008573C5">
        <w:rPr>
          <w:rFonts w:ascii="TimesNewRomanPSMT" w:hAnsi="TimesNewRomanPSMT" w:cs="TimesNewRomanPSMT"/>
        </w:rPr>
        <w:t>hey are likely to have well built information system that enables them to track all financial and non-financial information for operational, tactical and strategic purposes. With this type of well structured internal reporting system,</w:t>
      </w:r>
      <w:r w:rsidR="009E36DA" w:rsidRPr="008573C5">
        <w:rPr>
          <w:rFonts w:ascii="TimesNewRomanPSMT" w:hAnsi="TimesNewRomanPSMT" w:cs="TimesNewRomanPSMT"/>
        </w:rPr>
        <w:t xml:space="preserve"> the</w:t>
      </w:r>
      <w:r w:rsidRPr="008573C5">
        <w:rPr>
          <w:rFonts w:ascii="TimesNewRomanPSMT" w:hAnsi="TimesNewRomanPSMT" w:cs="TimesNewRomanPSMT"/>
        </w:rPr>
        <w:t xml:space="preserve"> incremental costs of supplying information to external users will be minimal. This will make them disclose more information than their </w:t>
      </w:r>
      <w:r w:rsidRPr="008573C5">
        <w:t>smaller counterpart</w:t>
      </w:r>
      <w:r w:rsidR="009E36DA" w:rsidRPr="008573C5">
        <w:t>s</w:t>
      </w:r>
      <w:r w:rsidRPr="008573C5">
        <w:t xml:space="preserve">. </w:t>
      </w:r>
    </w:p>
    <w:p w:rsidR="00D2519D" w:rsidRPr="008573C5" w:rsidRDefault="00D2519D" w:rsidP="00FF5EDF">
      <w:pPr>
        <w:autoSpaceDE w:val="0"/>
        <w:autoSpaceDN w:val="0"/>
        <w:adjustRightInd w:val="0"/>
        <w:spacing w:line="360" w:lineRule="auto"/>
        <w:jc w:val="both"/>
      </w:pPr>
    </w:p>
    <w:p w:rsidR="00FF5EDF" w:rsidRPr="008573C5" w:rsidRDefault="00F94132" w:rsidP="00FF5EDF">
      <w:pPr>
        <w:autoSpaceDE w:val="0"/>
        <w:autoSpaceDN w:val="0"/>
        <w:adjustRightInd w:val="0"/>
        <w:spacing w:line="360" w:lineRule="auto"/>
        <w:jc w:val="both"/>
        <w:rPr>
          <w:lang w:val="en-GB" w:eastAsia="en-GB"/>
        </w:rPr>
      </w:pPr>
      <w:r w:rsidRPr="008573C5">
        <w:t>Watts and Zimmerman (1990</w:t>
      </w:r>
      <w:r w:rsidR="00424BF1" w:rsidRPr="008573C5">
        <w:t>:140</w:t>
      </w:r>
      <w:r w:rsidRPr="008573C5">
        <w:t xml:space="preserve">) argue that larger companies are likely to show more information in order to improve </w:t>
      </w:r>
      <w:r w:rsidR="009E36DA" w:rsidRPr="008573C5">
        <w:t xml:space="preserve">the </w:t>
      </w:r>
      <w:r w:rsidRPr="008573C5">
        <w:t>confidence of stakeholders and to reduce political costs.</w:t>
      </w:r>
      <w:r w:rsidR="00FF5EDF" w:rsidRPr="008573C5">
        <w:t xml:space="preserve"> Generally</w:t>
      </w:r>
      <w:r w:rsidRPr="008573C5">
        <w:t>, l</w:t>
      </w:r>
      <w:r w:rsidR="00FF5EDF" w:rsidRPr="008573C5">
        <w:t>arge firms disclose more information than smaller ones</w:t>
      </w:r>
      <w:r w:rsidR="00E63C12" w:rsidRPr="008573C5">
        <w:t xml:space="preserve"> </w:t>
      </w:r>
      <w:r w:rsidR="002B48AE" w:rsidRPr="008573C5">
        <w:t>(</w:t>
      </w:r>
      <w:r w:rsidR="00FF5EDF" w:rsidRPr="008573C5">
        <w:t xml:space="preserve">Meek et al, 1995, 558).  On the other hand, it can also be argued that </w:t>
      </w:r>
      <w:r w:rsidR="00E63C12" w:rsidRPr="008573C5">
        <w:rPr>
          <w:lang w:val="en-GB" w:eastAsia="en-GB"/>
        </w:rPr>
        <w:t>large firms</w:t>
      </w:r>
      <w:r w:rsidR="00FF5EDF" w:rsidRPr="008573C5">
        <w:rPr>
          <w:lang w:val="en-GB" w:eastAsia="en-GB"/>
        </w:rPr>
        <w:t xml:space="preserve"> are visible </w:t>
      </w:r>
      <w:r w:rsidRPr="008573C5">
        <w:rPr>
          <w:lang w:val="en-GB" w:eastAsia="en-GB"/>
        </w:rPr>
        <w:t>and susceptible to</w:t>
      </w:r>
      <w:r w:rsidR="00FF5EDF" w:rsidRPr="008573C5">
        <w:rPr>
          <w:lang w:val="en-GB" w:eastAsia="en-GB"/>
        </w:rPr>
        <w:t xml:space="preserve"> political attacks, in the form of pressure for the exercise of social responsibility, greater regulation such as price control and higher corporate taxes. Firms may react to this political action by avoiding attention which disclosure of some significant facts could have brought to them. Therefore, large firms disclose less detailed information in their annual reports to avoid attention</w:t>
      </w:r>
      <w:r w:rsidRPr="008573C5">
        <w:rPr>
          <w:lang w:val="en-GB" w:eastAsia="en-GB"/>
        </w:rPr>
        <w:t xml:space="preserve"> </w:t>
      </w:r>
      <w:r w:rsidR="00FF5EDF" w:rsidRPr="008573C5">
        <w:rPr>
          <w:lang w:val="en-GB" w:eastAsia="en-GB"/>
        </w:rPr>
        <w:t>(Wallace et al 1994:44; Wallace and Naser, 1995:322)</w:t>
      </w:r>
    </w:p>
    <w:p w:rsidR="00FF5EDF" w:rsidRPr="008573C5" w:rsidRDefault="00FF5EDF" w:rsidP="00FF5EDF">
      <w:pPr>
        <w:autoSpaceDE w:val="0"/>
        <w:autoSpaceDN w:val="0"/>
        <w:adjustRightInd w:val="0"/>
        <w:spacing w:line="360" w:lineRule="auto"/>
        <w:ind w:left="1080"/>
        <w:jc w:val="both"/>
      </w:pPr>
    </w:p>
    <w:p w:rsidR="00FF5EDF" w:rsidRPr="008573C5" w:rsidRDefault="00FF5EDF" w:rsidP="00FF5EDF">
      <w:pPr>
        <w:autoSpaceDE w:val="0"/>
        <w:autoSpaceDN w:val="0"/>
        <w:adjustRightInd w:val="0"/>
        <w:spacing w:line="360" w:lineRule="auto"/>
        <w:jc w:val="both"/>
      </w:pPr>
      <w:r w:rsidRPr="008573C5">
        <w:t xml:space="preserve">Evidences in empirical research </w:t>
      </w:r>
      <w:r w:rsidR="00FC7F84" w:rsidRPr="008573C5">
        <w:t>(</w:t>
      </w:r>
      <w:r w:rsidR="00D2519D" w:rsidRPr="008573C5">
        <w:t xml:space="preserve">see Table 2.02) </w:t>
      </w:r>
      <w:r w:rsidR="00A77D90" w:rsidRPr="008573C5">
        <w:t>confirm</w:t>
      </w:r>
      <w:r w:rsidRPr="008573C5">
        <w:t xml:space="preserve"> the positive</w:t>
      </w:r>
      <w:r w:rsidR="00281D9D" w:rsidRPr="008573C5">
        <w:t xml:space="preserve"> and sigificant</w:t>
      </w:r>
      <w:r w:rsidRPr="008573C5">
        <w:t xml:space="preserve"> association between company size and overall level of disclosure (Singvi and Desai, 1971</w:t>
      </w:r>
      <w:r w:rsidR="0065629E" w:rsidRPr="008573C5">
        <w:t>:131</w:t>
      </w:r>
      <w:r w:rsidRPr="008573C5">
        <w:t>;  Buzby, 1975</w:t>
      </w:r>
      <w:r w:rsidR="00881ABA" w:rsidRPr="008573C5">
        <w:t>:30</w:t>
      </w:r>
      <w:r w:rsidRPr="008573C5">
        <w:t>; Firth, 1979</w:t>
      </w:r>
      <w:r w:rsidR="00881ABA" w:rsidRPr="008573C5">
        <w:t>:274</w:t>
      </w:r>
      <w:r w:rsidRPr="008573C5">
        <w:t>; Chow and Wong-Boren, 1987</w:t>
      </w:r>
      <w:r w:rsidR="00881ABA" w:rsidRPr="008573C5">
        <w:t>:539</w:t>
      </w:r>
      <w:r w:rsidRPr="008573C5">
        <w:t>; Wallace and Naser,1995</w:t>
      </w:r>
      <w:r w:rsidR="00881ABA" w:rsidRPr="008573C5">
        <w:t>:360</w:t>
      </w:r>
      <w:r w:rsidRPr="008573C5">
        <w:t>; Cooke, 1989</w:t>
      </w:r>
      <w:r w:rsidR="00033897" w:rsidRPr="008573C5">
        <w:t>:120</w:t>
      </w:r>
      <w:r w:rsidRPr="008573C5">
        <w:t>; Wallace et al, 1994</w:t>
      </w:r>
      <w:r w:rsidR="00033897" w:rsidRPr="008573C5">
        <w:t>:49</w:t>
      </w:r>
      <w:r w:rsidRPr="008573C5">
        <w:t xml:space="preserve">; </w:t>
      </w:r>
      <w:r w:rsidR="00BB692F" w:rsidRPr="008573C5">
        <w:t xml:space="preserve">Raffournier, </w:t>
      </w:r>
      <w:r w:rsidR="00BF13F4" w:rsidRPr="008573C5">
        <w:t xml:space="preserve"> </w:t>
      </w:r>
      <w:r w:rsidR="00BB692F" w:rsidRPr="008573C5">
        <w:t>1995:276</w:t>
      </w:r>
      <w:r w:rsidR="00BF13F4" w:rsidRPr="008573C5">
        <w:t xml:space="preserve">, </w:t>
      </w:r>
      <w:r w:rsidRPr="008573C5">
        <w:t>Inchausti, 1997</w:t>
      </w:r>
      <w:r w:rsidR="00033897" w:rsidRPr="008573C5">
        <w:t>:64</w:t>
      </w:r>
      <w:r w:rsidRPr="008573C5">
        <w:t>, Owusu-Ansah, 1998</w:t>
      </w:r>
      <w:r w:rsidR="00033897" w:rsidRPr="008573C5">
        <w:t>:616</w:t>
      </w:r>
      <w:r w:rsidR="00BF13F4" w:rsidRPr="008573C5">
        <w:t xml:space="preserve">; </w:t>
      </w:r>
      <w:r w:rsidRPr="008573C5">
        <w:t>Ferguson et al</w:t>
      </w:r>
      <w:r w:rsidR="00281D9D" w:rsidRPr="008573C5">
        <w:t>.</w:t>
      </w:r>
      <w:r w:rsidRPr="008573C5">
        <w:t>, 2002</w:t>
      </w:r>
      <w:r w:rsidR="00033897" w:rsidRPr="008573C5">
        <w:t>:145</w:t>
      </w:r>
      <w:r w:rsidR="00BF13F4" w:rsidRPr="008573C5">
        <w:t>)</w:t>
      </w:r>
      <w:r w:rsidRPr="008573C5">
        <w:t>. On the other hand, Street and Gray, 2001</w:t>
      </w:r>
      <w:r w:rsidR="008D4D20" w:rsidRPr="008573C5">
        <w:t>:53</w:t>
      </w:r>
      <w:r w:rsidRPr="008573C5">
        <w:t xml:space="preserve"> </w:t>
      </w:r>
      <w:r w:rsidR="00C31CE7" w:rsidRPr="008573C5">
        <w:t>and Malone, Fries, and Jones (1993:266)</w:t>
      </w:r>
      <w:r w:rsidR="00507BD4" w:rsidRPr="008573C5">
        <w:t xml:space="preserve"> </w:t>
      </w:r>
      <w:r w:rsidRPr="008573C5">
        <w:t>find no such association</w:t>
      </w:r>
      <w:r w:rsidR="00C31CE7" w:rsidRPr="008573C5">
        <w:t>.</w:t>
      </w:r>
      <w:r w:rsidRPr="008573C5">
        <w:t xml:space="preserve"> Singhvi and Desai, (1971:131), state that this positive relationship </w:t>
      </w:r>
      <w:r w:rsidR="00294569" w:rsidRPr="008573C5">
        <w:t xml:space="preserve">may be </w:t>
      </w:r>
      <w:r w:rsidRPr="008573C5">
        <w:t>attribut</w:t>
      </w:r>
      <w:r w:rsidR="00294569" w:rsidRPr="008573C5">
        <w:t>ed</w:t>
      </w:r>
      <w:r w:rsidRPr="008573C5">
        <w:t xml:space="preserve"> to three basic reasons. First, the cost of accumulating detailed information is less for large firms; second, management of larger firms is likely to realize the possible benefits of disclosure; and lastly, smaller firms, as against the larger firms feel that full disclosure can endanger their competitive positions.</w:t>
      </w:r>
      <w:r w:rsidRPr="008573C5">
        <w:rPr>
          <w:sz w:val="20"/>
          <w:szCs w:val="20"/>
          <w:lang w:val="en-GB" w:eastAsia="en-GB"/>
        </w:rPr>
        <w:t xml:space="preserve"> </w:t>
      </w:r>
    </w:p>
    <w:p w:rsidR="00FF5EDF" w:rsidRPr="008573C5" w:rsidRDefault="00FF5EDF" w:rsidP="00FF5EDF">
      <w:pPr>
        <w:autoSpaceDE w:val="0"/>
        <w:autoSpaceDN w:val="0"/>
        <w:adjustRightInd w:val="0"/>
        <w:spacing w:line="360" w:lineRule="auto"/>
        <w:jc w:val="both"/>
        <w:rPr>
          <w:rFonts w:ascii="Times" w:hAnsi="Times" w:cs="Times"/>
        </w:rPr>
      </w:pPr>
    </w:p>
    <w:p w:rsidR="00FF5EDF" w:rsidRPr="008573C5" w:rsidRDefault="00FF5EDF" w:rsidP="00FF5EDF">
      <w:pPr>
        <w:autoSpaceDE w:val="0"/>
        <w:autoSpaceDN w:val="0"/>
        <w:adjustRightInd w:val="0"/>
        <w:spacing w:line="360" w:lineRule="auto"/>
        <w:jc w:val="both"/>
      </w:pPr>
      <w:r w:rsidRPr="008573C5">
        <w:t xml:space="preserve">Many empirical studies </w:t>
      </w:r>
      <w:r w:rsidR="00FC7F84" w:rsidRPr="008573C5">
        <w:t>(</w:t>
      </w:r>
      <w:r w:rsidR="009E41F3" w:rsidRPr="008573C5">
        <w:t xml:space="preserve">see Table 2.03) </w:t>
      </w:r>
      <w:r w:rsidRPr="008573C5">
        <w:t xml:space="preserve">have tested the relationship between profitability and </w:t>
      </w:r>
      <w:r w:rsidR="00E63C12" w:rsidRPr="008573C5">
        <w:t>extent</w:t>
      </w:r>
      <w:r w:rsidRPr="008573C5">
        <w:t xml:space="preserve"> of disclosure </w:t>
      </w:r>
      <w:r w:rsidR="00177ABD" w:rsidRPr="008573C5">
        <w:t>(</w:t>
      </w:r>
      <w:r w:rsidRPr="008573C5">
        <w:t>Singhvi and Desai</w:t>
      </w:r>
      <w:r w:rsidR="00DA27BB" w:rsidRPr="008573C5">
        <w:t>,</w:t>
      </w:r>
      <w:r w:rsidRPr="008573C5">
        <w:t xml:space="preserve"> 1971</w:t>
      </w:r>
      <w:r w:rsidR="0065629E" w:rsidRPr="008573C5">
        <w:t>:134</w:t>
      </w:r>
      <w:r w:rsidRPr="008573C5">
        <w:t>;</w:t>
      </w:r>
      <w:r w:rsidRPr="008573C5">
        <w:rPr>
          <w:rFonts w:ascii="Times" w:hAnsi="Times" w:cs="Times"/>
        </w:rPr>
        <w:t xml:space="preserve"> </w:t>
      </w:r>
      <w:r w:rsidRPr="008573C5">
        <w:t>Wallace and Naser, 1995</w:t>
      </w:r>
      <w:r w:rsidR="00A0507C" w:rsidRPr="008573C5">
        <w:t>:363</w:t>
      </w:r>
      <w:r w:rsidRPr="008573C5">
        <w:t>; Meek et al</w:t>
      </w:r>
      <w:r w:rsidR="00DA27BB" w:rsidRPr="008573C5">
        <w:t>.</w:t>
      </w:r>
      <w:r w:rsidRPr="008573C5">
        <w:t>, 1995</w:t>
      </w:r>
      <w:r w:rsidR="00E542E0" w:rsidRPr="008573C5">
        <w:t>:566</w:t>
      </w:r>
      <w:r w:rsidRPr="008573C5">
        <w:t>; Inchausti, 1997</w:t>
      </w:r>
      <w:r w:rsidR="00E542E0" w:rsidRPr="008573C5">
        <w:t>:63</w:t>
      </w:r>
      <w:r w:rsidRPr="008573C5">
        <w:t>; Glaum and Street, 2003</w:t>
      </w:r>
      <w:r w:rsidR="00E542E0" w:rsidRPr="008573C5">
        <w:t>:86</w:t>
      </w:r>
      <w:r w:rsidRPr="008573C5">
        <w:t>; Akhtaruddin, 2005</w:t>
      </w:r>
      <w:r w:rsidR="00E542E0" w:rsidRPr="008573C5">
        <w:t>:411</w:t>
      </w:r>
      <w:r w:rsidRPr="008573C5">
        <w:t>). The outcome</w:t>
      </w:r>
      <w:r w:rsidR="00294569" w:rsidRPr="008573C5">
        <w:t>s</w:t>
      </w:r>
      <w:r w:rsidRPr="008573C5">
        <w:t xml:space="preserve"> of these researches </w:t>
      </w:r>
      <w:r w:rsidR="00C55CC9" w:rsidRPr="008573C5">
        <w:t>are mixed. F</w:t>
      </w:r>
      <w:r w:rsidRPr="008573C5">
        <w:t>or instanc</w:t>
      </w:r>
      <w:r w:rsidR="00C41979" w:rsidRPr="008573C5">
        <w:t xml:space="preserve">e, </w:t>
      </w:r>
      <w:r w:rsidRPr="008573C5">
        <w:t>Singhvi and Desai (1971</w:t>
      </w:r>
      <w:r w:rsidR="00E542E0" w:rsidRPr="008573C5">
        <w:t>:134</w:t>
      </w:r>
      <w:r w:rsidR="00281D9D" w:rsidRPr="008573C5">
        <w:t>)</w:t>
      </w:r>
      <w:r w:rsidR="00DA27BB" w:rsidRPr="008573C5">
        <w:rPr>
          <w:rFonts w:ascii="Times" w:hAnsi="Times" w:cs="Times"/>
        </w:rPr>
        <w:t>, Owusu-Ansah</w:t>
      </w:r>
      <w:r w:rsidRPr="008573C5">
        <w:rPr>
          <w:rFonts w:ascii="Times" w:hAnsi="Times" w:cs="Times"/>
        </w:rPr>
        <w:t xml:space="preserve"> </w:t>
      </w:r>
      <w:r w:rsidR="00DA27BB" w:rsidRPr="008573C5">
        <w:rPr>
          <w:rFonts w:ascii="Times" w:hAnsi="Times" w:cs="Times"/>
        </w:rPr>
        <w:t>(</w:t>
      </w:r>
      <w:r w:rsidRPr="008573C5">
        <w:rPr>
          <w:rFonts w:ascii="Times" w:hAnsi="Times" w:cs="Times"/>
        </w:rPr>
        <w:t>1998</w:t>
      </w:r>
      <w:r w:rsidR="00C41979" w:rsidRPr="008573C5">
        <w:rPr>
          <w:rFonts w:ascii="Times" w:hAnsi="Times" w:cs="Times"/>
        </w:rPr>
        <w:t>:620</w:t>
      </w:r>
      <w:r w:rsidR="00DA27BB" w:rsidRPr="008573C5">
        <w:rPr>
          <w:rFonts w:ascii="Times" w:hAnsi="Times" w:cs="Times"/>
        </w:rPr>
        <w:t>)</w:t>
      </w:r>
      <w:r w:rsidRPr="008573C5">
        <w:rPr>
          <w:rFonts w:ascii="Times" w:hAnsi="Times" w:cs="Times"/>
        </w:rPr>
        <w:t xml:space="preserve"> </w:t>
      </w:r>
      <w:r w:rsidR="00095D10" w:rsidRPr="008573C5">
        <w:t xml:space="preserve">find positive </w:t>
      </w:r>
      <w:r w:rsidR="00281D9D" w:rsidRPr="008573C5">
        <w:t xml:space="preserve">and significant </w:t>
      </w:r>
      <w:r w:rsidR="00095D10" w:rsidRPr="008573C5">
        <w:t>association</w:t>
      </w:r>
      <w:r w:rsidRPr="008573C5">
        <w:t xml:space="preserve"> between profitability and disclosure, </w:t>
      </w:r>
      <w:r w:rsidR="00294569" w:rsidRPr="008573C5">
        <w:t>whereas</w:t>
      </w:r>
      <w:r w:rsidR="00BD4D59" w:rsidRPr="008573C5">
        <w:t xml:space="preserve"> </w:t>
      </w:r>
      <w:r w:rsidRPr="008573C5">
        <w:t>Meek et al</w:t>
      </w:r>
      <w:r w:rsidR="00DA27BB" w:rsidRPr="008573C5">
        <w:t>.</w:t>
      </w:r>
      <w:r w:rsidR="00EE1977" w:rsidRPr="008573C5">
        <w:t xml:space="preserve"> </w:t>
      </w:r>
      <w:r w:rsidRPr="008573C5">
        <w:t>(1995</w:t>
      </w:r>
      <w:r w:rsidR="00C41979" w:rsidRPr="008573C5">
        <w:t>:566</w:t>
      </w:r>
      <w:r w:rsidRPr="008573C5">
        <w:t>)</w:t>
      </w:r>
      <w:r w:rsidR="00281D9D" w:rsidRPr="008573C5">
        <w:t xml:space="preserve"> </w:t>
      </w:r>
      <w:r w:rsidRPr="008573C5">
        <w:t xml:space="preserve"> fi</w:t>
      </w:r>
      <w:r w:rsidR="00C16B94" w:rsidRPr="008573C5">
        <w:t>nd</w:t>
      </w:r>
      <w:r w:rsidRPr="008573C5">
        <w:t xml:space="preserve"> that profitability has no effect on disclosure </w:t>
      </w:r>
      <w:r w:rsidR="00FA37BF" w:rsidRPr="008573C5">
        <w:t>and</w:t>
      </w:r>
      <w:r w:rsidRPr="008573C5">
        <w:t xml:space="preserve"> Wallace and Naser (1995: 311) find a negative association between them. Lang &amp; Lundholm (1993: 250) as cited in Owusu-Ansah (1998:616) argue that the influence of a company’s profitability level on disclosure can be positive, neutral or negative depending on its performance.</w:t>
      </w:r>
    </w:p>
    <w:p w:rsidR="00FF5EDF" w:rsidRPr="008573C5" w:rsidRDefault="00FF5EDF" w:rsidP="00FF5EDF">
      <w:pPr>
        <w:spacing w:line="360" w:lineRule="auto"/>
        <w:jc w:val="both"/>
        <w:rPr>
          <w:rFonts w:ascii="Times" w:hAnsi="Times" w:cs="Times"/>
        </w:rPr>
      </w:pPr>
    </w:p>
    <w:p w:rsidR="00FF5EDF" w:rsidRPr="008573C5" w:rsidRDefault="00FF5EDF" w:rsidP="002B48AE">
      <w:pPr>
        <w:spacing w:line="360" w:lineRule="auto"/>
        <w:jc w:val="both"/>
      </w:pPr>
      <w:r w:rsidRPr="008573C5">
        <w:t xml:space="preserve">It can be argued that non-profitable firms may disclose less information in order to cover up losses and declining profit (Singhvi and Desai, 1971:135), whereas profitable ones will want to distinguish themselves by disclosing more information so as to enable them </w:t>
      </w:r>
      <w:r w:rsidR="00FA37BF" w:rsidRPr="008573C5">
        <w:t xml:space="preserve">to </w:t>
      </w:r>
      <w:r w:rsidRPr="008573C5">
        <w:t>obtain capita</w:t>
      </w:r>
      <w:r w:rsidR="002B48AE" w:rsidRPr="008573C5">
        <w:t>l on the best available terms (</w:t>
      </w:r>
      <w:r w:rsidRPr="008573C5">
        <w:t xml:space="preserve">Meek et al, 1995:559). Corporate managers are usually reluctant to give detailed information about a non-profitable outlet or product, hence they might decide to disclose only a lump profit attributable to the </w:t>
      </w:r>
      <w:r w:rsidR="007E08FF" w:rsidRPr="008573C5">
        <w:t>whole company. Inchausti (1997:</w:t>
      </w:r>
      <w:r w:rsidRPr="008573C5">
        <w:t>49) employing signaling theory, states that due to better performa</w:t>
      </w:r>
      <w:r w:rsidR="00FA37BF" w:rsidRPr="008573C5">
        <w:t>nce of companies, management is</w:t>
      </w:r>
      <w:r w:rsidRPr="008573C5">
        <w:t xml:space="preserve"> more likely to disclose detailed information to the public than management with poor performance in order to avoid undervaluation of </w:t>
      </w:r>
      <w:r w:rsidR="00FA37BF" w:rsidRPr="008573C5">
        <w:t>company’s</w:t>
      </w:r>
      <w:r w:rsidRPr="008573C5">
        <w:t xml:space="preserve"> shares. It can also be argued that unprofitable companies will be inclined to re</w:t>
      </w:r>
      <w:r w:rsidR="00A77D90" w:rsidRPr="008573C5">
        <w:t>lease more information in defenc</w:t>
      </w:r>
      <w:r w:rsidRPr="008573C5">
        <w:t xml:space="preserve">e of poor performance. </w:t>
      </w:r>
    </w:p>
    <w:p w:rsidR="002B48AE" w:rsidRPr="008573C5" w:rsidRDefault="002B48AE" w:rsidP="002B48AE">
      <w:pPr>
        <w:spacing w:line="360" w:lineRule="auto"/>
        <w:jc w:val="both"/>
      </w:pPr>
    </w:p>
    <w:p w:rsidR="00FF5EDF" w:rsidRPr="008573C5" w:rsidRDefault="00FF5EDF" w:rsidP="00FF5EDF">
      <w:pPr>
        <w:autoSpaceDE w:val="0"/>
        <w:autoSpaceDN w:val="0"/>
        <w:adjustRightInd w:val="0"/>
        <w:spacing w:line="360" w:lineRule="auto"/>
        <w:jc w:val="both"/>
      </w:pPr>
      <w:r w:rsidRPr="008573C5">
        <w:t>Prior studies</w:t>
      </w:r>
      <w:r w:rsidR="00A77D90" w:rsidRPr="008573C5">
        <w:t xml:space="preserve"> (</w:t>
      </w:r>
      <w:r w:rsidR="009E41F3" w:rsidRPr="008573C5">
        <w:t>see Table 2.04)</w:t>
      </w:r>
      <w:r w:rsidRPr="008573C5">
        <w:t xml:space="preserve"> </w:t>
      </w:r>
      <w:r w:rsidR="00C55CC9" w:rsidRPr="008573C5">
        <w:t>examined if there existed</w:t>
      </w:r>
      <w:r w:rsidRPr="008573C5">
        <w:t xml:space="preserve"> any association between leverage and disclosure levels</w:t>
      </w:r>
      <w:r w:rsidR="000E797E" w:rsidRPr="008573C5">
        <w:t xml:space="preserve"> </w:t>
      </w:r>
      <w:r w:rsidR="005411A5" w:rsidRPr="008573C5">
        <w:t>(</w:t>
      </w:r>
      <w:r w:rsidRPr="008573C5">
        <w:t>Meek et al</w:t>
      </w:r>
      <w:r w:rsidR="00281D9D" w:rsidRPr="008573C5">
        <w:t>.,</w:t>
      </w:r>
      <w:r w:rsidRPr="008573C5">
        <w:t xml:space="preserve"> </w:t>
      </w:r>
      <w:r w:rsidR="00F56882" w:rsidRPr="008573C5">
        <w:t>19</w:t>
      </w:r>
      <w:r w:rsidRPr="008573C5">
        <w:t>95</w:t>
      </w:r>
      <w:r w:rsidR="00F56882" w:rsidRPr="008573C5">
        <w:t>:566</w:t>
      </w:r>
      <w:r w:rsidRPr="008573C5">
        <w:t>, Chow and Wong Boren 1987</w:t>
      </w:r>
      <w:r w:rsidR="00F56882" w:rsidRPr="008573C5">
        <w:t>:539</w:t>
      </w:r>
      <w:r w:rsidR="005411A5" w:rsidRPr="008573C5">
        <w:t xml:space="preserve">, </w:t>
      </w:r>
      <w:r w:rsidRPr="008573C5">
        <w:t>Ferguson, 2002</w:t>
      </w:r>
      <w:r w:rsidR="00F56882" w:rsidRPr="008573C5">
        <w:t>:138</w:t>
      </w:r>
      <w:r w:rsidRPr="008573C5">
        <w:t xml:space="preserve">; </w:t>
      </w:r>
      <w:r w:rsidR="005411A5" w:rsidRPr="008573C5">
        <w:t xml:space="preserve">and </w:t>
      </w:r>
      <w:r w:rsidRPr="008573C5">
        <w:t>Iatridis, 200</w:t>
      </w:r>
      <w:r w:rsidR="00BF13F4" w:rsidRPr="008573C5">
        <w:t>8</w:t>
      </w:r>
      <w:r w:rsidR="005411A5" w:rsidRPr="008573C5">
        <w:t>:</w:t>
      </w:r>
      <w:r w:rsidR="00BF13F4" w:rsidRPr="008573C5">
        <w:t>233</w:t>
      </w:r>
      <w:r w:rsidRPr="008573C5">
        <w:t>).</w:t>
      </w:r>
      <w:r w:rsidR="00BF13F4" w:rsidRPr="008573C5">
        <w:t xml:space="preserve"> According to Iatridis (2008</w:t>
      </w:r>
      <w:r w:rsidR="005411A5" w:rsidRPr="008573C5">
        <w:t>:</w:t>
      </w:r>
      <w:r w:rsidR="00BF13F4" w:rsidRPr="008573C5">
        <w:t>236</w:t>
      </w:r>
      <w:r w:rsidRPr="008573C5">
        <w:t xml:space="preserve">)’ firms that provide extensive accounting disclosures tend to use more debt than equity to finance their operations. It appears, therefore, that firms are inclined to disclose information about sensitive accounting issues, such as gearing and risk profile in order to reassure investors and lenders that abide with the disclosure practices as enumerated by the accounting regulation. Provision of accounting disclosures reduces overall level of risk and allows for fund raising in the debts market. </w:t>
      </w:r>
    </w:p>
    <w:p w:rsidR="00FF5EDF" w:rsidRPr="008573C5" w:rsidRDefault="00FF5EDF" w:rsidP="00FF5EDF">
      <w:pPr>
        <w:autoSpaceDE w:val="0"/>
        <w:autoSpaceDN w:val="0"/>
        <w:adjustRightInd w:val="0"/>
        <w:spacing w:line="360" w:lineRule="auto"/>
        <w:jc w:val="both"/>
      </w:pPr>
    </w:p>
    <w:p w:rsidR="00FF5EDF" w:rsidRPr="008573C5" w:rsidRDefault="00FF5EDF" w:rsidP="00FF5EDF">
      <w:pPr>
        <w:autoSpaceDE w:val="0"/>
        <w:autoSpaceDN w:val="0"/>
        <w:adjustRightInd w:val="0"/>
        <w:spacing w:line="360" w:lineRule="auto"/>
        <w:jc w:val="both"/>
      </w:pPr>
      <w:r w:rsidRPr="008573C5">
        <w:t>According to Jenson and Meckling</w:t>
      </w:r>
      <w:r w:rsidR="00E929B4" w:rsidRPr="008573C5">
        <w:t xml:space="preserve"> </w:t>
      </w:r>
      <w:r w:rsidRPr="008573C5">
        <w:t>(1976</w:t>
      </w:r>
      <w:r w:rsidR="005411A5" w:rsidRPr="008573C5">
        <w:t>:350</w:t>
      </w:r>
      <w:r w:rsidRPr="008573C5">
        <w:t>), agency costs are higher for companies with more debt in their capital structure and disclosures are expected to increase with leverage. Myers 1977 as cited in A</w:t>
      </w:r>
      <w:r w:rsidR="00D17245" w:rsidRPr="008573C5">
        <w:t xml:space="preserve">li et al. </w:t>
      </w:r>
      <w:r w:rsidRPr="008573C5">
        <w:t>(2004:188) states that firms with high debt tend to disclose more information to assure creditors that shareholders and management are less likely to bypass their covenant claims. Dumontier and Raffournier (1995) as cited in A</w:t>
      </w:r>
      <w:r w:rsidR="00D17245" w:rsidRPr="008573C5">
        <w:t>li et al.</w:t>
      </w:r>
      <w:r w:rsidRPr="008573C5">
        <w:t xml:space="preserve"> (2004:188) argue that increased disclosure of IAS requirement </w:t>
      </w:r>
      <w:r w:rsidR="00BB692F" w:rsidRPr="008573C5">
        <w:t xml:space="preserve">enhances </w:t>
      </w:r>
      <w:r w:rsidRPr="008573C5">
        <w:t xml:space="preserve">the monitoring role of financial statements. That, in turn, reduces agency costs. </w:t>
      </w:r>
    </w:p>
    <w:p w:rsidR="00FF5EDF" w:rsidRPr="008573C5" w:rsidRDefault="00FF5EDF" w:rsidP="00FF5EDF">
      <w:pPr>
        <w:autoSpaceDE w:val="0"/>
        <w:autoSpaceDN w:val="0"/>
        <w:adjustRightInd w:val="0"/>
        <w:spacing w:line="360" w:lineRule="auto"/>
        <w:jc w:val="both"/>
      </w:pPr>
    </w:p>
    <w:p w:rsidR="00FF5EDF" w:rsidRPr="008573C5" w:rsidRDefault="00FF5EDF" w:rsidP="00AC0CDA">
      <w:pPr>
        <w:autoSpaceDE w:val="0"/>
        <w:autoSpaceDN w:val="0"/>
        <w:adjustRightInd w:val="0"/>
        <w:spacing w:line="360" w:lineRule="auto"/>
        <w:jc w:val="both"/>
        <w:rPr>
          <w:rFonts w:ascii="Times" w:hAnsi="Times" w:cs="Times"/>
        </w:rPr>
      </w:pPr>
      <w:r w:rsidRPr="008573C5">
        <w:t>Prior studies reporting mixed findings on the relationship between leverage and level of disclosure.</w:t>
      </w:r>
      <w:r w:rsidRPr="008573C5">
        <w:rPr>
          <w:rFonts w:ascii="Times" w:hAnsi="Times" w:cs="Times"/>
        </w:rPr>
        <w:t xml:space="preserve"> Meek et al</w:t>
      </w:r>
      <w:r w:rsidR="005411A5" w:rsidRPr="008573C5">
        <w:rPr>
          <w:rFonts w:ascii="Times" w:hAnsi="Times" w:cs="Times"/>
        </w:rPr>
        <w:t xml:space="preserve"> </w:t>
      </w:r>
      <w:r w:rsidRPr="008573C5">
        <w:rPr>
          <w:rFonts w:ascii="Times" w:hAnsi="Times" w:cs="Times"/>
        </w:rPr>
        <w:t>(1995</w:t>
      </w:r>
      <w:r w:rsidR="005411A5" w:rsidRPr="008573C5">
        <w:rPr>
          <w:rFonts w:ascii="Times" w:hAnsi="Times" w:cs="Times"/>
        </w:rPr>
        <w:t>:566</w:t>
      </w:r>
      <w:r w:rsidRPr="008573C5">
        <w:rPr>
          <w:rFonts w:ascii="Times" w:hAnsi="Times" w:cs="Times"/>
        </w:rPr>
        <w:t>) reported t</w:t>
      </w:r>
      <w:r w:rsidRPr="008573C5">
        <w:t xml:space="preserve">hat the leverage ratio is negatively associated with the disclosure index. Ferguson et al (2002:141) report a positive association between information disclosure and leverage, whereas </w:t>
      </w:r>
      <w:r w:rsidRPr="008573C5">
        <w:rPr>
          <w:rFonts w:ascii="Times" w:hAnsi="Times" w:cs="Times"/>
        </w:rPr>
        <w:t>Chow and Wong-Boren (1987</w:t>
      </w:r>
      <w:r w:rsidR="005411A5" w:rsidRPr="008573C5">
        <w:rPr>
          <w:rFonts w:ascii="Times" w:hAnsi="Times" w:cs="Times"/>
        </w:rPr>
        <w:t>:539</w:t>
      </w:r>
      <w:r w:rsidRPr="008573C5">
        <w:rPr>
          <w:rFonts w:ascii="Times" w:hAnsi="Times" w:cs="Times"/>
        </w:rPr>
        <w:t>)</w:t>
      </w:r>
      <w:r w:rsidR="005411A5" w:rsidRPr="008573C5">
        <w:rPr>
          <w:rFonts w:ascii="Times" w:hAnsi="Times" w:cs="Times"/>
        </w:rPr>
        <w:t>,</w:t>
      </w:r>
      <w:r w:rsidRPr="008573C5">
        <w:t xml:space="preserve"> Wallace et al</w:t>
      </w:r>
      <w:r w:rsidR="007E08FF" w:rsidRPr="008573C5">
        <w:t xml:space="preserve"> </w:t>
      </w:r>
      <w:r w:rsidRPr="008573C5">
        <w:t>(1994</w:t>
      </w:r>
      <w:r w:rsidR="005411A5" w:rsidRPr="008573C5">
        <w:t>:50</w:t>
      </w:r>
      <w:r w:rsidRPr="008573C5">
        <w:t>) and Wallace and Naser</w:t>
      </w:r>
      <w:r w:rsidR="00E929B4" w:rsidRPr="008573C5">
        <w:t xml:space="preserve"> </w:t>
      </w:r>
      <w:r w:rsidRPr="008573C5">
        <w:t>(1995</w:t>
      </w:r>
      <w:r w:rsidR="005411A5" w:rsidRPr="008573C5">
        <w:t>:364</w:t>
      </w:r>
      <w:r w:rsidRPr="008573C5">
        <w:t xml:space="preserve">) find no such statistical association. </w:t>
      </w:r>
      <w:r w:rsidRPr="008573C5">
        <w:rPr>
          <w:rFonts w:ascii="Times" w:hAnsi="Times" w:cs="Times"/>
        </w:rPr>
        <w:t>The various leverage ratios considered in previous studies is</w:t>
      </w:r>
      <w:r w:rsidR="00C55CC9" w:rsidRPr="008573C5">
        <w:rPr>
          <w:rFonts w:ascii="Times" w:hAnsi="Times" w:cs="Times"/>
        </w:rPr>
        <w:t>:</w:t>
      </w:r>
      <w:r w:rsidRPr="008573C5">
        <w:rPr>
          <w:rFonts w:ascii="Times" w:hAnsi="Times" w:cs="Times"/>
        </w:rPr>
        <w:t xml:space="preserve"> debt to equity ratio, debt to total assets, total debt, and capital gearing ratio.  Disclosures are expected to increase with leverage. This can be supported with the argument that firms will want to disclose detailed information to gain access to the money market.  </w:t>
      </w:r>
    </w:p>
    <w:p w:rsidR="00D13F3C" w:rsidRPr="008573C5" w:rsidRDefault="00D13F3C" w:rsidP="00FF5EDF">
      <w:pPr>
        <w:spacing w:line="360" w:lineRule="auto"/>
        <w:jc w:val="both"/>
      </w:pPr>
    </w:p>
    <w:p w:rsidR="00FF5EDF" w:rsidRPr="008573C5" w:rsidRDefault="00FF5EDF" w:rsidP="00FF5EDF">
      <w:pPr>
        <w:spacing w:line="360" w:lineRule="auto"/>
        <w:jc w:val="both"/>
      </w:pPr>
      <w:r w:rsidRPr="008573C5">
        <w:t xml:space="preserve">The extent of mandatory and voluntary disclosure by listed company could be associated with its listing age (Owusu-Ansah, 1998:614; Prencipe, 2004: 325). This association has been tested by various researchers ( see </w:t>
      </w:r>
      <w:r w:rsidR="00D13F3C" w:rsidRPr="008573C5">
        <w:t>Table 2.05</w:t>
      </w:r>
      <w:r w:rsidR="009E41F3" w:rsidRPr="008573C5">
        <w:t>)</w:t>
      </w:r>
      <w:r w:rsidRPr="008573C5">
        <w:t xml:space="preserve">. The results varies, Owusu Ansah ( 1998:625) and Prencipe (2004: 333) finds positive and significant relationships, Haniffa and Cooke(2002:340) and Al-Shammari( 2005: 120) finds </w:t>
      </w:r>
      <w:r w:rsidR="00382605" w:rsidRPr="008573C5">
        <w:t>appositive and</w:t>
      </w:r>
      <w:r w:rsidRPr="008573C5">
        <w:t xml:space="preserve"> non significant relationship, while </w:t>
      </w:r>
      <w:r w:rsidRPr="008573C5">
        <w:rPr>
          <w:rFonts w:eastAsia="Calibri"/>
        </w:rPr>
        <w:t xml:space="preserve">Glaum and Street(2003:90) and </w:t>
      </w:r>
      <w:r w:rsidRPr="008573C5">
        <w:t>Akhtaruddin (2005:414) finds a negative and non-significant relationship. The positive association is based on the premise that older, well-established, companies with more experience are likely to include more information in their annual reports in order to enhance their reputation and image in the market (Akhtaruddin,2005:405). Owusu-Ansah(1998:614) argued that  newly-established companies may suffer competitive disadvantage if they disclose certain information items such as product development, which can be used to their detriment by the other competitors. In other words they hoard information in order not to suffer from competitive disadvantage. Contrary to this opinion, Haniffa and Cooke (2002:330) believe that younger companies disclose more information to boost investor confidence and to reduce skepticism.</w:t>
      </w:r>
    </w:p>
    <w:p w:rsidR="00FF5EDF" w:rsidRPr="008573C5" w:rsidRDefault="00FF5EDF" w:rsidP="00FF5EDF">
      <w:pPr>
        <w:spacing w:line="360" w:lineRule="auto"/>
        <w:jc w:val="both"/>
      </w:pPr>
    </w:p>
    <w:p w:rsidR="00FF5EDF" w:rsidRPr="008573C5" w:rsidRDefault="005E1478" w:rsidP="00FF5EDF">
      <w:pPr>
        <w:spacing w:line="360" w:lineRule="auto"/>
        <w:jc w:val="both"/>
      </w:pPr>
      <w:r w:rsidRPr="008573C5">
        <w:t>Th</w:t>
      </w:r>
      <w:r w:rsidR="00040C74" w:rsidRPr="008573C5">
        <w:t>e</w:t>
      </w:r>
      <w:r w:rsidRPr="008573C5">
        <w:t xml:space="preserve"> study supports the opinion </w:t>
      </w:r>
      <w:r w:rsidR="00FF5EDF" w:rsidRPr="008573C5">
        <w:t>of Haniffa and Cooke (2002:330), it is expected that there will be a negative association between company listing age and the extent of disclosure. This is principally due to the upsurge of companies, parti</w:t>
      </w:r>
      <w:r w:rsidRPr="008573C5">
        <w:t>cularly in the financial sector</w:t>
      </w:r>
      <w:r w:rsidR="00FF5EDF" w:rsidRPr="008573C5">
        <w:t xml:space="preserve"> that were recently listed in the Nigerian Stock Exchange. In order to meet up with the capitalization reform, most of the companies within the banking and insurance sector</w:t>
      </w:r>
      <w:r w:rsidRPr="008573C5">
        <w:t>s</w:t>
      </w:r>
      <w:r w:rsidR="00FF5EDF" w:rsidRPr="008573C5">
        <w:t xml:space="preserve"> had to penetrate the stock market to boost their capital. In a bid to attract a lot of investors</w:t>
      </w:r>
      <w:r w:rsidRPr="008573C5">
        <w:t>,</w:t>
      </w:r>
      <w:r w:rsidR="00FF5EDF" w:rsidRPr="008573C5">
        <w:t xml:space="preserve"> most of the companies particularly in </w:t>
      </w:r>
      <w:r w:rsidRPr="008573C5">
        <w:t>the banking sector disclosed</w:t>
      </w:r>
      <w:r w:rsidR="00FF5EDF" w:rsidRPr="008573C5">
        <w:t xml:space="preserve"> a lot of information.</w:t>
      </w:r>
    </w:p>
    <w:p w:rsidR="00FF5EDF" w:rsidRPr="008573C5" w:rsidRDefault="00FF5EDF" w:rsidP="00FF5EDF">
      <w:pPr>
        <w:spacing w:line="360" w:lineRule="auto"/>
        <w:jc w:val="both"/>
      </w:pPr>
    </w:p>
    <w:p w:rsidR="00FF5EDF" w:rsidRPr="008573C5" w:rsidRDefault="00FF5EDF" w:rsidP="00FA75CF">
      <w:pPr>
        <w:spacing w:line="360" w:lineRule="auto"/>
        <w:jc w:val="both"/>
        <w:rPr>
          <w:lang w:val="en-GB" w:eastAsia="en-GB"/>
        </w:rPr>
      </w:pPr>
      <w:r w:rsidRPr="008573C5">
        <w:t xml:space="preserve"> </w:t>
      </w:r>
      <w:r w:rsidR="006F4F5D" w:rsidRPr="008573C5">
        <w:t xml:space="preserve">Watts </w:t>
      </w:r>
      <w:r w:rsidR="00D85E5B" w:rsidRPr="008573C5">
        <w:t xml:space="preserve">and Zimmerman (1990:14) </w:t>
      </w:r>
      <w:r w:rsidR="006F4F5D" w:rsidRPr="008573C5">
        <w:t>explain</w:t>
      </w:r>
      <w:r w:rsidR="00D85E5B" w:rsidRPr="008573C5">
        <w:t xml:space="preserve">s </w:t>
      </w:r>
      <w:r w:rsidR="006F4F5D" w:rsidRPr="008573C5">
        <w:t>the relationship between industry and disclosure using</w:t>
      </w:r>
      <w:r w:rsidR="00D85E5B" w:rsidRPr="008573C5">
        <w:t xml:space="preserve"> </w:t>
      </w:r>
      <w:r w:rsidR="006F4F5D" w:rsidRPr="008573C5">
        <w:t>political costs theory</w:t>
      </w:r>
      <w:r w:rsidR="00D85E5B" w:rsidRPr="008573C5">
        <w:t>.</w:t>
      </w:r>
      <w:r w:rsidR="006F4F5D" w:rsidRPr="008573C5">
        <w:t xml:space="preserve"> </w:t>
      </w:r>
      <w:r w:rsidR="00D85E5B" w:rsidRPr="008573C5">
        <w:t xml:space="preserve">They argue that political costs vary according to industry. </w:t>
      </w:r>
      <w:r w:rsidRPr="008573C5">
        <w:t>Disclosure differential may be associated with the type of product line, nature of production and nature of service provided (Ahmed, 2004:614). The association between industry-type and disclosure is supported by empirical evidences</w:t>
      </w:r>
      <w:r w:rsidR="009E41F3" w:rsidRPr="008573C5">
        <w:t xml:space="preserve"> (Table 2.0</w:t>
      </w:r>
      <w:r w:rsidR="00D13F3C" w:rsidRPr="008573C5">
        <w:t>6</w:t>
      </w:r>
      <w:r w:rsidR="009E41F3" w:rsidRPr="008573C5">
        <w:t>)</w:t>
      </w:r>
      <w:r w:rsidRPr="008573C5">
        <w:t xml:space="preserve">, but the results are mixed. Ahmed (2005:73) finds industry-type to be a significant factor accounting for the differences in the disclosure levels of the companies in their sample. </w:t>
      </w:r>
      <w:r w:rsidRPr="008573C5">
        <w:rPr>
          <w:lang w:val="en-GB" w:eastAsia="en-GB"/>
        </w:rPr>
        <w:t>Cooke’s (1989</w:t>
      </w:r>
      <w:r w:rsidR="00B33D76" w:rsidRPr="008573C5">
        <w:rPr>
          <w:lang w:val="en-GB" w:eastAsia="en-GB"/>
        </w:rPr>
        <w:t>:120</w:t>
      </w:r>
      <w:r w:rsidRPr="008573C5">
        <w:rPr>
          <w:lang w:val="en-GB" w:eastAsia="en-GB"/>
        </w:rPr>
        <w:t>) findings report that manufacturing companies disclose more information than other types of companies. But the findings of Owusu-Ansah (1998</w:t>
      </w:r>
      <w:r w:rsidR="00B33D76" w:rsidRPr="008573C5">
        <w:rPr>
          <w:lang w:val="en-GB" w:eastAsia="en-GB"/>
        </w:rPr>
        <w:t>:616</w:t>
      </w:r>
      <w:r w:rsidRPr="008573C5">
        <w:rPr>
          <w:lang w:val="en-GB" w:eastAsia="en-GB"/>
        </w:rPr>
        <w:t>) and Akhtaruddin (2005</w:t>
      </w:r>
      <w:r w:rsidR="00B33D76" w:rsidRPr="008573C5">
        <w:rPr>
          <w:lang w:val="en-GB" w:eastAsia="en-GB"/>
        </w:rPr>
        <w:t>:409</w:t>
      </w:r>
      <w:r w:rsidR="00FA75CF" w:rsidRPr="008573C5">
        <w:rPr>
          <w:lang w:val="en-GB" w:eastAsia="en-GB"/>
        </w:rPr>
        <w:t>) reveal</w:t>
      </w:r>
      <w:r w:rsidRPr="008573C5">
        <w:rPr>
          <w:lang w:val="en-GB" w:eastAsia="en-GB"/>
        </w:rPr>
        <w:t xml:space="preserve"> that company status has no effect on disclosure.</w:t>
      </w:r>
      <w:r w:rsidRPr="008573C5">
        <w:t xml:space="preserve"> Accounting policies and techniques may vary by industry and also the relevance of selected items of disclosure may vary across industries.  According to Wallace et al (1994:47), because of the peculiarities of some particular industries they may adopt disclosing more detailed information than mandated.</w:t>
      </w:r>
      <w:r w:rsidRPr="008573C5">
        <w:rPr>
          <w:lang w:val="en-GB" w:eastAsia="en-GB"/>
        </w:rPr>
        <w:t xml:space="preserve"> Political costs and competitive costs are expected to vary by industry. Higher potential political costs will make highly regulated industries to disclose more detailed information whereas competition may make some industries to curtail information to avoid information leakage</w:t>
      </w:r>
      <w:r w:rsidR="00A37C74" w:rsidRPr="008573C5">
        <w:rPr>
          <w:lang w:val="en-GB" w:eastAsia="en-GB"/>
        </w:rPr>
        <w:t xml:space="preserve"> </w:t>
      </w:r>
      <w:r w:rsidR="00AC4B42" w:rsidRPr="008573C5">
        <w:rPr>
          <w:lang w:val="en-GB" w:eastAsia="en-GB"/>
        </w:rPr>
        <w:t>(</w:t>
      </w:r>
      <w:r w:rsidRPr="008573C5">
        <w:rPr>
          <w:lang w:val="en-GB" w:eastAsia="en-GB"/>
        </w:rPr>
        <w:t>Ferguson et al</w:t>
      </w:r>
      <w:r w:rsidR="008311F1" w:rsidRPr="008573C5">
        <w:rPr>
          <w:lang w:val="en-GB" w:eastAsia="en-GB"/>
        </w:rPr>
        <w:t>.</w:t>
      </w:r>
      <w:r w:rsidRPr="008573C5">
        <w:rPr>
          <w:lang w:val="en-GB" w:eastAsia="en-GB"/>
        </w:rPr>
        <w:t>, 2002:133).</w:t>
      </w:r>
    </w:p>
    <w:p w:rsidR="00FF5EDF" w:rsidRPr="008573C5" w:rsidRDefault="00FF5EDF" w:rsidP="00FF5EDF">
      <w:pPr>
        <w:autoSpaceDE w:val="0"/>
        <w:autoSpaceDN w:val="0"/>
        <w:adjustRightInd w:val="0"/>
        <w:spacing w:line="360" w:lineRule="auto"/>
        <w:jc w:val="both"/>
      </w:pPr>
    </w:p>
    <w:p w:rsidR="00FF5EDF" w:rsidRPr="008573C5" w:rsidRDefault="00E63AB5" w:rsidP="00FF5EDF">
      <w:pPr>
        <w:autoSpaceDE w:val="0"/>
        <w:autoSpaceDN w:val="0"/>
        <w:adjustRightInd w:val="0"/>
        <w:spacing w:line="360" w:lineRule="auto"/>
        <w:jc w:val="both"/>
        <w:rPr>
          <w:rFonts w:ascii="Times" w:hAnsi="Times" w:cs="Times"/>
        </w:rPr>
      </w:pPr>
      <w:r w:rsidRPr="008573C5">
        <w:t>A</w:t>
      </w:r>
      <w:r w:rsidR="00FF5EDF" w:rsidRPr="008573C5">
        <w:t>lthough company management is primarily responsible for preparing the financial report, the company external auditors play a major role in the disclosure policies and practices of their clients (A</w:t>
      </w:r>
      <w:r w:rsidR="008311F1" w:rsidRPr="008573C5">
        <w:t>li et al.</w:t>
      </w:r>
      <w:r w:rsidR="00FF5EDF" w:rsidRPr="008573C5">
        <w:t xml:space="preserve">, 2004:189). </w:t>
      </w:r>
      <w:r w:rsidR="002D501E" w:rsidRPr="008573C5">
        <w:t>Jenson and Meckling (1976:305) argue that auditing is a way of reducing agency costs. Companies that incur high age</w:t>
      </w:r>
      <w:r w:rsidR="00601F41" w:rsidRPr="008573C5">
        <w:t>ncy costs</w:t>
      </w:r>
      <w:r w:rsidR="002D501E" w:rsidRPr="008573C5">
        <w:t xml:space="preserve"> tend to engage </w:t>
      </w:r>
      <w:r w:rsidR="00601F41" w:rsidRPr="008573C5">
        <w:t>high profile ‘</w:t>
      </w:r>
      <w:r w:rsidR="002D501E" w:rsidRPr="008573C5">
        <w:t>big</w:t>
      </w:r>
      <w:r w:rsidR="00601F41" w:rsidRPr="008573C5">
        <w:t>’</w:t>
      </w:r>
      <w:r w:rsidR="002D501E" w:rsidRPr="008573C5">
        <w:t xml:space="preserve"> auditing firms.</w:t>
      </w:r>
      <w:r w:rsidR="00601F41" w:rsidRPr="008573C5">
        <w:t xml:space="preserve"> This is also related to the fact that these big auditing firms have a good knowledge of local and international standards and the costs of implementing the standards are low</w:t>
      </w:r>
      <w:r w:rsidR="0005589B" w:rsidRPr="008573C5">
        <w:t>er than for the smaller firms (</w:t>
      </w:r>
      <w:r w:rsidR="00601F41" w:rsidRPr="008573C5">
        <w:t>Lopes and Rodrigues, 2007:33)</w:t>
      </w:r>
      <w:r w:rsidR="008311F1" w:rsidRPr="008573C5">
        <w:t>.</w:t>
      </w:r>
      <w:r w:rsidR="00601F41" w:rsidRPr="008573C5">
        <w:t xml:space="preserve"> </w:t>
      </w:r>
      <w:r w:rsidR="002D501E" w:rsidRPr="008573C5">
        <w:t xml:space="preserve"> </w:t>
      </w:r>
      <w:r w:rsidR="00FF5EDF" w:rsidRPr="008573C5">
        <w:t>Prior studies</w:t>
      </w:r>
      <w:r w:rsidR="00382605" w:rsidRPr="008573C5">
        <w:t xml:space="preserve"> (</w:t>
      </w:r>
      <w:r w:rsidR="00D13F3C" w:rsidRPr="008573C5">
        <w:t>Table 2.07</w:t>
      </w:r>
      <w:r w:rsidR="009E41F3" w:rsidRPr="008573C5">
        <w:t>)</w:t>
      </w:r>
      <w:r w:rsidR="00FF5EDF" w:rsidRPr="008573C5">
        <w:t xml:space="preserve"> categorise audit firms on the basis of whether an auditor belongs to the ‘Big Five’ (Glaum and Street, 2003: 64) ‘ Big Six( Wallace and Naser, 1995:326 or‘Big Four’ international audit firms or not.</w:t>
      </w:r>
      <w:r w:rsidR="00FF5EDF" w:rsidRPr="008573C5">
        <w:rPr>
          <w:rFonts w:ascii="Times" w:hAnsi="Times" w:cs="Times"/>
        </w:rPr>
        <w:t xml:space="preserve"> The size of the audit firm influences the amount and quality of information disclosed in annual reports. </w:t>
      </w:r>
      <w:r w:rsidR="00FF5EDF" w:rsidRPr="008573C5">
        <w:t>The Big Four accounting firms are PriceWaterhouseCoopers, KPMG, Akintola Williams Deloite, and Ernst and Young. Prior studies provide evidence that type of auditor influences the overall level of disclosure. For instance, Singhvi and Desai (1971</w:t>
      </w:r>
      <w:r w:rsidR="0065629E" w:rsidRPr="008573C5">
        <w:t>:133</w:t>
      </w:r>
      <w:r w:rsidR="00FF5EDF" w:rsidRPr="008573C5">
        <w:t>) and Street and Gray (2001</w:t>
      </w:r>
      <w:r w:rsidR="00B33D76" w:rsidRPr="008573C5">
        <w:t>:30</w:t>
      </w:r>
      <w:r w:rsidR="00FF5EDF" w:rsidRPr="008573C5">
        <w:t>) recognize positive association between audit firm size and the extent of disclosure.</w:t>
      </w:r>
    </w:p>
    <w:p w:rsidR="00FF5EDF" w:rsidRPr="008573C5" w:rsidRDefault="00FF5EDF" w:rsidP="00FF5EDF">
      <w:pPr>
        <w:spacing w:line="360" w:lineRule="auto"/>
        <w:jc w:val="both"/>
      </w:pPr>
    </w:p>
    <w:p w:rsidR="00FF5EDF" w:rsidRPr="008573C5" w:rsidRDefault="00FF5EDF" w:rsidP="00FF5EDF">
      <w:pPr>
        <w:autoSpaceDE w:val="0"/>
        <w:autoSpaceDN w:val="0"/>
        <w:adjustRightInd w:val="0"/>
        <w:spacing w:line="360" w:lineRule="auto"/>
        <w:jc w:val="both"/>
      </w:pPr>
      <w:r w:rsidRPr="008573C5">
        <w:t xml:space="preserve">Multinational corporations </w:t>
      </w:r>
      <w:r w:rsidR="00382605" w:rsidRPr="008573C5">
        <w:t xml:space="preserve">(MNCs) </w:t>
      </w:r>
      <w:r w:rsidRPr="008573C5">
        <w:t>operate in several countries the world over. These corporations are usually multiple listed and need to meet the information requirements of a diverse group of investors with different cultural backgrounds (Ahmed, 2004:189). According to Owusu- Ansah</w:t>
      </w:r>
      <w:r w:rsidR="008311F1" w:rsidRPr="008573C5">
        <w:t xml:space="preserve"> </w:t>
      </w:r>
      <w:r w:rsidRPr="008573C5">
        <w:t>(1998:615), the extent of a company’s mandatory disclosure is influenced by its affiliation with a recognized MNC. This is because the MNC’s demand a greater amount of information than is required by local regulations from their affiliates, also the political costs of affiliates of MNCs are relatively high. The performance of the operations of MNCs and their local affiliates are frequently evaluated and monitored by international governmental agencies such as the United Nations. With these factors, MNCs are more likely to insist on full compliance with all statutory and regulatory requirements of the host countries by their affiliates. Moreover, it enhances their bargaining powers with their host countries</w:t>
      </w:r>
      <w:r w:rsidR="008311F1" w:rsidRPr="008573C5">
        <w:t xml:space="preserve"> </w:t>
      </w:r>
      <w:r w:rsidRPr="008573C5">
        <w:t>(Owusu-Ansah, 1998:615).</w:t>
      </w:r>
      <w:r w:rsidR="009E41F3" w:rsidRPr="008573C5">
        <w:t xml:space="preserve"> A review of literature on the association between multinational affiliation and extent of disclosure are as highlighted in Table 2.</w:t>
      </w:r>
      <w:r w:rsidR="006204C2" w:rsidRPr="008573C5">
        <w:t>0</w:t>
      </w:r>
      <w:r w:rsidR="00D13F3C" w:rsidRPr="008573C5">
        <w:t>8</w:t>
      </w:r>
      <w:r w:rsidR="009E41F3" w:rsidRPr="008573C5">
        <w:t>.</w:t>
      </w:r>
    </w:p>
    <w:p w:rsidR="00FF5EDF" w:rsidRPr="008573C5" w:rsidRDefault="00FF5EDF" w:rsidP="00FF5EDF">
      <w:pPr>
        <w:autoSpaceDE w:val="0"/>
        <w:autoSpaceDN w:val="0"/>
        <w:adjustRightInd w:val="0"/>
        <w:spacing w:line="360" w:lineRule="auto"/>
        <w:jc w:val="both"/>
      </w:pPr>
    </w:p>
    <w:p w:rsidR="00FF5EDF" w:rsidRPr="008573C5" w:rsidRDefault="00FF5EDF" w:rsidP="00FF5EDF">
      <w:pPr>
        <w:autoSpaceDE w:val="0"/>
        <w:autoSpaceDN w:val="0"/>
        <w:adjustRightInd w:val="0"/>
        <w:spacing w:line="360" w:lineRule="auto"/>
        <w:jc w:val="both"/>
        <w:rPr>
          <w:rFonts w:ascii="Times" w:hAnsi="Times" w:cs="Times"/>
        </w:rPr>
      </w:pPr>
      <w:r w:rsidRPr="008573C5">
        <w:t xml:space="preserve">Owusu-Ansah, (1998:615) further explains that foreign direct investments come with technology transfer. Most multinationals use sophisticated accounting systems that </w:t>
      </w:r>
      <w:r w:rsidR="00FA75CF" w:rsidRPr="008573C5">
        <w:t>are</w:t>
      </w:r>
      <w:r w:rsidRPr="008573C5">
        <w:t xml:space="preserve"> usually transplanted in their affiliates. So by adoption, these affiliates are likely to operate a similar sophisticated accounting and reporting system like their multinational parent. This means the cost of producing information will be lesser than information costs incurred by local firms with no multinational parent. This will enable them to disclose detailed information at minimal costs. </w:t>
      </w:r>
      <w:r w:rsidR="002B48AE" w:rsidRPr="008573C5">
        <w:t>D</w:t>
      </w:r>
      <w:r w:rsidRPr="008573C5">
        <w:rPr>
          <w:rFonts w:ascii="Times" w:hAnsi="Times" w:cs="Times"/>
        </w:rPr>
        <w:t xml:space="preserve">ue to globalization, more companies are being internationalized and hence require </w:t>
      </w:r>
      <w:r w:rsidR="00E05534" w:rsidRPr="008573C5">
        <w:rPr>
          <w:rFonts w:ascii="Times" w:hAnsi="Times" w:cs="Times"/>
        </w:rPr>
        <w:t>disclosing</w:t>
      </w:r>
      <w:r w:rsidRPr="008573C5">
        <w:rPr>
          <w:rFonts w:ascii="Times" w:hAnsi="Times" w:cs="Times"/>
        </w:rPr>
        <w:t xml:space="preserve"> detailed information in order to penetrate the international capital markets. According to </w:t>
      </w:r>
      <w:r w:rsidR="00A66213" w:rsidRPr="008573C5">
        <w:t xml:space="preserve">Radebaugh, Gray and Black </w:t>
      </w:r>
      <w:r w:rsidRPr="008573C5">
        <w:rPr>
          <w:rFonts w:ascii="Times" w:hAnsi="Times" w:cs="Times"/>
        </w:rPr>
        <w:t xml:space="preserve">(2006: </w:t>
      </w:r>
      <w:r w:rsidR="00A37C74" w:rsidRPr="008573C5">
        <w:rPr>
          <w:rFonts w:ascii="Times" w:hAnsi="Times" w:cs="Times"/>
        </w:rPr>
        <w:t xml:space="preserve">126), the amount of information </w:t>
      </w:r>
      <w:r w:rsidRPr="008573C5">
        <w:rPr>
          <w:rFonts w:ascii="Times" w:hAnsi="Times" w:cs="Times"/>
        </w:rPr>
        <w:t xml:space="preserve">disclosed by MNCs have grown over the years because the importance of information disclosed is being increasingly recognized by multinational corporations. </w:t>
      </w:r>
    </w:p>
    <w:p w:rsidR="00C55CC9" w:rsidRPr="008573C5" w:rsidRDefault="00C55CC9" w:rsidP="00CA6CB9">
      <w:pPr>
        <w:autoSpaceDE w:val="0"/>
        <w:autoSpaceDN w:val="0"/>
        <w:adjustRightInd w:val="0"/>
        <w:spacing w:line="360" w:lineRule="auto"/>
        <w:jc w:val="both"/>
        <w:rPr>
          <w:b/>
          <w:sz w:val="28"/>
          <w:szCs w:val="28"/>
        </w:rPr>
      </w:pPr>
    </w:p>
    <w:p w:rsidR="00C57632" w:rsidRPr="008573C5" w:rsidRDefault="00CE2EA1" w:rsidP="00CA6CB9">
      <w:pPr>
        <w:autoSpaceDE w:val="0"/>
        <w:autoSpaceDN w:val="0"/>
        <w:adjustRightInd w:val="0"/>
        <w:spacing w:line="360" w:lineRule="auto"/>
        <w:jc w:val="both"/>
        <w:rPr>
          <w:b/>
          <w:sz w:val="28"/>
          <w:szCs w:val="28"/>
        </w:rPr>
      </w:pPr>
      <w:r w:rsidRPr="008573C5">
        <w:rPr>
          <w:b/>
          <w:sz w:val="28"/>
          <w:szCs w:val="28"/>
        </w:rPr>
        <w:t>2.</w:t>
      </w:r>
      <w:r w:rsidR="0005589B" w:rsidRPr="008573C5">
        <w:rPr>
          <w:b/>
          <w:sz w:val="28"/>
          <w:szCs w:val="28"/>
        </w:rPr>
        <w:t>3</w:t>
      </w:r>
      <w:r w:rsidR="00CA6CB9" w:rsidRPr="008573C5">
        <w:rPr>
          <w:b/>
          <w:sz w:val="28"/>
          <w:szCs w:val="28"/>
        </w:rPr>
        <w:t xml:space="preserve"> Theoretical Framework</w:t>
      </w:r>
      <w:r w:rsidR="00C57632" w:rsidRPr="008573C5">
        <w:rPr>
          <w:b/>
          <w:sz w:val="28"/>
          <w:szCs w:val="28"/>
        </w:rPr>
        <w:t xml:space="preserve"> </w:t>
      </w:r>
    </w:p>
    <w:p w:rsidR="00896F76" w:rsidRPr="008573C5" w:rsidRDefault="00CA6CB9" w:rsidP="00CA6CB9">
      <w:pPr>
        <w:autoSpaceDE w:val="0"/>
        <w:autoSpaceDN w:val="0"/>
        <w:adjustRightInd w:val="0"/>
        <w:spacing w:line="360" w:lineRule="auto"/>
        <w:jc w:val="both"/>
      </w:pPr>
      <w:r w:rsidRPr="008573C5">
        <w:t xml:space="preserve">There is no generally accepted theory governing financial reporting disclosure (Al-Shammari, 2005:34; </w:t>
      </w:r>
      <w:r w:rsidR="00896F76" w:rsidRPr="008573C5">
        <w:t>Schipper, 2007:302). P</w:t>
      </w:r>
      <w:r w:rsidR="00C57632" w:rsidRPr="008573C5">
        <w:t xml:space="preserve">ositive </w:t>
      </w:r>
      <w:r w:rsidR="00896F76" w:rsidRPr="008573C5">
        <w:t>A</w:t>
      </w:r>
      <w:r w:rsidR="00C57632" w:rsidRPr="008573C5">
        <w:t xml:space="preserve">ccounting </w:t>
      </w:r>
      <w:r w:rsidR="00896F76" w:rsidRPr="008573C5">
        <w:t>T</w:t>
      </w:r>
      <w:r w:rsidRPr="008573C5">
        <w:t>heor</w:t>
      </w:r>
      <w:r w:rsidR="00C57632" w:rsidRPr="008573C5">
        <w:t xml:space="preserve">y </w:t>
      </w:r>
      <w:r w:rsidR="008A06B7" w:rsidRPr="008573C5">
        <w:t xml:space="preserve">(PAT) </w:t>
      </w:r>
      <w:r w:rsidR="00C55CC9" w:rsidRPr="008573C5">
        <w:t xml:space="preserve">is </w:t>
      </w:r>
      <w:r w:rsidR="00896F76" w:rsidRPr="008573C5">
        <w:t xml:space="preserve">found by previous researchers as a framework </w:t>
      </w:r>
      <w:r w:rsidR="00C57632" w:rsidRPr="008573C5">
        <w:t>that relates c</w:t>
      </w:r>
      <w:r w:rsidRPr="008573C5">
        <w:t xml:space="preserve">ompany attributes to the extent of </w:t>
      </w:r>
      <w:r w:rsidR="00C57632" w:rsidRPr="008573C5">
        <w:t>financial</w:t>
      </w:r>
      <w:r w:rsidRPr="008573C5">
        <w:t xml:space="preserve"> disclosure. </w:t>
      </w:r>
      <w:r w:rsidR="00896F76" w:rsidRPr="008573C5">
        <w:t>The following section discusses</w:t>
      </w:r>
      <w:r w:rsidR="00BC0ED8" w:rsidRPr="008573C5">
        <w:t>,</w:t>
      </w:r>
      <w:r w:rsidR="00896F76" w:rsidRPr="008573C5">
        <w:t xml:space="preserve"> the theory, prior works that ha</w:t>
      </w:r>
      <w:r w:rsidR="008A06B7" w:rsidRPr="008573C5">
        <w:t>ve used PAT</w:t>
      </w:r>
      <w:r w:rsidR="00896F76" w:rsidRPr="008573C5">
        <w:t xml:space="preserve"> and the relevance of </w:t>
      </w:r>
      <w:r w:rsidR="008A06B7" w:rsidRPr="008573C5">
        <w:t>PAT</w:t>
      </w:r>
      <w:r w:rsidR="00896F76" w:rsidRPr="008573C5">
        <w:t xml:space="preserve"> to this </w:t>
      </w:r>
      <w:r w:rsidR="008A06B7" w:rsidRPr="008573C5">
        <w:t>present study.</w:t>
      </w:r>
    </w:p>
    <w:p w:rsidR="00960C08" w:rsidRPr="008573C5" w:rsidRDefault="00960C08" w:rsidP="00CA6CB9">
      <w:pPr>
        <w:autoSpaceDE w:val="0"/>
        <w:autoSpaceDN w:val="0"/>
        <w:adjustRightInd w:val="0"/>
        <w:spacing w:line="360" w:lineRule="auto"/>
        <w:jc w:val="both"/>
        <w:rPr>
          <w:b/>
          <w:sz w:val="28"/>
          <w:szCs w:val="28"/>
        </w:rPr>
      </w:pPr>
    </w:p>
    <w:p w:rsidR="00CA6CB9" w:rsidRPr="008573C5" w:rsidRDefault="00C57632" w:rsidP="00CA6CB9">
      <w:pPr>
        <w:autoSpaceDE w:val="0"/>
        <w:autoSpaceDN w:val="0"/>
        <w:adjustRightInd w:val="0"/>
        <w:spacing w:line="360" w:lineRule="auto"/>
        <w:jc w:val="both"/>
        <w:rPr>
          <w:b/>
          <w:sz w:val="28"/>
          <w:szCs w:val="28"/>
        </w:rPr>
      </w:pPr>
      <w:r w:rsidRPr="008573C5">
        <w:rPr>
          <w:b/>
          <w:sz w:val="28"/>
          <w:szCs w:val="28"/>
        </w:rPr>
        <w:t xml:space="preserve">The Positive Accounting Theory </w:t>
      </w:r>
    </w:p>
    <w:p w:rsidR="00960C08" w:rsidRPr="008573C5" w:rsidRDefault="00C57632" w:rsidP="00CA6CB9">
      <w:pPr>
        <w:autoSpaceDE w:val="0"/>
        <w:autoSpaceDN w:val="0"/>
        <w:adjustRightInd w:val="0"/>
        <w:spacing w:line="360" w:lineRule="auto"/>
        <w:jc w:val="both"/>
      </w:pPr>
      <w:r w:rsidRPr="008573C5">
        <w:t xml:space="preserve">Positive Accounting </w:t>
      </w:r>
      <w:r w:rsidR="00896F76" w:rsidRPr="008573C5">
        <w:t>T</w:t>
      </w:r>
      <w:r w:rsidRPr="008573C5">
        <w:t>heory</w:t>
      </w:r>
      <w:r w:rsidR="008A06B7" w:rsidRPr="008573C5">
        <w:t xml:space="preserve"> (PAT) came into being in the mid 1960s.</w:t>
      </w:r>
      <w:r w:rsidR="00EB6394" w:rsidRPr="008573C5">
        <w:t xml:space="preserve"> It stem</w:t>
      </w:r>
      <w:r w:rsidR="00176437" w:rsidRPr="008573C5">
        <w:t>med</w:t>
      </w:r>
      <w:r w:rsidR="00EB6394" w:rsidRPr="008573C5">
        <w:t xml:space="preserve"> from the works of</w:t>
      </w:r>
      <w:r w:rsidR="00E05534" w:rsidRPr="008573C5">
        <w:t xml:space="preserve"> </w:t>
      </w:r>
      <w:r w:rsidR="00484AE5" w:rsidRPr="008573C5">
        <w:t>the</w:t>
      </w:r>
      <w:r w:rsidR="008A06B7" w:rsidRPr="008573C5">
        <w:t xml:space="preserve"> popular theorist Fama</w:t>
      </w:r>
      <w:r w:rsidR="00960C08" w:rsidRPr="008573C5">
        <w:t xml:space="preserve"> in the 1960s</w:t>
      </w:r>
      <w:r w:rsidR="008A06B7" w:rsidRPr="008573C5">
        <w:t>, pa</w:t>
      </w:r>
      <w:r w:rsidR="00176437" w:rsidRPr="008573C5">
        <w:t>rticularly the work that related</w:t>
      </w:r>
      <w:r w:rsidR="008A06B7" w:rsidRPr="008573C5">
        <w:t xml:space="preserve"> to the Efficient Markets Hypothesis (</w:t>
      </w:r>
      <w:r w:rsidR="00D9457F" w:rsidRPr="008573C5">
        <w:t xml:space="preserve">Deagan (2004:207). </w:t>
      </w:r>
      <w:r w:rsidR="00960C08" w:rsidRPr="008573C5">
        <w:t xml:space="preserve">‘Positive’ Accounting theory </w:t>
      </w:r>
      <w:r w:rsidR="00BF77A4" w:rsidRPr="008573C5">
        <w:t xml:space="preserve">was popularized </w:t>
      </w:r>
      <w:r w:rsidR="00960C08" w:rsidRPr="008573C5">
        <w:t>with the works of Gordan</w:t>
      </w:r>
      <w:r w:rsidR="00E05534" w:rsidRPr="008573C5">
        <w:t xml:space="preserve"> </w:t>
      </w:r>
      <w:r w:rsidR="00960C08" w:rsidRPr="008573C5">
        <w:t>(1964:251). He</w:t>
      </w:r>
      <w:r w:rsidR="00176437" w:rsidRPr="008573C5">
        <w:t xml:space="preserve"> argued that senior management wa</w:t>
      </w:r>
      <w:r w:rsidR="00960C08" w:rsidRPr="008573C5">
        <w:t>s likely to manipulate the information in the financial statements in its own favour by selecting accounting procedures that maximize their own utility.</w:t>
      </w:r>
      <w:r w:rsidR="00BF77A4" w:rsidRPr="008573C5">
        <w:t xml:space="preserve"> </w:t>
      </w:r>
      <w:r w:rsidR="00960C08" w:rsidRPr="008573C5">
        <w:t xml:space="preserve">Afterwards several </w:t>
      </w:r>
      <w:r w:rsidR="00CA6CB9" w:rsidRPr="008573C5">
        <w:t xml:space="preserve">attempts had been made to provide a positive theory of financial reporting </w:t>
      </w:r>
      <w:r w:rsidR="0098667A" w:rsidRPr="008573C5">
        <w:t>(</w:t>
      </w:r>
      <w:r w:rsidR="00CA6CB9" w:rsidRPr="008573C5">
        <w:t xml:space="preserve">Jenson and Meckling,1976:305-360; </w:t>
      </w:r>
      <w:r w:rsidR="00CA6CB9" w:rsidRPr="008573C5">
        <w:rPr>
          <w:rFonts w:ascii="TimesNewRomanPSMT" w:hAnsi="TimesNewRomanPSMT" w:cs="TimesNewRomanPSMT"/>
        </w:rPr>
        <w:t>Watts,1977:53-75;</w:t>
      </w:r>
      <w:r w:rsidR="00CA6CB9" w:rsidRPr="008573C5">
        <w:t xml:space="preserve"> </w:t>
      </w:r>
      <w:r w:rsidR="00CA6CB9" w:rsidRPr="008573C5">
        <w:rPr>
          <w:rFonts w:ascii="TimesNewRomanPSMT" w:hAnsi="TimesNewRomanPSMT" w:cs="TimesNewRomanPSMT"/>
        </w:rPr>
        <w:t>Watts and Zimmerman,1978:112-134</w:t>
      </w:r>
      <w:r w:rsidR="00CA6CB9" w:rsidRPr="008573C5">
        <w:t>). They tr</w:t>
      </w:r>
      <w:r w:rsidR="00176437" w:rsidRPr="008573C5">
        <w:t>ied</w:t>
      </w:r>
      <w:r w:rsidR="00CA6CB9" w:rsidRPr="008573C5">
        <w:t xml:space="preserve"> to explain why accountants do what they do and explain</w:t>
      </w:r>
      <w:r w:rsidR="00176437" w:rsidRPr="008573C5">
        <w:t>ed</w:t>
      </w:r>
      <w:r w:rsidR="00CA6CB9" w:rsidRPr="008573C5">
        <w:t xml:space="preserve"> its effect on people and resource allocation.  </w:t>
      </w:r>
    </w:p>
    <w:p w:rsidR="00960C08" w:rsidRPr="008573C5" w:rsidRDefault="00960C08" w:rsidP="00CA6CB9">
      <w:pPr>
        <w:autoSpaceDE w:val="0"/>
        <w:autoSpaceDN w:val="0"/>
        <w:adjustRightInd w:val="0"/>
        <w:spacing w:line="360" w:lineRule="auto"/>
        <w:jc w:val="both"/>
      </w:pPr>
    </w:p>
    <w:p w:rsidR="00BF77A4" w:rsidRPr="008573C5" w:rsidRDefault="00CA6CB9" w:rsidP="00CA6CB9">
      <w:pPr>
        <w:autoSpaceDE w:val="0"/>
        <w:autoSpaceDN w:val="0"/>
        <w:adjustRightInd w:val="0"/>
        <w:spacing w:line="360" w:lineRule="auto"/>
        <w:jc w:val="both"/>
      </w:pPr>
      <w:r w:rsidRPr="008573C5">
        <w:t xml:space="preserve">‘Positive’ Agency theory </w:t>
      </w:r>
      <w:r w:rsidR="00960C08" w:rsidRPr="008573C5">
        <w:t>was</w:t>
      </w:r>
      <w:r w:rsidRPr="008573C5">
        <w:t xml:space="preserve"> developed and utilized by Jensen and Meckling (1976:306) to analyze the relationship between the owners of the organization and the managers within the nexus of contract. Prior to this period, Italian Professor Aldo Amaduzzi in 1949 published a book entitled, </w:t>
      </w:r>
      <w:r w:rsidRPr="008573C5">
        <w:rPr>
          <w:i/>
          <w:iCs/>
        </w:rPr>
        <w:t>Conflitto ed equilibrio di interessi nel bilancio dell’impresa</w:t>
      </w:r>
      <w:r w:rsidRPr="008573C5">
        <w:t xml:space="preserve">’ ( translated in English it means, </w:t>
      </w:r>
      <w:r w:rsidRPr="008573C5">
        <w:rPr>
          <w:iCs/>
        </w:rPr>
        <w:t>Conflict and Equilibrium of Interests in Corporate Financial Statements</w:t>
      </w:r>
      <w:r w:rsidRPr="008573C5">
        <w:t>), in which he analyzed financial statements (and their content) as the equilibrium outcome of a conflict of interests between different cor</w:t>
      </w:r>
      <w:r w:rsidR="002E7DF4" w:rsidRPr="008573C5">
        <w:t xml:space="preserve">porate stakeholders.  Due to </w:t>
      </w:r>
      <w:r w:rsidRPr="008573C5">
        <w:t>language barrier</w:t>
      </w:r>
      <w:r w:rsidR="002E7DF4" w:rsidRPr="008573C5">
        <w:t>,</w:t>
      </w:r>
      <w:r w:rsidRPr="008573C5">
        <w:t xml:space="preserve"> his work was not considered as mainstream (Melis, 2007: 55). </w:t>
      </w:r>
    </w:p>
    <w:p w:rsidR="00BF77A4" w:rsidRPr="008573C5" w:rsidRDefault="00BF77A4" w:rsidP="00CA6CB9">
      <w:pPr>
        <w:autoSpaceDE w:val="0"/>
        <w:autoSpaceDN w:val="0"/>
        <w:adjustRightInd w:val="0"/>
        <w:spacing w:line="360" w:lineRule="auto"/>
        <w:jc w:val="both"/>
      </w:pPr>
    </w:p>
    <w:p w:rsidR="00CA6CB9" w:rsidRPr="008573C5" w:rsidRDefault="00CA6CB9" w:rsidP="00CA6CB9">
      <w:pPr>
        <w:autoSpaceDE w:val="0"/>
        <w:autoSpaceDN w:val="0"/>
        <w:adjustRightInd w:val="0"/>
        <w:spacing w:line="360" w:lineRule="auto"/>
        <w:jc w:val="both"/>
      </w:pPr>
      <w:r w:rsidRPr="008573C5">
        <w:t>‘Positive’ Agency theory is concerned with resolving the problems that can occur in agency relationships (Jensen and Meckling,</w:t>
      </w:r>
      <w:r w:rsidR="00B778C9" w:rsidRPr="008573C5">
        <w:t xml:space="preserve"> </w:t>
      </w:r>
      <w:r w:rsidRPr="008573C5">
        <w:t xml:space="preserve">1976:306).  They define agency relationship as a contract under which the owners of the organization (principal(s)) engage the manager (agent) to perform some service on their behalf. Under this arrangement, the owners delegate some decision making authority to the manager. It is presumed that both parties are utility maximizers, with varying philosophies and this could result </w:t>
      </w:r>
      <w:r w:rsidR="002E7DF4" w:rsidRPr="008573C5">
        <w:t>in</w:t>
      </w:r>
      <w:r w:rsidRPr="008573C5">
        <w:t xml:space="preserve"> divergent and misaligned interest between them. Owners’ would want to maximize net present value of firm while the managers would want to maximize utility, of which income is part. Most cases, the agent will not always act in the best interests of the principal. The </w:t>
      </w:r>
      <w:r w:rsidR="00040C74" w:rsidRPr="008573C5">
        <w:t>agents</w:t>
      </w:r>
      <w:r w:rsidRPr="008573C5">
        <w:t xml:space="preserve"> </w:t>
      </w:r>
      <w:r w:rsidR="00484AE5" w:rsidRPr="008573C5">
        <w:t>c</w:t>
      </w:r>
      <w:r w:rsidRPr="008573C5">
        <w:t>ould also hide information for selfish purpose by non-disclosure of important facts about the organization (Barako et al</w:t>
      </w:r>
      <w:r w:rsidR="00C051F1" w:rsidRPr="008573C5">
        <w:t>.</w:t>
      </w:r>
      <w:r w:rsidRPr="008573C5">
        <w:t>, 2006: 5). Owners face moral dilemmas because most times they cannot ascertain or evaluate the decision made by their agents (Barako, 2007:114). This conflict of interest results to “agency problem” a.k.a. “principal-agent problem” whose resolution incurs agency costs (</w:t>
      </w:r>
      <w:r w:rsidR="00093809" w:rsidRPr="008573C5">
        <w:t>Al-</w:t>
      </w:r>
      <w:r w:rsidRPr="008573C5">
        <w:t xml:space="preserve">Shammari, 2005:36). </w:t>
      </w:r>
    </w:p>
    <w:p w:rsidR="00CA6CB9" w:rsidRPr="008573C5" w:rsidRDefault="00CA6CB9" w:rsidP="00CA6CB9">
      <w:pPr>
        <w:autoSpaceDE w:val="0"/>
        <w:autoSpaceDN w:val="0"/>
        <w:adjustRightInd w:val="0"/>
        <w:spacing w:line="360" w:lineRule="auto"/>
        <w:jc w:val="both"/>
      </w:pPr>
    </w:p>
    <w:p w:rsidR="00CA6CB9" w:rsidRPr="008573C5" w:rsidRDefault="00CA6CB9" w:rsidP="00CA6CB9">
      <w:pPr>
        <w:autoSpaceDE w:val="0"/>
        <w:autoSpaceDN w:val="0"/>
        <w:adjustRightInd w:val="0"/>
        <w:spacing w:line="360" w:lineRule="auto"/>
        <w:jc w:val="both"/>
        <w:rPr>
          <w:sz w:val="23"/>
          <w:szCs w:val="23"/>
        </w:rPr>
      </w:pPr>
      <w:r w:rsidRPr="008573C5">
        <w:t xml:space="preserve">Jenson and Meckling (1976: 307) and Jenson (1983:334) acknowledge that agency problem is common to all organizations and it exists in all corporative efforts at each level of management in firms. </w:t>
      </w:r>
      <w:r w:rsidRPr="008573C5">
        <w:rPr>
          <w:sz w:val="23"/>
          <w:szCs w:val="23"/>
        </w:rPr>
        <w:t>This includes public organizations, private organizations, non-for-profit organizations such as schools, hospitals, and foundations, and even governmental enterprises and bodies such as the federal, state and local government.</w:t>
      </w:r>
      <w:r w:rsidRPr="008573C5">
        <w:t xml:space="preserve"> Jenson and Meck</w:t>
      </w:r>
      <w:r w:rsidR="00EE3A64" w:rsidRPr="008573C5">
        <w:t>l</w:t>
      </w:r>
      <w:r w:rsidRPr="008573C5">
        <w:t xml:space="preserve">ing (1976:308) focused </w:t>
      </w:r>
      <w:r w:rsidRPr="008573C5">
        <w:rPr>
          <w:sz w:val="23"/>
          <w:szCs w:val="23"/>
        </w:rPr>
        <w:t>exclusively on the positive aspects of the agency relationship as it applies to corporations. That is how to structure the contractual relation between the owner and manager to induce the manager to make choices which will maximize the owner’s welfare, given that uncertainty and imperfect monitoring exist.</w:t>
      </w:r>
    </w:p>
    <w:p w:rsidR="00CA6CB9" w:rsidRPr="008573C5" w:rsidRDefault="00CA6CB9" w:rsidP="00F2638F">
      <w:pPr>
        <w:pStyle w:val="NormalWeb"/>
        <w:spacing w:line="360" w:lineRule="auto"/>
        <w:jc w:val="both"/>
      </w:pPr>
      <w:r w:rsidRPr="008573C5">
        <w:t>Agency cost is a summation of the monitoring costs, bonding costs and residual loss. The owners’ limit the abnormal activities of the managers, by incurring monitoring costs. They establish appropriate incentives such as management compensation policies to ensure that the managers’ behavior aligns with the owners’ interest. The managers’ compensate the owners’ in return, by incurring “bonding costs” to assure the owners’ that their actions will not be injurious ( e.g provision of adequate information in financial reports). Residual loss is the loss incurred by the owners’ because the manager's decisions do not serve its interests. Agency costs can be reduced by disclosing more information in the fin</w:t>
      </w:r>
      <w:r w:rsidR="002E7DF4" w:rsidRPr="008573C5">
        <w:t xml:space="preserve">ancial statements which enable </w:t>
      </w:r>
      <w:r w:rsidRPr="008573C5">
        <w:t>the owners to have access to appropriate, relevant and reliable information.</w:t>
      </w:r>
    </w:p>
    <w:p w:rsidR="00CA6CB9" w:rsidRPr="008573C5" w:rsidRDefault="00CA6CB9" w:rsidP="00CA6CB9">
      <w:pPr>
        <w:pStyle w:val="NormalWeb"/>
        <w:spacing w:line="360" w:lineRule="auto"/>
        <w:jc w:val="both"/>
      </w:pPr>
      <w:r w:rsidRPr="008573C5">
        <w:t>Jenson</w:t>
      </w:r>
      <w:r w:rsidR="00176437" w:rsidRPr="008573C5">
        <w:t xml:space="preserve"> and Meckling(1976:332) assert</w:t>
      </w:r>
      <w:r w:rsidRPr="008573C5">
        <w:t xml:space="preserve"> that the magnitude of the agency costs vary from firm to firm. Agency costs depend on the tastes of managers, the ease with which they can exercise their own preferences and the costs of monitoring and bonding activities. They emphasize that agency costs may increase  or decrease based on the extent of separation and control within a corporation. For instance widely-held share ownership could result to greater conflicts between the owners’ and managers’. In order to remedy the situation</w:t>
      </w:r>
      <w:r w:rsidR="002E7DF4" w:rsidRPr="008573C5">
        <w:t>, managers</w:t>
      </w:r>
      <w:r w:rsidRPr="008573C5">
        <w:t xml:space="preserve"> disclose more information than their counterparts managing closely-held organizations. These information disclosures are signals </w:t>
      </w:r>
      <w:r w:rsidR="002E7DF4" w:rsidRPr="008573C5">
        <w:t>to the owners that the managers</w:t>
      </w:r>
      <w:r w:rsidRPr="008573C5">
        <w:t xml:space="preserve"> are acting in their interest. This allows the owners to monitor their interests more effectively.</w:t>
      </w:r>
    </w:p>
    <w:p w:rsidR="00CA6CB9" w:rsidRPr="008573C5" w:rsidRDefault="00CA6CB9" w:rsidP="00CA6CB9">
      <w:pPr>
        <w:pStyle w:val="NormalWeb"/>
        <w:spacing w:line="360" w:lineRule="auto"/>
        <w:jc w:val="both"/>
      </w:pPr>
      <w:r w:rsidRPr="008573C5">
        <w:t>Agency costs are also involved in debt finance. Jenson and Me</w:t>
      </w:r>
      <w:r w:rsidR="00176437" w:rsidRPr="008573C5">
        <w:t>ckling(1976:335) also consider</w:t>
      </w:r>
      <w:r w:rsidRPr="008573C5">
        <w:t xml:space="preserve"> the role of monitoring and bonding costs to debtholders. The debtholders can limit the managers</w:t>
      </w:r>
      <w:r w:rsidR="002E7DF4" w:rsidRPr="008573C5">
        <w:t>’</w:t>
      </w:r>
      <w:r w:rsidRPr="008573C5">
        <w:t xml:space="preserve"> behavior by the i</w:t>
      </w:r>
      <w:r w:rsidRPr="008573C5">
        <w:rPr>
          <w:sz w:val="23"/>
          <w:szCs w:val="23"/>
        </w:rPr>
        <w:t>nclusion of various covenants in the debt agreement which results in reductions in the value of the bonds. These provisions are detailed and cover most operating aspects in order to provide cover to the debtholders from the incentive effects. Such provisions are in respect of dividends, maintenance of working capital and future debt issues. The costs involved in writing such provisions, the costs of enforcing them and the reduced profitability of the firm are termed monitoring costs. The debtholders will have incentives to engage in the monitoring actions to the point where the “nominal” marginal cost is equal to the marginal benefits. The manager also has incentives to take into account the costs imposed by these debt agreement because it directly affect the future cash flows of the firm. To reduce these costs the managers incur bonding costs by disclosing detailed  financial statements such as those contained in the usual published accounting report. This will facilitate the debtholders’ assessment of the company and also to assure them that their interests are well protected.</w:t>
      </w:r>
    </w:p>
    <w:p w:rsidR="00BF77A4" w:rsidRPr="008573C5" w:rsidRDefault="00CA6CB9" w:rsidP="00BF77A4">
      <w:pPr>
        <w:autoSpaceDE w:val="0"/>
        <w:autoSpaceDN w:val="0"/>
        <w:adjustRightInd w:val="0"/>
        <w:spacing w:line="360" w:lineRule="auto"/>
        <w:jc w:val="both"/>
        <w:rPr>
          <w:rFonts w:ascii="TimesNewRomanPSMT" w:hAnsi="TimesNewRomanPSMT" w:cs="TimesNewRomanPSMT"/>
        </w:rPr>
      </w:pPr>
      <w:r w:rsidRPr="008573C5">
        <w:rPr>
          <w:rFonts w:ascii="TimesNewRomanPSMT" w:hAnsi="TimesNewRomanPSMT" w:cs="TimesNewRomanPSMT"/>
        </w:rPr>
        <w:t>Watts (1977:5</w:t>
      </w:r>
      <w:r w:rsidR="00093809" w:rsidRPr="008573C5">
        <w:rPr>
          <w:rFonts w:ascii="TimesNewRomanPSMT" w:hAnsi="TimesNewRomanPSMT" w:cs="TimesNewRomanPSMT"/>
        </w:rPr>
        <w:t>3</w:t>
      </w:r>
      <w:r w:rsidRPr="008573C5">
        <w:rPr>
          <w:rFonts w:ascii="TimesNewRomanPSMT" w:hAnsi="TimesNewRomanPSMT" w:cs="TimesNewRomanPSMT"/>
        </w:rPr>
        <w:t>) in a review of the development of corporate reporting in U.K., investigated the implications of Jensen and Meckling's analysis for the content of financial statements. He developed a positive theory of accounting towards the determination of accounting standards. Watts and Zimmerman (1978: 113) expa</w:t>
      </w:r>
      <w:r w:rsidR="002E7DF4" w:rsidRPr="008573C5">
        <w:rPr>
          <w:rFonts w:ascii="TimesNewRomanPSMT" w:hAnsi="TimesNewRomanPSMT" w:cs="TimesNewRomanPSMT"/>
        </w:rPr>
        <w:t xml:space="preserve">tiate more </w:t>
      </w:r>
      <w:r w:rsidRPr="008573C5">
        <w:rPr>
          <w:rFonts w:ascii="TimesNewRomanPSMT" w:hAnsi="TimesNewRomanPSMT" w:cs="TimesNewRomanPSMT"/>
        </w:rPr>
        <w:t xml:space="preserve">on the works of Watts by focusing on costs and benefits generated by accounting standards which accrue to management. </w:t>
      </w:r>
      <w:r w:rsidR="00BF77A4" w:rsidRPr="008573C5">
        <w:rPr>
          <w:rFonts w:ascii="TimesNewRomanPSMT" w:hAnsi="TimesNewRomanPSMT" w:cs="TimesNewRomanPSMT"/>
        </w:rPr>
        <w:t xml:space="preserve">Among the factors Watts and Zimmerman (1978: 113) advocated to influence accounting standards are political costs. Political sector has the power to </w:t>
      </w:r>
      <w:r w:rsidR="0098667A" w:rsidRPr="008573C5">
        <w:rPr>
          <w:rFonts w:ascii="TimesNewRomanPSMT" w:hAnsi="TimesNewRomanPSMT" w:cs="TimesNewRomanPSMT"/>
        </w:rPr>
        <w:t>affect</w:t>
      </w:r>
      <w:r w:rsidR="00BF77A4" w:rsidRPr="008573C5">
        <w:rPr>
          <w:rFonts w:ascii="TimesNewRomanPSMT" w:hAnsi="TimesNewRomanPSMT" w:cs="TimesNewRomanPSMT"/>
        </w:rPr>
        <w:t xml:space="preserve"> wealth transfer and redistribute wealth via the political process. They could lobby for nationalization, expropriation, break-up or regulation of an industry. Managers have the incentive to counter these potential government intrusions by employing a number of devices such as government lobbying, social responsibility campaigns and selection of accounting procedures to minimize earnings.  They asserted that the magnitude of the political costs is highly dependent on the firm size and profitability. </w:t>
      </w:r>
    </w:p>
    <w:p w:rsidR="00BF77A4" w:rsidRPr="008573C5" w:rsidRDefault="00BF77A4" w:rsidP="00BF77A4">
      <w:pPr>
        <w:autoSpaceDE w:val="0"/>
        <w:autoSpaceDN w:val="0"/>
        <w:adjustRightInd w:val="0"/>
        <w:spacing w:line="360" w:lineRule="auto"/>
        <w:jc w:val="both"/>
        <w:rPr>
          <w:rFonts w:ascii="TimesNewRomanPSMT" w:hAnsi="TimesNewRomanPSMT" w:cs="TimesNewRomanPSMT"/>
        </w:rPr>
      </w:pPr>
    </w:p>
    <w:p w:rsidR="00BF77A4" w:rsidRPr="008573C5" w:rsidRDefault="00BF77A4" w:rsidP="00BF77A4">
      <w:pPr>
        <w:autoSpaceDE w:val="0"/>
        <w:autoSpaceDN w:val="0"/>
        <w:adjustRightInd w:val="0"/>
        <w:spacing w:line="360" w:lineRule="auto"/>
        <w:jc w:val="both"/>
        <w:rPr>
          <w:rFonts w:ascii="TimesNewRomanPSMT" w:hAnsi="TimesNewRomanPSMT" w:cs="TimesNewRomanPSMT"/>
        </w:rPr>
      </w:pPr>
      <w:r w:rsidRPr="008573C5">
        <w:rPr>
          <w:rFonts w:ascii="TimesNewRomanPSMT" w:hAnsi="TimesNewRomanPSMT" w:cs="TimesNewRomanPSMT"/>
        </w:rPr>
        <w:t>Corporations with large number of shareholders tend to be on the public eye and are subject to their multiple users for detailed discl</w:t>
      </w:r>
      <w:r w:rsidR="0098667A" w:rsidRPr="008573C5">
        <w:rPr>
          <w:rFonts w:ascii="TimesNewRomanPSMT" w:hAnsi="TimesNewRomanPSMT" w:cs="TimesNewRomanPSMT"/>
        </w:rPr>
        <w:t>osure (</w:t>
      </w:r>
      <w:r w:rsidRPr="008573C5">
        <w:rPr>
          <w:rFonts w:ascii="TimesNewRomanPSMT" w:hAnsi="TimesNewRomanPSMT" w:cs="TimesNewRomanPSMT"/>
        </w:rPr>
        <w:t>Singhvi and Desai, 1971: 133). These large companies are watched by the various government agencies and they tend to disclose more information to avoid pressure from them. Large firms are visible and generally exposed to political attack such as pressure for social responsibility, price control and corporate taxes (Wallace et al, 1994:44). According to Jenson and Meckling</w:t>
      </w:r>
      <w:r w:rsidR="00E05534" w:rsidRPr="008573C5">
        <w:rPr>
          <w:rFonts w:ascii="TimesNewRomanPSMT" w:hAnsi="TimesNewRomanPSMT" w:cs="TimesNewRomanPSMT"/>
        </w:rPr>
        <w:t xml:space="preserve"> </w:t>
      </w:r>
      <w:r w:rsidRPr="008573C5">
        <w:rPr>
          <w:rFonts w:ascii="TimesNewRomanPSMT" w:hAnsi="TimesNewRomanPSMT" w:cs="TimesNewRomanPSMT"/>
        </w:rPr>
        <w:t>(1976:305-360), some voters may lobby elected officers for nationalization, expropriation or the break up of the entire industry. Cooke (1989: 119) is of the view that political lobbying may be undertaken to increase regulation in a particular industry. Devices such as social responsibility campaign in media can be employed by firms to minimize government intr</w:t>
      </w:r>
      <w:r w:rsidR="00093809" w:rsidRPr="008573C5">
        <w:rPr>
          <w:rFonts w:ascii="TimesNewRomanPSMT" w:hAnsi="TimesNewRomanPSMT" w:cs="TimesNewRomanPSMT"/>
        </w:rPr>
        <w:t>usion (Watts and Zimmerman, 1978</w:t>
      </w:r>
      <w:r w:rsidRPr="008573C5">
        <w:rPr>
          <w:rFonts w:ascii="TimesNewRomanPSMT" w:hAnsi="TimesNewRomanPSMT" w:cs="TimesNewRomanPSMT"/>
        </w:rPr>
        <w:t>:115). Reported profits might be constrained by political costs of regulatory changes (Wilson and Shailer, 2007:258) and firms may want to disclose less information to reduce the likelihood of political action.</w:t>
      </w:r>
    </w:p>
    <w:p w:rsidR="00960C08" w:rsidRPr="008573C5" w:rsidRDefault="00960C08" w:rsidP="00960C08">
      <w:pPr>
        <w:autoSpaceDE w:val="0"/>
        <w:autoSpaceDN w:val="0"/>
        <w:adjustRightInd w:val="0"/>
        <w:spacing w:line="360" w:lineRule="auto"/>
        <w:jc w:val="both"/>
        <w:rPr>
          <w:rFonts w:ascii="TimesNewRomanPSMT" w:hAnsi="TimesNewRomanPSMT" w:cs="TimesNewRomanPSMT"/>
        </w:rPr>
      </w:pPr>
    </w:p>
    <w:p w:rsidR="00960C08" w:rsidRPr="008573C5" w:rsidRDefault="00960C08" w:rsidP="00960C08">
      <w:pPr>
        <w:autoSpaceDE w:val="0"/>
        <w:autoSpaceDN w:val="0"/>
        <w:adjustRightInd w:val="0"/>
        <w:spacing w:line="360" w:lineRule="auto"/>
        <w:jc w:val="both"/>
      </w:pPr>
      <w:r w:rsidRPr="008573C5">
        <w:t>Watts and Zimmerman (1990:148) defined Positive Accounting Theo</w:t>
      </w:r>
      <w:r w:rsidR="000D4588" w:rsidRPr="008573C5">
        <w:t>ry a</w:t>
      </w:r>
      <w:r w:rsidRPr="008573C5">
        <w:t>s a positive theory of accounting that seeks to explain and predict accounting practice. This is quite distinguished from Normative theories of accounting that are meant for prescriptive purposes. According to Watts and Zimmerman (1990:148):</w:t>
      </w:r>
    </w:p>
    <w:p w:rsidR="00960C08" w:rsidRPr="008573C5" w:rsidRDefault="00960C08" w:rsidP="00960C08">
      <w:pPr>
        <w:autoSpaceDE w:val="0"/>
        <w:autoSpaceDN w:val="0"/>
        <w:adjustRightInd w:val="0"/>
        <w:spacing w:line="360" w:lineRule="auto"/>
        <w:jc w:val="both"/>
      </w:pPr>
    </w:p>
    <w:p w:rsidR="00960C08" w:rsidRPr="008573C5" w:rsidRDefault="00960C08" w:rsidP="00960C08">
      <w:pPr>
        <w:autoSpaceDE w:val="0"/>
        <w:autoSpaceDN w:val="0"/>
        <w:adjustRightInd w:val="0"/>
        <w:ind w:left="720" w:right="749"/>
        <w:jc w:val="both"/>
        <w:rPr>
          <w:i/>
        </w:rPr>
      </w:pPr>
      <w:r w:rsidRPr="008573C5">
        <w:rPr>
          <w:i/>
        </w:rPr>
        <w:t xml:space="preserve">We adopted the label "positive" from economics where it was used to distinguish research aimed at explanation and prediction from research whose objective was prescription. Given the connotation already attached to the term in economics we thought it would be useful in distinguishing accounting research aimed at understanding accounting from research directed at generating prescriptions. </w:t>
      </w:r>
    </w:p>
    <w:p w:rsidR="00960C08" w:rsidRPr="008573C5" w:rsidRDefault="00960C08" w:rsidP="00960C08">
      <w:pPr>
        <w:autoSpaceDE w:val="0"/>
        <w:autoSpaceDN w:val="0"/>
        <w:adjustRightInd w:val="0"/>
        <w:jc w:val="both"/>
        <w:rPr>
          <w:bCs/>
        </w:rPr>
      </w:pPr>
    </w:p>
    <w:p w:rsidR="00960C08" w:rsidRPr="008573C5" w:rsidRDefault="00960C08" w:rsidP="00960C08">
      <w:pPr>
        <w:autoSpaceDE w:val="0"/>
        <w:autoSpaceDN w:val="0"/>
        <w:adjustRightInd w:val="0"/>
        <w:spacing w:line="360" w:lineRule="auto"/>
        <w:jc w:val="both"/>
        <w:rPr>
          <w:bCs/>
        </w:rPr>
      </w:pPr>
      <w:r w:rsidRPr="008573C5">
        <w:rPr>
          <w:bCs/>
        </w:rPr>
        <w:t>In their works they identified three key hypotheses that are often used in positive accounting literature. These are the bonus plan hypothesis, the debt hypothesis and the political cost hypothesis. They explained the hypotheses as follows:</w:t>
      </w:r>
    </w:p>
    <w:p w:rsidR="00960C08" w:rsidRPr="008573C5" w:rsidRDefault="00960C08" w:rsidP="00960C08">
      <w:pPr>
        <w:autoSpaceDE w:val="0"/>
        <w:autoSpaceDN w:val="0"/>
        <w:adjustRightInd w:val="0"/>
        <w:spacing w:line="360" w:lineRule="auto"/>
        <w:jc w:val="both"/>
      </w:pPr>
    </w:p>
    <w:p w:rsidR="00960C08" w:rsidRPr="008573C5" w:rsidRDefault="00960C08" w:rsidP="00960C08">
      <w:pPr>
        <w:autoSpaceDE w:val="0"/>
        <w:autoSpaceDN w:val="0"/>
        <w:adjustRightInd w:val="0"/>
        <w:ind w:left="720" w:right="389"/>
        <w:jc w:val="both"/>
        <w:rPr>
          <w:i/>
        </w:rPr>
      </w:pPr>
      <w:r w:rsidRPr="008573C5">
        <w:rPr>
          <w:i/>
        </w:rPr>
        <w:t>The bonus plan hypothesis is that managers of firms with bonus plans are more likely to use accounting methods that increase current period reported income. Such selection will presumably increase the present value of bonuses if the compensation committee of the board of directors does not adjust for the method chosen (Watts and Zimmerman,</w:t>
      </w:r>
      <w:r w:rsidR="00040C74" w:rsidRPr="008573C5">
        <w:rPr>
          <w:i/>
        </w:rPr>
        <w:t xml:space="preserve"> </w:t>
      </w:r>
      <w:r w:rsidRPr="008573C5">
        <w:rPr>
          <w:i/>
        </w:rPr>
        <w:t>1990:148).</w:t>
      </w:r>
    </w:p>
    <w:p w:rsidR="00960C08" w:rsidRPr="008573C5" w:rsidRDefault="00960C08" w:rsidP="00960C08">
      <w:pPr>
        <w:autoSpaceDE w:val="0"/>
        <w:autoSpaceDN w:val="0"/>
        <w:adjustRightInd w:val="0"/>
        <w:ind w:left="720" w:right="389"/>
        <w:jc w:val="both"/>
        <w:rPr>
          <w:bCs/>
          <w:i/>
        </w:rPr>
      </w:pPr>
    </w:p>
    <w:p w:rsidR="00960C08" w:rsidRPr="008573C5" w:rsidRDefault="00960C08" w:rsidP="00960C08">
      <w:pPr>
        <w:autoSpaceDE w:val="0"/>
        <w:autoSpaceDN w:val="0"/>
        <w:adjustRightInd w:val="0"/>
        <w:ind w:left="720" w:right="389"/>
        <w:jc w:val="both"/>
        <w:rPr>
          <w:bCs/>
          <w:i/>
        </w:rPr>
      </w:pPr>
      <w:r w:rsidRPr="008573C5">
        <w:rPr>
          <w:bCs/>
          <w:i/>
        </w:rPr>
        <w:t>The debt/equity hypothesis predicts the higher the firm's debt/equity ratio, the more likely managers use accounting methods that increase income. The higher the debt/equity ratio, the closer (i.e., "tighter") the firm is to the constraints in the debt covenants (Kalay 1982). The tighter the covenant constraint, the greater the probability of a covenant violation and of incurring costs from technical default. Managers exercising discretion by choosing income increasing accounting methods relax debt constraints and reduce the costs of technical default</w:t>
      </w:r>
      <w:r w:rsidR="00484AE5" w:rsidRPr="008573C5">
        <w:rPr>
          <w:bCs/>
          <w:i/>
        </w:rPr>
        <w:t xml:space="preserve"> </w:t>
      </w:r>
      <w:r w:rsidRPr="008573C5">
        <w:rPr>
          <w:i/>
        </w:rPr>
        <w:t>(Watts and Zimmerman,1990:149).</w:t>
      </w:r>
    </w:p>
    <w:p w:rsidR="00960C08" w:rsidRPr="008573C5" w:rsidRDefault="00960C08" w:rsidP="00960C08">
      <w:pPr>
        <w:autoSpaceDE w:val="0"/>
        <w:autoSpaceDN w:val="0"/>
        <w:adjustRightInd w:val="0"/>
        <w:ind w:left="720" w:right="389"/>
        <w:jc w:val="both"/>
        <w:rPr>
          <w:i/>
        </w:rPr>
      </w:pPr>
    </w:p>
    <w:p w:rsidR="00960C08" w:rsidRPr="008573C5" w:rsidRDefault="00960C08" w:rsidP="00960C08">
      <w:pPr>
        <w:autoSpaceDE w:val="0"/>
        <w:autoSpaceDN w:val="0"/>
        <w:adjustRightInd w:val="0"/>
        <w:ind w:left="720" w:right="389"/>
        <w:jc w:val="both"/>
        <w:rPr>
          <w:bCs/>
          <w:i/>
        </w:rPr>
      </w:pPr>
      <w:r w:rsidRPr="008573C5">
        <w:rPr>
          <w:i/>
        </w:rPr>
        <w:t>The political cost hypothesis predicts that large firms rather than small firms are more likely to use accounting choices that reduce reported profits. Size is a proxy variable for political attention. Underlying this hypothesis is the assumption that it is costly for individuals to become informed about whether accounting profits really represent monopoly profits and to "contract" with others in the political process to enact laws and regulations that enhance their welfare. Thus, rational individuals are less than fully informed. The political process is no different from the market process in that respect. Given the cost of information and monitoring, managers have incentive to exercise discretion over accounting profits and the parties in the political process settle for a rational amount of ex post opportunism (Watts and Zimmerman,1990:149).</w:t>
      </w:r>
    </w:p>
    <w:p w:rsidR="00960C08" w:rsidRPr="008573C5" w:rsidRDefault="00960C08" w:rsidP="00960C08">
      <w:pPr>
        <w:autoSpaceDE w:val="0"/>
        <w:autoSpaceDN w:val="0"/>
        <w:adjustRightInd w:val="0"/>
        <w:spacing w:line="360" w:lineRule="auto"/>
        <w:jc w:val="both"/>
        <w:rPr>
          <w:rFonts w:ascii="TimesNewRomanPSMT" w:hAnsi="TimesNewRomanPSMT" w:cs="TimesNewRomanPSMT"/>
        </w:rPr>
      </w:pPr>
      <w:r w:rsidRPr="008573C5">
        <w:rPr>
          <w:bCs/>
        </w:rPr>
        <w:t xml:space="preserve"> </w:t>
      </w:r>
      <w:r w:rsidRPr="008573C5">
        <w:t xml:space="preserve"> </w:t>
      </w:r>
    </w:p>
    <w:p w:rsidR="00044581" w:rsidRPr="008573C5" w:rsidRDefault="00F91378" w:rsidP="00CA6CB9">
      <w:pPr>
        <w:autoSpaceDE w:val="0"/>
        <w:autoSpaceDN w:val="0"/>
        <w:adjustRightInd w:val="0"/>
        <w:spacing w:line="360" w:lineRule="auto"/>
        <w:jc w:val="both"/>
        <w:rPr>
          <w:rFonts w:ascii="TimesNewRomanPSMT" w:hAnsi="TimesNewRomanPSMT" w:cs="TimesNewRomanPSMT"/>
        </w:rPr>
      </w:pPr>
      <w:r w:rsidRPr="008573C5">
        <w:rPr>
          <w:rFonts w:ascii="TimesNewRomanPSMT" w:hAnsi="TimesNewRomanPSMT" w:cs="TimesNewRomanPSMT"/>
        </w:rPr>
        <w:t xml:space="preserve">Several researchers </w:t>
      </w:r>
      <w:r w:rsidR="00044581" w:rsidRPr="008573C5">
        <w:rPr>
          <w:rFonts w:ascii="TimesNewRomanPSMT" w:hAnsi="TimesNewRomanPSMT" w:cs="TimesNewRomanPSMT"/>
        </w:rPr>
        <w:t>had built their work using</w:t>
      </w:r>
      <w:r w:rsidRPr="008573C5">
        <w:rPr>
          <w:rFonts w:ascii="TimesNewRomanPSMT" w:hAnsi="TimesNewRomanPSMT" w:cs="TimesNewRomanPSMT"/>
        </w:rPr>
        <w:t xml:space="preserve"> positive accounting theory</w:t>
      </w:r>
      <w:r w:rsidR="00044581" w:rsidRPr="008573C5">
        <w:rPr>
          <w:rFonts w:ascii="TimesNewRomanPSMT" w:hAnsi="TimesNewRomanPSMT" w:cs="TimesNewRomanPSMT"/>
        </w:rPr>
        <w:t>. For example A</w:t>
      </w:r>
      <w:r w:rsidR="00044581" w:rsidRPr="008573C5">
        <w:t>li</w:t>
      </w:r>
      <w:r w:rsidR="00093809" w:rsidRPr="008573C5">
        <w:t xml:space="preserve"> et al</w:t>
      </w:r>
      <w:r w:rsidR="00C051F1" w:rsidRPr="008573C5">
        <w:t>.</w:t>
      </w:r>
      <w:r w:rsidR="00093809" w:rsidRPr="008573C5">
        <w:t xml:space="preserve"> </w:t>
      </w:r>
      <w:r w:rsidR="00044581" w:rsidRPr="008573C5">
        <w:t>(2004:188)</w:t>
      </w:r>
      <w:r w:rsidRPr="008573C5">
        <w:rPr>
          <w:rFonts w:ascii="TimesNewRomanPSMT" w:hAnsi="TimesNewRomanPSMT" w:cs="TimesNewRomanPSMT"/>
        </w:rPr>
        <w:t xml:space="preserve"> </w:t>
      </w:r>
      <w:r w:rsidR="00C051F1" w:rsidRPr="008573C5">
        <w:rPr>
          <w:rFonts w:ascii="TimesNewRomanPSMT" w:hAnsi="TimesNewRomanPSMT" w:cs="TimesNewRomanPSMT"/>
        </w:rPr>
        <w:t>state</w:t>
      </w:r>
      <w:r w:rsidR="00044581" w:rsidRPr="008573C5">
        <w:rPr>
          <w:rFonts w:ascii="TimesNewRomanPSMT" w:hAnsi="TimesNewRomanPSMT" w:cs="TimesNewRomanPSMT"/>
        </w:rPr>
        <w:t xml:space="preserve"> that larger organizations have a greater tendency to disclose more financial information in their annual reports than smaller ones. This enhances their agency costs, reputation, public image and government intervention. This is consistent with the findings of Watts and Zimmerman (1986) and Chow and Wong-Boren </w:t>
      </w:r>
      <w:r w:rsidR="00E05534" w:rsidRPr="008573C5">
        <w:rPr>
          <w:rFonts w:ascii="TimesNewRomanPSMT" w:hAnsi="TimesNewRomanPSMT" w:cs="TimesNewRomanPSMT"/>
        </w:rPr>
        <w:t>(</w:t>
      </w:r>
      <w:r w:rsidR="00044581" w:rsidRPr="008573C5">
        <w:rPr>
          <w:rFonts w:ascii="TimesNewRomanPSMT" w:hAnsi="TimesNewRomanPSMT" w:cs="TimesNewRomanPSMT"/>
        </w:rPr>
        <w:t>1987</w:t>
      </w:r>
      <w:r w:rsidR="00E05534" w:rsidRPr="008573C5">
        <w:rPr>
          <w:rFonts w:ascii="TimesNewRomanPSMT" w:hAnsi="TimesNewRomanPSMT" w:cs="TimesNewRomanPSMT"/>
        </w:rPr>
        <w:t>)</w:t>
      </w:r>
      <w:r w:rsidR="00044581" w:rsidRPr="008573C5">
        <w:rPr>
          <w:rFonts w:ascii="TimesNewRomanPSMT" w:hAnsi="TimesNewRomanPSMT" w:cs="TimesNewRomanPSMT"/>
        </w:rPr>
        <w:t xml:space="preserve">. They also argued that organizations with higher debts ratios might disclose less information in order to disguise the level of the organization’s risk. Large audit firms are susceptible to agency costs. The have a greater incentive to disclose the adequacy of the accounting systems than smaller firms. </w:t>
      </w:r>
    </w:p>
    <w:p w:rsidR="00044581" w:rsidRPr="008573C5" w:rsidRDefault="00044581" w:rsidP="00CA6CB9">
      <w:pPr>
        <w:autoSpaceDE w:val="0"/>
        <w:autoSpaceDN w:val="0"/>
        <w:adjustRightInd w:val="0"/>
        <w:spacing w:line="360" w:lineRule="auto"/>
        <w:jc w:val="both"/>
        <w:rPr>
          <w:rFonts w:ascii="TimesNewRomanPSMT" w:hAnsi="TimesNewRomanPSMT" w:cs="TimesNewRomanPSMT"/>
        </w:rPr>
      </w:pPr>
    </w:p>
    <w:p w:rsidR="00CA6CB9" w:rsidRPr="008573C5" w:rsidRDefault="00044581" w:rsidP="00044581">
      <w:pPr>
        <w:autoSpaceDE w:val="0"/>
        <w:autoSpaceDN w:val="0"/>
        <w:adjustRightInd w:val="0"/>
        <w:spacing w:line="360" w:lineRule="auto"/>
        <w:jc w:val="both"/>
      </w:pPr>
      <w:r w:rsidRPr="008573C5">
        <w:t xml:space="preserve">Positive accounting </w:t>
      </w:r>
      <w:r w:rsidR="0098667A" w:rsidRPr="008573C5">
        <w:t>t</w:t>
      </w:r>
      <w:r w:rsidRPr="008573C5">
        <w:t xml:space="preserve">heory has a direct bearing on the research topic. In this research, accounting disclosure presents an excellent opportunity to apply positive agency theory. This is premised on the fact that managers (agents) have better access to company’s’ accounting information can make credible and reliable communication to the market to optimise the value of the firm. Through financial reporting they communicate to the users of financial reports information that is useful in making choices among alternative uses of scarce resources. On the contrary, these managers may because of their selfish interests, fail to make proper disclosure or nondisclosure of important information to the users. Such practices will not be in the interests of shareholders (principal). Consequently, this may result in a higher cost of capital and lower value of shareholders’ investments. </w:t>
      </w:r>
    </w:p>
    <w:p w:rsidR="00CA6CB9" w:rsidRPr="008573C5" w:rsidRDefault="00CA6CB9" w:rsidP="00044581">
      <w:pPr>
        <w:pStyle w:val="Heading5"/>
        <w:spacing w:line="360" w:lineRule="auto"/>
        <w:rPr>
          <w:rFonts w:ascii="Times New Roman" w:hAnsi="Times New Roman"/>
          <w:color w:val="auto"/>
        </w:rPr>
      </w:pPr>
    </w:p>
    <w:p w:rsidR="004C0E56" w:rsidRPr="008573C5" w:rsidRDefault="004C0E56" w:rsidP="004C0E56"/>
    <w:p w:rsidR="004C0E56" w:rsidRPr="008573C5" w:rsidRDefault="004C0E56" w:rsidP="004C0E56"/>
    <w:p w:rsidR="00257E78" w:rsidRPr="008573C5" w:rsidRDefault="00257E78" w:rsidP="00257E78">
      <w:pPr>
        <w:spacing w:line="360" w:lineRule="auto"/>
        <w:jc w:val="both"/>
        <w:rPr>
          <w:rFonts w:ascii="Times" w:hAnsi="Times" w:cs="Times"/>
          <w:b/>
          <w:sz w:val="28"/>
          <w:szCs w:val="28"/>
        </w:rPr>
      </w:pPr>
      <w:r w:rsidRPr="008573C5">
        <w:rPr>
          <w:rFonts w:cs="TimesNewRoman,Bold"/>
          <w:b/>
          <w:bCs/>
          <w:sz w:val="28"/>
          <w:szCs w:val="28"/>
        </w:rPr>
        <w:t>2.</w:t>
      </w:r>
      <w:r w:rsidR="00721D6F" w:rsidRPr="008573C5">
        <w:rPr>
          <w:rFonts w:cs="TimesNewRoman,Bold"/>
          <w:b/>
          <w:bCs/>
          <w:sz w:val="28"/>
          <w:szCs w:val="28"/>
        </w:rPr>
        <w:t>4</w:t>
      </w:r>
      <w:r w:rsidRPr="008573C5">
        <w:rPr>
          <w:rFonts w:cs="TimesNewRoman,Bold"/>
          <w:b/>
          <w:bCs/>
          <w:sz w:val="28"/>
          <w:szCs w:val="28"/>
        </w:rPr>
        <w:tab/>
        <w:t>Conceptual Model</w:t>
      </w:r>
    </w:p>
    <w:p w:rsidR="00257E78" w:rsidRPr="008573C5" w:rsidRDefault="00257E78" w:rsidP="00257E78">
      <w:pPr>
        <w:spacing w:line="360" w:lineRule="auto"/>
        <w:jc w:val="both"/>
        <w:rPr>
          <w:rFonts w:ascii="Times" w:hAnsi="Times" w:cs="Times"/>
        </w:rPr>
      </w:pPr>
    </w:p>
    <w:p w:rsidR="00257E78" w:rsidRPr="008573C5" w:rsidRDefault="00257E78" w:rsidP="00257E78">
      <w:pPr>
        <w:tabs>
          <w:tab w:val="num" w:pos="720"/>
        </w:tabs>
        <w:spacing w:line="360" w:lineRule="auto"/>
        <w:jc w:val="both"/>
      </w:pPr>
      <w:r w:rsidRPr="008573C5">
        <w:t xml:space="preserve">Financial statements of Nigerian companies are </w:t>
      </w:r>
      <w:r w:rsidRPr="008573C5">
        <w:rPr>
          <w:lang w:val="en-GB"/>
        </w:rPr>
        <w:t xml:space="preserve">regulated by the requirements of the Nigerian Accounting Standards Board (NASB) through its pronouncements referred to as Statement of Accounting Standards (SAS).  Although originally fashioned after the standards promulgated by the IASC now IASB, the similarities between both sets of standards have dwindled with time and machineries are presently put in place to fully align the local standards with the international ones. The disclosure requirements of these Standards (SAS and IAS/IFRS) define the way accounting information was presented in financial statements. Other voluntary disclosures, which are </w:t>
      </w:r>
      <w:r w:rsidRPr="008573C5">
        <w:rPr>
          <w:rFonts w:eastAsia="Calibri"/>
        </w:rPr>
        <w:t>discretionary accounting information over and above the mandatory disclosures, are also provided by management. T</w:t>
      </w:r>
      <w:r w:rsidRPr="008573C5">
        <w:rPr>
          <w:lang w:val="en-GB"/>
        </w:rPr>
        <w:t xml:space="preserve">he </w:t>
      </w:r>
      <w:r w:rsidRPr="008573C5">
        <w:t xml:space="preserve">financial statements provide valuable information for different stakeholders. The major objective of financial statements is that they provide information about the financial position, performance and changes in the financial position of an enterprise (Elliot and Elliot, 2005:156). According to Meigs and Meigs (1993:7), financial statements are the principal means of reporting general-purpose financial information to users. There are several users – managers, investors, suppliers, customers, lenders, employee, government and the general public - who have vested interest in these financial statements (Glautier and Underdown, 1997:11, Lewis and Pendrill, 2000:8; Werner and Jones, 2003:18; Sutton, 2004:5; Elliot and Elliot, 2005:158; IASB,2006:19). The accounting data presented in the financial statements must be relevant and meaningful to the user (Omoleyinwa, 2000:1).  A model of the conceptual view is as illustrated in Figure 2.01. </w:t>
      </w:r>
    </w:p>
    <w:p w:rsidR="00CA6CB9" w:rsidRPr="008573C5" w:rsidRDefault="00CA6CB9" w:rsidP="00044581">
      <w:pPr>
        <w:autoSpaceDE w:val="0"/>
        <w:autoSpaceDN w:val="0"/>
        <w:adjustRightInd w:val="0"/>
        <w:spacing w:line="360" w:lineRule="auto"/>
        <w:jc w:val="both"/>
      </w:pPr>
    </w:p>
    <w:p w:rsidR="00B348D4" w:rsidRPr="008573C5" w:rsidRDefault="00B348D4" w:rsidP="00044581">
      <w:pPr>
        <w:autoSpaceDE w:val="0"/>
        <w:autoSpaceDN w:val="0"/>
        <w:adjustRightInd w:val="0"/>
        <w:spacing w:line="360" w:lineRule="auto"/>
        <w:jc w:val="both"/>
      </w:pPr>
    </w:p>
    <w:p w:rsidR="00B348D4" w:rsidRPr="008573C5" w:rsidRDefault="00B348D4" w:rsidP="00044581">
      <w:pPr>
        <w:autoSpaceDE w:val="0"/>
        <w:autoSpaceDN w:val="0"/>
        <w:adjustRightInd w:val="0"/>
        <w:spacing w:line="360" w:lineRule="auto"/>
        <w:jc w:val="both"/>
      </w:pPr>
    </w:p>
    <w:p w:rsidR="00B348D4" w:rsidRPr="008573C5" w:rsidRDefault="00B348D4" w:rsidP="00044581">
      <w:pPr>
        <w:autoSpaceDE w:val="0"/>
        <w:autoSpaceDN w:val="0"/>
        <w:adjustRightInd w:val="0"/>
        <w:spacing w:line="360" w:lineRule="auto"/>
        <w:jc w:val="both"/>
      </w:pPr>
    </w:p>
    <w:p w:rsidR="00B348D4" w:rsidRPr="008573C5" w:rsidRDefault="00B348D4" w:rsidP="00044581">
      <w:pPr>
        <w:autoSpaceDE w:val="0"/>
        <w:autoSpaceDN w:val="0"/>
        <w:adjustRightInd w:val="0"/>
        <w:spacing w:line="360" w:lineRule="auto"/>
        <w:jc w:val="both"/>
      </w:pPr>
    </w:p>
    <w:p w:rsidR="00B348D4" w:rsidRPr="008573C5" w:rsidRDefault="00B348D4" w:rsidP="00044581">
      <w:pPr>
        <w:autoSpaceDE w:val="0"/>
        <w:autoSpaceDN w:val="0"/>
        <w:adjustRightInd w:val="0"/>
        <w:spacing w:line="360" w:lineRule="auto"/>
        <w:jc w:val="both"/>
      </w:pPr>
    </w:p>
    <w:p w:rsidR="00257E78" w:rsidRPr="008573C5" w:rsidRDefault="00257E78" w:rsidP="00257E78">
      <w:pPr>
        <w:spacing w:line="360" w:lineRule="auto"/>
        <w:jc w:val="center"/>
        <w:rPr>
          <w:rFonts w:ascii="Times" w:hAnsi="Times" w:cs="Times"/>
        </w:rPr>
      </w:pPr>
    </w:p>
    <w:p w:rsidR="004C0E56" w:rsidRPr="008573C5" w:rsidRDefault="004C0E56" w:rsidP="00257E78">
      <w:pPr>
        <w:spacing w:line="360" w:lineRule="auto"/>
        <w:jc w:val="center"/>
        <w:rPr>
          <w:rFonts w:ascii="Times" w:hAnsi="Times" w:cs="Times"/>
        </w:rPr>
      </w:pPr>
    </w:p>
    <w:p w:rsidR="004C0E56" w:rsidRPr="008573C5" w:rsidRDefault="004C0E56" w:rsidP="00257E78">
      <w:pPr>
        <w:spacing w:line="360" w:lineRule="auto"/>
        <w:jc w:val="center"/>
        <w:rPr>
          <w:rFonts w:ascii="Times" w:hAnsi="Times" w:cs="Times"/>
        </w:rPr>
      </w:pPr>
    </w:p>
    <w:p w:rsidR="004C0E56" w:rsidRPr="008573C5" w:rsidRDefault="004C0E56" w:rsidP="00257E78">
      <w:pPr>
        <w:spacing w:line="360" w:lineRule="auto"/>
        <w:jc w:val="center"/>
        <w:rPr>
          <w:rFonts w:ascii="Times" w:hAnsi="Times" w:cs="Times"/>
        </w:rPr>
      </w:pPr>
    </w:p>
    <w:p w:rsidR="007758ED" w:rsidRPr="008573C5" w:rsidRDefault="007758ED" w:rsidP="00DB4676">
      <w:pPr>
        <w:autoSpaceDE w:val="0"/>
        <w:autoSpaceDN w:val="0"/>
        <w:adjustRightInd w:val="0"/>
        <w:spacing w:line="360" w:lineRule="auto"/>
        <w:jc w:val="center"/>
      </w:pPr>
    </w:p>
    <w:p w:rsidR="007758ED" w:rsidRPr="008573C5" w:rsidRDefault="006E22C9" w:rsidP="007758ED">
      <w:pPr>
        <w:pStyle w:val="ListParagraph"/>
        <w:spacing w:line="360" w:lineRule="auto"/>
        <w:ind w:left="0"/>
        <w:jc w:val="center"/>
        <w:rPr>
          <w:rFonts w:ascii="Times New Roman" w:hAnsi="Times New Roman"/>
          <w:sz w:val="24"/>
          <w:szCs w:val="24"/>
        </w:rPr>
      </w:pPr>
      <w:r>
        <w:rPr>
          <w:rFonts w:ascii="Times New Roman" w:hAnsi="Times New Roman"/>
          <w:noProof/>
          <w:sz w:val="24"/>
          <w:szCs w:val="24"/>
          <w:lang w:val="en-US"/>
        </w:rPr>
        <w:pict>
          <v:shapetype id="_x0000_t202" coordsize="21600,21600" o:spt="202" path="m,l,21600r21600,l21600,xe">
            <v:stroke joinstyle="miter"/>
            <v:path gradientshapeok="t" o:connecttype="rect"/>
          </v:shapetype>
          <v:shape id="_x0000_s72452" type="#_x0000_t202" style="position:absolute;left:0;text-align:left;margin-left:393pt;margin-top:33.3pt;width:78.75pt;height:26.25pt;z-index:251670528;mso-position-horizontal-relative:text;mso-position-vertical-relative:text">
            <v:textbox style="mso-next-textbox:#_x0000_s72452">
              <w:txbxContent>
                <w:p w:rsidR="00CB6FAE" w:rsidRDefault="00CB6FAE" w:rsidP="007758ED">
                  <w:r>
                    <w:t>Investors</w:t>
                  </w:r>
                </w:p>
              </w:txbxContent>
            </v:textbox>
          </v:shape>
        </w:pict>
      </w:r>
      <w:r w:rsidR="007758ED" w:rsidRPr="008573C5">
        <w:rPr>
          <w:rFonts w:ascii="Times New Roman" w:hAnsi="Times New Roman"/>
          <w:b/>
          <w:sz w:val="24"/>
          <w:szCs w:val="24"/>
        </w:rPr>
        <w:t xml:space="preserve">Figure 2.01 </w:t>
      </w:r>
      <w:r w:rsidR="00DB4676">
        <w:rPr>
          <w:rFonts w:ascii="Times New Roman" w:hAnsi="Times New Roman"/>
          <w:b/>
          <w:sz w:val="24"/>
          <w:szCs w:val="24"/>
        </w:rPr>
        <w:t xml:space="preserve">: </w:t>
      </w:r>
      <w:r w:rsidR="007758ED" w:rsidRPr="008573C5">
        <w:rPr>
          <w:rFonts w:ascii="Times New Roman" w:hAnsi="Times New Roman"/>
          <w:b/>
          <w:sz w:val="24"/>
          <w:szCs w:val="24"/>
        </w:rPr>
        <w:t>Conceptual View of Accounting Disclosures and Users of Accounting Information</w:t>
      </w:r>
    </w:p>
    <w:p w:rsidR="007758ED" w:rsidRPr="008573C5" w:rsidRDefault="006E22C9" w:rsidP="007758ED">
      <w:pPr>
        <w:pStyle w:val="ListParagraph"/>
        <w:spacing w:line="360" w:lineRule="auto"/>
        <w:ind w:left="0"/>
        <w:rPr>
          <w:rFonts w:ascii="Times New Roman" w:hAnsi="Times New Roman"/>
          <w:sz w:val="24"/>
          <w:szCs w:val="24"/>
        </w:rPr>
      </w:pPr>
      <w:r>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72461" type="#_x0000_t32" style="position:absolute;margin-left:373.8pt;margin-top:2.4pt;width:19.2pt;height:41.25pt;flip:y;z-index:251679744" o:connectortype="straight">
            <v:stroke endarrow="block"/>
          </v:shape>
        </w:pict>
      </w:r>
      <w:r>
        <w:rPr>
          <w:rFonts w:ascii="Times New Roman" w:hAnsi="Times New Roman"/>
          <w:noProof/>
          <w:sz w:val="24"/>
          <w:szCs w:val="24"/>
          <w:lang w:val="en-US"/>
        </w:rPr>
        <w:pict>
          <v:shape id="_x0000_s72453" type="#_x0000_t202" style="position:absolute;margin-left:393pt;margin-top:24.9pt;width:78.75pt;height:24pt;z-index:251671552">
            <v:textbox style="mso-next-textbox:#_x0000_s72453">
              <w:txbxContent>
                <w:p w:rsidR="00CB6FAE" w:rsidRDefault="00CB6FAE" w:rsidP="007758ED">
                  <w:r>
                    <w:t>Creditors</w:t>
                  </w:r>
                </w:p>
              </w:txbxContent>
            </v:textbox>
          </v:shape>
        </w:pict>
      </w:r>
      <w:r>
        <w:rPr>
          <w:rFonts w:ascii="Times New Roman" w:hAnsi="Times New Roman"/>
          <w:noProof/>
          <w:sz w:val="24"/>
          <w:szCs w:val="24"/>
          <w:lang w:val="en-US"/>
        </w:rPr>
        <w:pict>
          <v:shape id="_x0000_s72458" type="#_x0000_t32" style="position:absolute;margin-left:209.25pt;margin-top:9.15pt;width:40.5pt;height:66.75pt;z-index:251676672" o:connectortype="straight">
            <v:stroke endarrow="block"/>
          </v:shape>
        </w:pict>
      </w:r>
      <w:r>
        <w:rPr>
          <w:rFonts w:ascii="Times New Roman" w:hAnsi="Times New Roman"/>
          <w:noProof/>
          <w:sz w:val="24"/>
          <w:szCs w:val="24"/>
          <w:lang w:val="en-US"/>
        </w:rPr>
        <w:pict>
          <v:shape id="_x0000_s72448" type="#_x0000_t32" style="position:absolute;margin-left:87.75pt;margin-top:18.15pt;width:42.75pt;height:0;z-index:251666432" o:connectortype="straight">
            <v:stroke endarrow="block"/>
          </v:shape>
        </w:pict>
      </w:r>
      <w:r>
        <w:rPr>
          <w:rFonts w:ascii="Times New Roman" w:hAnsi="Times New Roman"/>
          <w:noProof/>
          <w:sz w:val="24"/>
          <w:szCs w:val="24"/>
          <w:lang w:val="en-US"/>
        </w:rPr>
        <w:pict>
          <v:shape id="_x0000_s72445" type="#_x0000_t202" style="position:absolute;margin-left:130.5pt;margin-top:2.4pt;width:78.75pt;height:35.25pt;z-index:251663360">
            <v:textbox style="mso-next-textbox:#_x0000_s72445">
              <w:txbxContent>
                <w:p w:rsidR="00CB6FAE" w:rsidRDefault="00CB6FAE" w:rsidP="007758ED">
                  <w:r>
                    <w:t>SAS Disclosures</w:t>
                  </w:r>
                </w:p>
              </w:txbxContent>
            </v:textbox>
          </v:shape>
        </w:pict>
      </w:r>
      <w:r>
        <w:rPr>
          <w:rFonts w:ascii="Times New Roman" w:hAnsi="Times New Roman"/>
          <w:noProof/>
          <w:sz w:val="24"/>
          <w:szCs w:val="24"/>
          <w:lang w:val="en-US"/>
        </w:rPr>
        <w:pict>
          <v:shape id="_x0000_s72442" type="#_x0000_t202" style="position:absolute;margin-left:.75pt;margin-top:2.4pt;width:87pt;height:41.25pt;z-index:251660288">
            <v:textbox style="mso-next-textbox:#_x0000_s72442">
              <w:txbxContent>
                <w:p w:rsidR="00CB6FAE" w:rsidRPr="000F2F1B" w:rsidRDefault="00CB6FAE" w:rsidP="007758ED">
                  <w:pPr>
                    <w:jc w:val="center"/>
                    <w:rPr>
                      <w:b/>
                      <w:sz w:val="36"/>
                      <w:szCs w:val="36"/>
                    </w:rPr>
                  </w:pPr>
                  <w:r w:rsidRPr="000F2F1B">
                    <w:rPr>
                      <w:b/>
                      <w:sz w:val="36"/>
                      <w:szCs w:val="36"/>
                    </w:rPr>
                    <w:t>NASB</w:t>
                  </w:r>
                </w:p>
              </w:txbxContent>
            </v:textbox>
          </v:shape>
        </w:pict>
      </w:r>
    </w:p>
    <w:p w:rsidR="007758ED" w:rsidRPr="008573C5" w:rsidRDefault="006E22C9" w:rsidP="007758ED">
      <w:pPr>
        <w:spacing w:line="360" w:lineRule="auto"/>
        <w:jc w:val="both"/>
        <w:rPr>
          <w:rFonts w:ascii="Times" w:hAnsi="Times" w:cs="Times"/>
        </w:rPr>
      </w:pPr>
      <w:r>
        <w:rPr>
          <w:rFonts w:ascii="Times" w:hAnsi="Times" w:cs="Times"/>
          <w:noProof/>
        </w:rPr>
        <w:pict>
          <v:shape id="_x0000_s72462" type="#_x0000_t32" style="position:absolute;left:0;text-align:left;margin-left:367.2pt;margin-top:1pt;width:25.8pt;height:17.2pt;flip:y;z-index:251680768" o:connectortype="straight">
            <v:stroke endarrow="block"/>
          </v:shape>
        </w:pict>
      </w:r>
      <w:r>
        <w:rPr>
          <w:rFonts w:ascii="Times" w:hAnsi="Times" w:cs="Times"/>
          <w:noProof/>
        </w:rPr>
        <w:pict>
          <v:shape id="_x0000_s72451" type="#_x0000_t202" style="position:absolute;left:0;text-align:left;margin-left:357.75pt;margin-top:183pt;width:120.3pt;height:83.45pt;z-index:251669504;mso-position-horizontal-relative:page;mso-position-vertical-relative:page;mso-width-relative:margin;v-text-anchor:middle" o:allowincell="f" filled="f" strokecolor="#622423 [1605]" strokeweight="6pt">
            <v:stroke linestyle="thickThin"/>
            <v:textbox style="mso-next-textbox:#_x0000_s72451;mso-fit-shape-to-text:t" inset="10.8pt,7.2pt,10.8pt,7.2pt">
              <w:txbxContent>
                <w:p w:rsidR="00CB6FAE" w:rsidRDefault="00CB6FAE" w:rsidP="007758ED">
                  <w:pPr>
                    <w:spacing w:line="360" w:lineRule="auto"/>
                    <w:jc w:val="center"/>
                    <w:rPr>
                      <w:rFonts w:asciiTheme="majorHAnsi" w:eastAsiaTheme="majorEastAsia" w:hAnsiTheme="majorHAnsi" w:cstheme="majorBidi"/>
                      <w:i/>
                      <w:iCs/>
                      <w:sz w:val="28"/>
                      <w:szCs w:val="28"/>
                    </w:rPr>
                  </w:pPr>
                </w:p>
                <w:p w:rsidR="00CB6FAE" w:rsidRDefault="00CB6FAE" w:rsidP="007758ED">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Annual Reports </w:t>
                  </w:r>
                </w:p>
                <w:p w:rsidR="00CB6FAE" w:rsidRDefault="00CB6FAE" w:rsidP="007758ED"/>
              </w:txbxContent>
            </v:textbox>
            <w10:wrap type="square" anchorx="page" anchory="page"/>
          </v:shape>
        </w:pict>
      </w:r>
      <w:r>
        <w:rPr>
          <w:rFonts w:ascii="Times" w:hAnsi="Times" w:cs="Times"/>
          <w:noProof/>
        </w:rPr>
        <w:pict>
          <v:shape id="_x0000_s72467" type="#_x0000_t32" style="position:absolute;left:0;text-align:left;margin-left:163.5pt;margin-top:10pt;width:.75pt;height:52.15pt;flip:x y;z-index:251685888" o:connectortype="straight">
            <v:stroke endarrow="block"/>
          </v:shape>
        </w:pict>
      </w:r>
    </w:p>
    <w:p w:rsidR="007758ED" w:rsidRPr="008573C5" w:rsidRDefault="006E22C9" w:rsidP="007758ED">
      <w:pPr>
        <w:spacing w:line="360" w:lineRule="auto"/>
        <w:jc w:val="both"/>
        <w:rPr>
          <w:rFonts w:ascii="Times" w:hAnsi="Times" w:cs="Times"/>
        </w:rPr>
      </w:pPr>
      <w:r w:rsidRPr="006E22C9">
        <w:rPr>
          <w:noProof/>
        </w:rPr>
        <w:pict>
          <v:shape id="_x0000_s72463" type="#_x0000_t32" style="position:absolute;left:0;text-align:left;margin-left:374.25pt;margin-top:24.5pt;width:18.75pt;height:0;z-index:251681792" o:connectortype="straight">
            <v:stroke endarrow="block"/>
          </v:shape>
        </w:pict>
      </w:r>
      <w:r w:rsidRPr="006E22C9">
        <w:rPr>
          <w:noProof/>
        </w:rPr>
        <w:pict>
          <v:shape id="_x0000_s72455" type="#_x0000_t202" style="position:absolute;left:0;text-align:left;margin-left:393pt;margin-top:8pt;width:78.75pt;height:24pt;z-index:251673600">
            <v:textbox style="mso-next-textbox:#_x0000_s72455">
              <w:txbxContent>
                <w:p w:rsidR="00CB6FAE" w:rsidRDefault="00CB6FAE" w:rsidP="007758ED">
                  <w:r>
                    <w:t>Suppliers</w:t>
                  </w:r>
                </w:p>
              </w:txbxContent>
            </v:textbox>
          </v:shape>
        </w:pict>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p>
    <w:p w:rsidR="007758ED" w:rsidRPr="008573C5" w:rsidRDefault="006E22C9" w:rsidP="007758ED">
      <w:pPr>
        <w:spacing w:line="360" w:lineRule="auto"/>
        <w:jc w:val="both"/>
        <w:rPr>
          <w:rFonts w:ascii="Times" w:hAnsi="Times" w:cs="Times"/>
        </w:rPr>
      </w:pPr>
      <w:r>
        <w:rPr>
          <w:rFonts w:ascii="Times" w:hAnsi="Times" w:cs="Times"/>
          <w:noProof/>
        </w:rPr>
        <w:pict>
          <v:shape id="_x0000_s72465" type="#_x0000_t32" style="position:absolute;left:0;text-align:left;margin-left:366.3pt;margin-top:8.95pt;width:26.7pt;height:53.55pt;z-index:251683840" o:connectortype="straight">
            <v:stroke endarrow="block"/>
          </v:shape>
        </w:pict>
      </w:r>
      <w:r>
        <w:rPr>
          <w:rFonts w:ascii="Times" w:hAnsi="Times" w:cs="Times"/>
          <w:noProof/>
        </w:rPr>
        <w:pict>
          <v:shape id="_x0000_s72454" type="#_x0000_t202" style="position:absolute;left:0;text-align:left;margin-left:393pt;margin-top:2.35pt;width:78.75pt;height:37.25pt;z-index:251672576">
            <v:textbox style="mso-next-textbox:#_x0000_s72454">
              <w:txbxContent>
                <w:p w:rsidR="00CB6FAE" w:rsidRDefault="00CB6FAE" w:rsidP="007758ED">
                  <w:r>
                    <w:t xml:space="preserve">Government Agencies </w:t>
                  </w:r>
                </w:p>
              </w:txbxContent>
            </v:textbox>
          </v:shape>
        </w:pict>
      </w:r>
      <w:r>
        <w:rPr>
          <w:rFonts w:ascii="Times" w:hAnsi="Times" w:cs="Times"/>
          <w:noProof/>
        </w:rPr>
        <w:pict>
          <v:shape id="_x0000_s72464" type="#_x0000_t32" style="position:absolute;left:0;text-align:left;margin-left:373.8pt;margin-top:8.95pt;width:15pt;height:6.45pt;z-index:251682816" o:connectortype="straight">
            <v:stroke endarrow="block"/>
          </v:shape>
        </w:pict>
      </w:r>
      <w:r>
        <w:rPr>
          <w:rFonts w:ascii="Times" w:hAnsi="Times" w:cs="Times"/>
          <w:noProof/>
        </w:rPr>
        <w:pict>
          <v:shape id="_x0000_s72459" type="#_x0000_t32" style="position:absolute;left:0;text-align:left;margin-left:3in;margin-top:13.9pt;width:33.75pt;height:1.5pt;flip:y;z-index:251677696" o:connectortype="straight">
            <v:stroke endarrow="block"/>
          </v:shape>
        </w:pict>
      </w:r>
      <w:r>
        <w:rPr>
          <w:rFonts w:ascii="Times" w:hAnsi="Times" w:cs="Times"/>
          <w:noProof/>
        </w:rPr>
        <w:pict>
          <v:shape id="_x0000_s72449" type="#_x0000_t32" style="position:absolute;left:0;text-align:left;margin-left:87.75pt;margin-top:19.6pt;width:42.75pt;height:.75pt;flip:y;z-index:251667456" o:connectortype="straight">
            <v:stroke endarrow="block"/>
          </v:shape>
        </w:pict>
      </w:r>
      <w:r>
        <w:rPr>
          <w:rFonts w:ascii="Times" w:hAnsi="Times" w:cs="Times"/>
          <w:noProof/>
        </w:rPr>
        <w:pict>
          <v:shape id="_x0000_s72446" type="#_x0000_t202" style="position:absolute;left:0;text-align:left;margin-left:130.5pt;margin-top:.1pt;width:85.5pt;height:35.25pt;z-index:251664384">
            <v:textbox style="mso-next-textbox:#_x0000_s72446">
              <w:txbxContent>
                <w:p w:rsidR="00CB6FAE" w:rsidRDefault="00CB6FAE" w:rsidP="007758ED">
                  <w:r>
                    <w:t>`IAS/IFRS</w:t>
                  </w:r>
                </w:p>
                <w:p w:rsidR="00CB6FAE" w:rsidRDefault="00CB6FAE" w:rsidP="007758ED">
                  <w:r>
                    <w:t>Disclosures</w:t>
                  </w:r>
                </w:p>
              </w:txbxContent>
            </v:textbox>
          </v:shape>
        </w:pict>
      </w:r>
      <w:r>
        <w:rPr>
          <w:rFonts w:ascii="Times" w:hAnsi="Times" w:cs="Times"/>
          <w:noProof/>
        </w:rPr>
        <w:pict>
          <v:shape id="_x0000_s72443" type="#_x0000_t202" style="position:absolute;left:0;text-align:left;margin-left:.75pt;margin-top:.1pt;width:87pt;height:48.75pt;z-index:251661312">
            <v:textbox style="mso-next-textbox:#_x0000_s72443">
              <w:txbxContent>
                <w:p w:rsidR="00CB6FAE" w:rsidRPr="000F2F1B" w:rsidRDefault="00CB6FAE" w:rsidP="007758ED">
                  <w:pPr>
                    <w:jc w:val="center"/>
                    <w:rPr>
                      <w:b/>
                      <w:sz w:val="36"/>
                      <w:szCs w:val="36"/>
                    </w:rPr>
                  </w:pPr>
                  <w:r w:rsidRPr="000F2F1B">
                    <w:rPr>
                      <w:b/>
                      <w:sz w:val="36"/>
                      <w:szCs w:val="36"/>
                    </w:rPr>
                    <w:t>IASB</w:t>
                  </w:r>
                </w:p>
              </w:txbxContent>
            </v:textbox>
          </v:shape>
        </w:pict>
      </w:r>
    </w:p>
    <w:p w:rsidR="007758ED" w:rsidRPr="008573C5" w:rsidRDefault="006E22C9" w:rsidP="007758ED">
      <w:pPr>
        <w:spacing w:line="360" w:lineRule="auto"/>
        <w:jc w:val="both"/>
        <w:rPr>
          <w:rFonts w:ascii="Times" w:hAnsi="Times" w:cs="Times"/>
        </w:rPr>
      </w:pPr>
      <w:r>
        <w:rPr>
          <w:rFonts w:ascii="Times" w:hAnsi="Times" w:cs="Times"/>
          <w:noProof/>
        </w:rPr>
        <w:pict>
          <v:shape id="_x0000_s72469" type="#_x0000_t32" style="position:absolute;left:0;text-align:left;margin-left:370.05pt;margin-top:6.15pt;width:26.7pt;height:68.85pt;z-index:251687936" o:connectortype="straight">
            <v:stroke endarrow="block"/>
          </v:shape>
        </w:pict>
      </w:r>
      <w:r>
        <w:rPr>
          <w:rFonts w:ascii="Times" w:hAnsi="Times" w:cs="Times"/>
          <w:noProof/>
        </w:rPr>
        <w:pict>
          <v:shape id="_x0000_s72466" type="#_x0000_t32" style="position:absolute;left:0;text-align:left;margin-left:370.05pt;margin-top:18.95pt;width:22.5pt;height:92.7pt;z-index:251684864" o:connectortype="straight">
            <v:stroke endarrow="block"/>
          </v:shape>
        </w:pict>
      </w:r>
      <w:r>
        <w:rPr>
          <w:rFonts w:ascii="Times" w:hAnsi="Times" w:cs="Times"/>
          <w:noProof/>
        </w:rPr>
        <w:pict>
          <v:shape id="_x0000_s72460" type="#_x0000_t32" style="position:absolute;left:0;text-align:left;margin-left:3in;margin-top:10.75pt;width:33.75pt;height:64.25pt;flip:y;z-index:251678720" o:connectortype="straight">
            <v:stroke endarrow="block"/>
          </v:shape>
        </w:pict>
      </w:r>
    </w:p>
    <w:p w:rsidR="007758ED" w:rsidRPr="008573C5" w:rsidRDefault="006E22C9" w:rsidP="007758ED">
      <w:pPr>
        <w:spacing w:line="360" w:lineRule="auto"/>
        <w:jc w:val="both"/>
        <w:rPr>
          <w:rFonts w:ascii="Times" w:hAnsi="Times" w:cs="Times"/>
        </w:rPr>
      </w:pPr>
      <w:r>
        <w:rPr>
          <w:rFonts w:ascii="Times" w:hAnsi="Times" w:cs="Times"/>
          <w:noProof/>
        </w:rPr>
        <w:pict>
          <v:shape id="_x0000_s72456" type="#_x0000_t202" style="position:absolute;left:0;text-align:left;margin-left:393pt;margin-top:13.1pt;width:78.75pt;height:24pt;z-index:251674624">
            <v:textbox style="mso-next-textbox:#_x0000_s72456">
              <w:txbxContent>
                <w:p w:rsidR="00CB6FAE" w:rsidRDefault="00CB6FAE" w:rsidP="007758ED">
                  <w:r>
                    <w:t>Customers</w:t>
                  </w:r>
                </w:p>
              </w:txbxContent>
            </v:textbox>
          </v:shape>
        </w:pict>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p>
    <w:p w:rsidR="007758ED" w:rsidRPr="008573C5" w:rsidRDefault="006E22C9" w:rsidP="007758ED">
      <w:pPr>
        <w:spacing w:line="360" w:lineRule="auto"/>
        <w:jc w:val="both"/>
        <w:rPr>
          <w:rFonts w:ascii="Times" w:hAnsi="Times" w:cs="Times"/>
        </w:rPr>
      </w:pPr>
      <w:r>
        <w:rPr>
          <w:rFonts w:ascii="Times" w:hAnsi="Times" w:cs="Times"/>
          <w:noProof/>
        </w:rPr>
        <w:pict>
          <v:shape id="_x0000_s72457" type="#_x0000_t202" style="position:absolute;left:0;text-align:left;margin-left:393pt;margin-top:6.9pt;width:78.75pt;height:24pt;z-index:251675648">
            <v:textbox style="mso-next-textbox:#_x0000_s72457">
              <w:txbxContent>
                <w:p w:rsidR="00CB6FAE" w:rsidRDefault="00CB6FAE" w:rsidP="007758ED">
                  <w:r>
                    <w:t>Public</w:t>
                  </w:r>
                </w:p>
              </w:txbxContent>
            </v:textbox>
          </v:shape>
        </w:pict>
      </w:r>
      <w:r>
        <w:rPr>
          <w:rFonts w:ascii="Times" w:hAnsi="Times" w:cs="Times"/>
          <w:noProof/>
        </w:rPr>
        <w:pict>
          <v:shape id="_x0000_s72447" type="#_x0000_t202" style="position:absolute;left:0;text-align:left;margin-left:130.5pt;margin-top:17.55pt;width:85.5pt;height:35.25pt;z-index:251665408">
            <v:textbox style="mso-next-textbox:#_x0000_s72447">
              <w:txbxContent>
                <w:p w:rsidR="00CB6FAE" w:rsidRDefault="00CB6FAE" w:rsidP="007758ED">
                  <w:r>
                    <w:t>Voluntary</w:t>
                  </w:r>
                </w:p>
                <w:p w:rsidR="00CB6FAE" w:rsidRDefault="00CB6FAE" w:rsidP="007758ED">
                  <w:r>
                    <w:t>Disclosures</w:t>
                  </w:r>
                </w:p>
              </w:txbxContent>
            </v:textbox>
          </v:shape>
        </w:pict>
      </w:r>
      <w:r>
        <w:rPr>
          <w:rFonts w:ascii="Times" w:hAnsi="Times" w:cs="Times"/>
          <w:noProof/>
        </w:rPr>
        <w:pict>
          <v:shape id="_x0000_s72444" type="#_x0000_t202" style="position:absolute;left:0;text-align:left;margin-left:.75pt;margin-top:17.55pt;width:87pt;height:49.5pt;z-index:251662336">
            <v:textbox style="mso-next-textbox:#_x0000_s72444">
              <w:txbxContent>
                <w:p w:rsidR="00CB6FAE" w:rsidRPr="000F2F1B" w:rsidRDefault="00CB6FAE" w:rsidP="007758ED">
                  <w:pPr>
                    <w:jc w:val="center"/>
                    <w:rPr>
                      <w:b/>
                    </w:rPr>
                  </w:pPr>
                  <w:r w:rsidRPr="000F2F1B">
                    <w:rPr>
                      <w:b/>
                    </w:rPr>
                    <w:t>Management</w:t>
                  </w:r>
                </w:p>
              </w:txbxContent>
            </v:textbox>
          </v:shape>
        </w:pict>
      </w:r>
    </w:p>
    <w:p w:rsidR="007758ED" w:rsidRPr="008573C5" w:rsidRDefault="006E22C9" w:rsidP="007758ED">
      <w:pPr>
        <w:spacing w:line="360" w:lineRule="auto"/>
        <w:jc w:val="both"/>
        <w:rPr>
          <w:rFonts w:ascii="Times" w:hAnsi="Times" w:cs="Times"/>
        </w:rPr>
      </w:pPr>
      <w:r>
        <w:rPr>
          <w:rFonts w:ascii="Times" w:hAnsi="Times" w:cs="Times"/>
          <w:noProof/>
        </w:rPr>
        <w:pict>
          <v:shape id="_x0000_s72468" type="#_x0000_t202" style="position:absolute;left:0;text-align:left;margin-left:392.55pt;margin-top:18.6pt;width:78.75pt;height:24pt;z-index:251686912">
            <v:textbox style="mso-next-textbox:#_x0000_s72468">
              <w:txbxContent>
                <w:p w:rsidR="00CB6FAE" w:rsidRDefault="00CB6FAE" w:rsidP="007758ED">
                  <w:r>
                    <w:t>Management</w:t>
                  </w:r>
                </w:p>
              </w:txbxContent>
            </v:textbox>
          </v:shape>
        </w:pict>
      </w:r>
      <w:r>
        <w:rPr>
          <w:rFonts w:ascii="Times" w:hAnsi="Times" w:cs="Times"/>
          <w:noProof/>
        </w:rPr>
        <w:pict>
          <v:shape id="_x0000_s72450" type="#_x0000_t32" style="position:absolute;left:0;text-align:left;margin-left:87.75pt;margin-top:18.6pt;width:42.75pt;height:0;z-index:251668480" o:connectortype="straight">
            <v:stroke endarrow="block"/>
          </v:shape>
        </w:pict>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r w:rsidR="007758ED" w:rsidRPr="008573C5">
        <w:rPr>
          <w:rFonts w:ascii="Times" w:hAnsi="Times" w:cs="Times"/>
        </w:rPr>
        <w:tab/>
      </w:r>
    </w:p>
    <w:p w:rsidR="007758ED" w:rsidRPr="008573C5" w:rsidRDefault="007758ED" w:rsidP="007758ED">
      <w:pPr>
        <w:spacing w:line="360" w:lineRule="auto"/>
        <w:jc w:val="both"/>
        <w:rPr>
          <w:rFonts w:ascii="Times" w:hAnsi="Times" w:cs="Times"/>
        </w:rPr>
      </w:pPr>
    </w:p>
    <w:p w:rsidR="007758ED" w:rsidRPr="008573C5" w:rsidRDefault="007758ED" w:rsidP="007758ED">
      <w:pPr>
        <w:spacing w:line="360" w:lineRule="auto"/>
        <w:jc w:val="both"/>
        <w:rPr>
          <w:rFonts w:ascii="Times" w:hAnsi="Times" w:cs="Times"/>
        </w:rPr>
      </w:pPr>
    </w:p>
    <w:p w:rsidR="004C0E56" w:rsidRPr="008573C5" w:rsidRDefault="004C0E56" w:rsidP="00257E78">
      <w:pPr>
        <w:spacing w:line="360" w:lineRule="auto"/>
        <w:jc w:val="center"/>
        <w:rPr>
          <w:rFonts w:ascii="Times" w:hAnsi="Times" w:cs="Times"/>
        </w:rPr>
      </w:pPr>
    </w:p>
    <w:p w:rsidR="007758ED" w:rsidRPr="008573C5" w:rsidRDefault="007758ED" w:rsidP="00312E4E">
      <w:pPr>
        <w:spacing w:line="360" w:lineRule="auto"/>
        <w:jc w:val="center"/>
        <w:rPr>
          <w:rFonts w:ascii="Times" w:hAnsi="Times" w:cs="Times"/>
          <w:b/>
        </w:rPr>
      </w:pPr>
    </w:p>
    <w:p w:rsidR="00312E4E" w:rsidRPr="008573C5" w:rsidRDefault="00312E4E" w:rsidP="00312E4E">
      <w:pPr>
        <w:spacing w:line="360" w:lineRule="auto"/>
        <w:jc w:val="center"/>
        <w:rPr>
          <w:rFonts w:ascii="Times" w:hAnsi="Times" w:cs="Times"/>
          <w:b/>
        </w:rPr>
      </w:pPr>
      <w:r w:rsidRPr="008573C5">
        <w:rPr>
          <w:rFonts w:ascii="Times" w:hAnsi="Times" w:cs="Times"/>
          <w:b/>
        </w:rPr>
        <w:t>Source: Developed by Researcher (2009)</w:t>
      </w:r>
    </w:p>
    <w:p w:rsidR="00312E4E" w:rsidRPr="008573C5" w:rsidRDefault="00312E4E" w:rsidP="00312E4E">
      <w:pPr>
        <w:spacing w:line="360" w:lineRule="auto"/>
        <w:jc w:val="both"/>
        <w:rPr>
          <w:rFonts w:ascii="Times" w:hAnsi="Times" w:cs="Times"/>
        </w:rPr>
      </w:pPr>
    </w:p>
    <w:p w:rsidR="00312E4E" w:rsidRPr="008573C5" w:rsidRDefault="00312E4E" w:rsidP="00312E4E">
      <w:pPr>
        <w:spacing w:line="360" w:lineRule="auto"/>
        <w:jc w:val="both"/>
        <w:rPr>
          <w:rFonts w:ascii="Times" w:hAnsi="Times" w:cs="Times"/>
        </w:rPr>
      </w:pPr>
    </w:p>
    <w:p w:rsidR="00312E4E" w:rsidRPr="008573C5" w:rsidRDefault="00312E4E" w:rsidP="00312E4E">
      <w:pPr>
        <w:spacing w:line="360" w:lineRule="auto"/>
        <w:jc w:val="both"/>
        <w:rPr>
          <w:rFonts w:ascii="Times" w:hAnsi="Times" w:cs="Times"/>
        </w:rPr>
      </w:pPr>
    </w:p>
    <w:p w:rsidR="003D3F01" w:rsidRPr="008573C5" w:rsidRDefault="00257E78" w:rsidP="00176437">
      <w:pPr>
        <w:spacing w:line="360" w:lineRule="auto"/>
        <w:jc w:val="both"/>
        <w:rPr>
          <w:rFonts w:ascii="TimesNewRomanPSMT" w:hAnsi="TimesNewRomanPSMT" w:cs="TimesNewRomanPSMT"/>
        </w:rPr>
      </w:pPr>
      <w:r w:rsidRPr="008573C5">
        <w:rPr>
          <w:rFonts w:ascii="Times" w:hAnsi="Times" w:cs="Times"/>
        </w:rPr>
        <w:t xml:space="preserve">With the literature review in this chapter, a conceptual framework for this study </w:t>
      </w:r>
      <w:r w:rsidR="00176437" w:rsidRPr="008573C5">
        <w:rPr>
          <w:rFonts w:ascii="Times" w:hAnsi="Times" w:cs="Times"/>
        </w:rPr>
        <w:t xml:space="preserve">is developed </w:t>
      </w:r>
      <w:r w:rsidRPr="008573C5">
        <w:rPr>
          <w:rFonts w:ascii="Times" w:hAnsi="Times" w:cs="Times"/>
        </w:rPr>
        <w:t xml:space="preserve">by exploring the relationship between the dependent variable, overall disclosure index (ODI = </w:t>
      </w:r>
      <w:r w:rsidRPr="008573C5">
        <w:t>DISAS + DIFRS + DIVol</w:t>
      </w:r>
      <w:r w:rsidRPr="008573C5">
        <w:rPr>
          <w:rFonts w:ascii="Times" w:hAnsi="Times" w:cs="Times"/>
        </w:rPr>
        <w:t xml:space="preserve"> ) and explanatory</w:t>
      </w:r>
      <w:r w:rsidR="00484AE5" w:rsidRPr="008573C5">
        <w:rPr>
          <w:rFonts w:ascii="Times" w:hAnsi="Times" w:cs="Times"/>
        </w:rPr>
        <w:t xml:space="preserve"> variables </w:t>
      </w:r>
      <w:r w:rsidRPr="008573C5">
        <w:rPr>
          <w:rFonts w:ascii="Times" w:hAnsi="Times" w:cs="Times"/>
        </w:rPr>
        <w:t xml:space="preserve"> (company size, profitability, leverage, listing age, industry type, auditor size and multinational affiliation). The concept is operationalised using the seven independent variables</w:t>
      </w:r>
      <w:r w:rsidR="00B27D44" w:rsidRPr="008573C5">
        <w:rPr>
          <w:rFonts w:ascii="Times" w:hAnsi="Times" w:cs="Times"/>
        </w:rPr>
        <w:t xml:space="preserve"> as stated in Section 3.2.5. </w:t>
      </w:r>
      <w:r w:rsidRPr="008573C5">
        <w:rPr>
          <w:rFonts w:ascii="TimesNewRomanPSMT" w:hAnsi="TimesNewRomanPSMT" w:cs="TimesNewRomanPSMT"/>
        </w:rPr>
        <w:t>Pictorially, it is demonstrated in Figure 2.02 below:</w:t>
      </w:r>
    </w:p>
    <w:p w:rsidR="00176437" w:rsidRPr="008573C5" w:rsidRDefault="00176437" w:rsidP="00176437">
      <w:pPr>
        <w:spacing w:line="360" w:lineRule="auto"/>
        <w:jc w:val="both"/>
        <w:rPr>
          <w:rFonts w:ascii="TimesNewRomanPSMT" w:hAnsi="TimesNewRomanPSMT" w:cs="TimesNewRomanPSMT"/>
        </w:rPr>
      </w:pPr>
    </w:p>
    <w:p w:rsidR="00176437" w:rsidRPr="008573C5" w:rsidRDefault="00176437" w:rsidP="00176437">
      <w:pPr>
        <w:spacing w:line="360" w:lineRule="auto"/>
        <w:jc w:val="both"/>
        <w:rPr>
          <w:rFonts w:ascii="TimesNewRomanPSMT" w:hAnsi="TimesNewRomanPSMT" w:cs="TimesNewRomanPSMT"/>
        </w:rPr>
      </w:pPr>
    </w:p>
    <w:p w:rsidR="00176437" w:rsidRPr="008573C5" w:rsidRDefault="00176437" w:rsidP="00176437">
      <w:pPr>
        <w:spacing w:line="360" w:lineRule="auto"/>
        <w:jc w:val="both"/>
        <w:rPr>
          <w:rFonts w:ascii="TimesNewRomanPSMT" w:hAnsi="TimesNewRomanPSMT" w:cs="TimesNewRomanPSMT"/>
        </w:rPr>
      </w:pPr>
    </w:p>
    <w:p w:rsidR="00176437" w:rsidRPr="008573C5" w:rsidRDefault="00176437" w:rsidP="00176437">
      <w:pPr>
        <w:spacing w:line="360" w:lineRule="auto"/>
        <w:jc w:val="both"/>
        <w:rPr>
          <w:rFonts w:ascii="TimesNewRomanPSMT" w:hAnsi="TimesNewRomanPSMT" w:cs="TimesNewRomanPSMT"/>
        </w:rPr>
      </w:pPr>
    </w:p>
    <w:p w:rsidR="00176437" w:rsidRPr="008573C5" w:rsidRDefault="00176437" w:rsidP="00176437">
      <w:pPr>
        <w:spacing w:line="360" w:lineRule="auto"/>
        <w:jc w:val="both"/>
        <w:rPr>
          <w:rFonts w:ascii="TimesNewRomanPSMT" w:hAnsi="TimesNewRomanPSMT" w:cs="TimesNewRomanPSMT"/>
        </w:rPr>
      </w:pPr>
    </w:p>
    <w:p w:rsidR="007758ED" w:rsidRPr="008573C5" w:rsidRDefault="007758ED" w:rsidP="003D3F01">
      <w:pPr>
        <w:autoSpaceDE w:val="0"/>
        <w:autoSpaceDN w:val="0"/>
        <w:adjustRightInd w:val="0"/>
        <w:spacing w:line="360" w:lineRule="auto"/>
        <w:jc w:val="center"/>
        <w:rPr>
          <w:rFonts w:ascii="Times" w:hAnsi="Times" w:cs="Times"/>
          <w:b/>
        </w:rPr>
      </w:pPr>
    </w:p>
    <w:p w:rsidR="00BB72FB" w:rsidRPr="008573C5" w:rsidRDefault="006E22C9" w:rsidP="00BB72FB">
      <w:pPr>
        <w:autoSpaceDE w:val="0"/>
        <w:autoSpaceDN w:val="0"/>
        <w:adjustRightInd w:val="0"/>
        <w:spacing w:line="360" w:lineRule="auto"/>
        <w:jc w:val="center"/>
        <w:rPr>
          <w:rFonts w:ascii="TimesNewRomanPSMT" w:hAnsi="TimesNewRomanPSMT" w:cs="TimesNewRomanPSMT"/>
          <w:b/>
          <w:sz w:val="28"/>
          <w:szCs w:val="28"/>
        </w:rPr>
      </w:pPr>
      <w:r>
        <w:rPr>
          <w:rFonts w:ascii="TimesNewRomanPSMT" w:hAnsi="TimesNewRomanPSMT" w:cs="TimesNewRomanPSMT"/>
          <w:b/>
          <w:noProof/>
          <w:sz w:val="28"/>
          <w:szCs w:val="28"/>
        </w:rPr>
        <w:pict>
          <v:shape id="_x0000_s72505" type="#_x0000_t32" style="position:absolute;left:0;text-align:left;margin-left:-65.4pt;margin-top:8.6pt;width:0;height:0;z-index:251725824" o:connectortype="straight">
            <v:stroke endarrow="block"/>
          </v:shape>
        </w:pict>
      </w:r>
      <w:r w:rsidR="00DB4676">
        <w:rPr>
          <w:rFonts w:ascii="TimesNewRomanPSMT" w:hAnsi="TimesNewRomanPSMT" w:cs="TimesNewRomanPSMT"/>
          <w:b/>
          <w:sz w:val="28"/>
          <w:szCs w:val="28"/>
        </w:rPr>
        <w:t xml:space="preserve">Figure </w:t>
      </w:r>
      <w:r w:rsidR="00BB72FB" w:rsidRPr="008573C5">
        <w:rPr>
          <w:rFonts w:ascii="TimesNewRomanPSMT" w:hAnsi="TimesNewRomanPSMT" w:cs="TimesNewRomanPSMT"/>
          <w:b/>
          <w:sz w:val="28"/>
          <w:szCs w:val="28"/>
        </w:rPr>
        <w:t>2.02: Framework for studying the Association between Disclosure Practices of Listed Companies and Corporate Attributes</w:t>
      </w:r>
    </w:p>
    <w:p w:rsidR="00BB72FB" w:rsidRPr="008573C5" w:rsidRDefault="006E22C9" w:rsidP="00BB72FB">
      <w:pPr>
        <w:autoSpaceDE w:val="0"/>
        <w:autoSpaceDN w:val="0"/>
        <w:adjustRightInd w:val="0"/>
        <w:spacing w:line="360" w:lineRule="auto"/>
        <w:ind w:left="2880" w:hanging="2880"/>
        <w:rPr>
          <w:rFonts w:ascii="TimesNewRomanPSMT" w:hAnsi="TimesNewRomanPSMT" w:cs="TimesNewRomanPSMT"/>
        </w:rPr>
      </w:pPr>
      <w:r>
        <w:rPr>
          <w:rFonts w:ascii="TimesNewRomanPSMT" w:hAnsi="TimesNewRomanPSMT" w:cs="TimesNewRomanPSMT"/>
          <w:noProof/>
        </w:rPr>
        <w:pict>
          <v:shape id="_x0000_s72504" type="#_x0000_t32" style="position:absolute;left:0;text-align:left;margin-left:-32.65pt;margin-top:19.8pt;width:.05pt;height:100.2pt;flip:y;z-index:251724800" o:connectortype="straight">
            <v:stroke endarrow="block"/>
          </v:shape>
        </w:pict>
      </w:r>
      <w:r>
        <w:rPr>
          <w:rFonts w:ascii="TimesNewRomanPSMT" w:hAnsi="TimesNewRomanPSMT" w:cs="TimesNewRomanPSMT"/>
          <w:noProof/>
        </w:rPr>
        <w:pict>
          <v:shape id="_x0000_s72492" type="#_x0000_t32" style="position:absolute;left:0;text-align:left;margin-left:236.95pt;margin-top:19.8pt;width:.05pt;height:42.7pt;z-index:251712512" o:connectortype="straight">
            <v:stroke endarrow="block"/>
          </v:shape>
        </w:pict>
      </w:r>
      <w:r>
        <w:rPr>
          <w:rFonts w:ascii="TimesNewRomanPSMT" w:hAnsi="TimesNewRomanPSMT" w:cs="TimesNewRomanPSMT"/>
          <w:noProof/>
        </w:rPr>
        <w:pict>
          <v:shape id="_x0000_s72491" type="#_x0000_t32" style="position:absolute;left:0;text-align:left;margin-left:-36.85pt;margin-top:19.75pt;width:273.8pt;height:.05pt;z-index:251711488" o:connectortype="straight"/>
        </w:pict>
      </w:r>
      <w:r>
        <w:rPr>
          <w:rFonts w:ascii="TimesNewRomanPSMT" w:hAnsi="TimesNewRomanPSMT" w:cs="TimesNewRomanPSMT"/>
          <w:noProof/>
          <w:lang w:eastAsia="zh-TW"/>
        </w:rPr>
        <w:pict>
          <v:oval id="_x0000_s72470" style="position:absolute;left:0;text-align:left;margin-left:45pt;margin-top:97.3pt;width:82.7pt;height:82.7pt;z-index:-2516264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72470" inset=".72pt,.72pt,.72pt,.72pt">
              <w:txbxContent>
                <w:p w:rsidR="00CB6FAE" w:rsidRPr="00153DBC" w:rsidRDefault="00CB6FAE" w:rsidP="00BB72FB">
                  <w:pPr>
                    <w:rPr>
                      <w:szCs w:val="28"/>
                    </w:rPr>
                  </w:pPr>
                  <w:r>
                    <w:rPr>
                      <w:szCs w:val="28"/>
                    </w:rPr>
                    <w:t>SAS Disclosure Index</w:t>
                  </w:r>
                </w:p>
              </w:txbxContent>
            </v:textbox>
            <w10:wrap type="tight" anchorx="margin" anchory="margin"/>
          </v:oval>
        </w:pict>
      </w:r>
      <w:r w:rsidR="00681214" w:rsidRPr="008573C5">
        <w:rPr>
          <w:rFonts w:ascii="TimesNewRomanPSMT" w:hAnsi="TimesNewRomanPSMT" w:cs="TimesNewRomanPSMT"/>
        </w:rPr>
        <w:t xml:space="preserve">     </w:t>
      </w:r>
      <w:r w:rsidR="00BB72FB" w:rsidRPr="008573C5">
        <w:rPr>
          <w:rFonts w:ascii="TimesNewRomanPSMT" w:hAnsi="TimesNewRomanPSMT" w:cs="TimesNewRomanPSMT"/>
        </w:rPr>
        <w:t>Dependent Variables</w:t>
      </w:r>
      <w:r w:rsidR="00BB72FB" w:rsidRPr="008573C5">
        <w:rPr>
          <w:rFonts w:ascii="TimesNewRomanPSMT" w:hAnsi="TimesNewRomanPSMT" w:cs="TimesNewRomanPSMT"/>
        </w:rPr>
        <w:tab/>
      </w:r>
      <w:r w:rsidR="00BB72FB" w:rsidRPr="008573C5">
        <w:rPr>
          <w:rFonts w:ascii="TimesNewRomanPSMT" w:hAnsi="TimesNewRomanPSMT" w:cs="TimesNewRomanPSMT"/>
        </w:rPr>
        <w:tab/>
      </w:r>
      <w:r w:rsidR="00BB72FB" w:rsidRPr="008573C5">
        <w:rPr>
          <w:rFonts w:ascii="TimesNewRomanPSMT" w:hAnsi="TimesNewRomanPSMT" w:cs="TimesNewRomanPSMT"/>
        </w:rPr>
        <w:tab/>
      </w:r>
      <w:r w:rsidR="00BB72FB" w:rsidRPr="008573C5">
        <w:rPr>
          <w:rFonts w:ascii="TimesNewRomanPSMT" w:hAnsi="TimesNewRomanPSMT" w:cs="TimesNewRomanPSMT"/>
        </w:rPr>
        <w:tab/>
      </w:r>
      <w:r w:rsidR="00BB72FB" w:rsidRPr="008573C5">
        <w:rPr>
          <w:rFonts w:ascii="TimesNewRomanPSMT" w:hAnsi="TimesNewRomanPSMT" w:cs="TimesNewRomanPSMT"/>
        </w:rPr>
        <w:tab/>
      </w:r>
      <w:r w:rsidR="000D2589" w:rsidRPr="008573C5">
        <w:rPr>
          <w:rFonts w:ascii="TimesNewRomanPSMT" w:hAnsi="TimesNewRomanPSMT" w:cs="TimesNewRomanPSMT"/>
        </w:rPr>
        <w:t xml:space="preserve">      </w:t>
      </w:r>
      <w:r w:rsidR="00BB72FB" w:rsidRPr="008573C5">
        <w:rPr>
          <w:rFonts w:ascii="TimesNewRomanPSMT" w:hAnsi="TimesNewRomanPSMT" w:cs="TimesNewRomanPSMT"/>
        </w:rPr>
        <w:t>Independent Variables</w:t>
      </w:r>
    </w:p>
    <w:p w:rsidR="00BB72FB" w:rsidRPr="008573C5" w:rsidRDefault="00BB72FB" w:rsidP="00BB72FB">
      <w:pPr>
        <w:autoSpaceDE w:val="0"/>
        <w:autoSpaceDN w:val="0"/>
        <w:adjustRightInd w:val="0"/>
        <w:spacing w:line="360" w:lineRule="auto"/>
        <w:ind w:left="2880" w:hanging="2880"/>
        <w:rPr>
          <w:rFonts w:ascii="TimesNewRomanPSMT" w:hAnsi="TimesNewRomanPSMT" w:cs="TimesNewRomanPSMT"/>
        </w:rPr>
      </w:pPr>
    </w:p>
    <w:p w:rsidR="00BB72FB" w:rsidRPr="008573C5" w:rsidRDefault="006E22C9" w:rsidP="00BB72FB">
      <w:pPr>
        <w:autoSpaceDE w:val="0"/>
        <w:autoSpaceDN w:val="0"/>
        <w:adjustRightInd w:val="0"/>
        <w:spacing w:line="360" w:lineRule="auto"/>
        <w:ind w:left="2880" w:hanging="2880"/>
        <w:rPr>
          <w:rFonts w:ascii="TimesNewRomanPSMT" w:hAnsi="TimesNewRomanPSMT" w:cs="TimesNewRomanPSMT"/>
        </w:rPr>
      </w:pPr>
      <w:r>
        <w:rPr>
          <w:rFonts w:ascii="TimesNewRomanPSMT" w:hAnsi="TimesNewRomanPSMT" w:cs="TimesNewRomanPSMT"/>
          <w:noProof/>
        </w:rPr>
        <w:pict>
          <v:shape id="_x0000_s72493" type="#_x0000_t32" style="position:absolute;left:0;text-align:left;margin-left:290.7pt;margin-top:21.15pt;width:52.45pt;height:38.25pt;flip:x;z-index:251713536" o:connectortype="straight">
            <v:stroke endarrow="block"/>
          </v:shape>
        </w:pict>
      </w:r>
      <w:r>
        <w:rPr>
          <w:rFonts w:ascii="TimesNewRomanPSMT" w:hAnsi="TimesNewRomanPSMT" w:cs="TimesNewRomanPSMT"/>
          <w:noProof/>
        </w:rPr>
        <w:pict>
          <v:shape id="_x0000_s72471" type="#_x0000_t202" style="position:absolute;left:0;text-align:left;margin-left:347.45pt;margin-top:10.2pt;width:114.75pt;height:22.9pt;z-index:251691008">
            <v:textbox style="mso-next-textbox:#_x0000_s72471">
              <w:txbxContent>
                <w:p w:rsidR="00CB6FAE" w:rsidRDefault="00CB6FAE" w:rsidP="00BB72FB">
                  <w:r>
                    <w:t>Company Size</w:t>
                  </w:r>
                </w:p>
              </w:txbxContent>
            </v:textbox>
          </v:shape>
        </w:pict>
      </w:r>
    </w:p>
    <w:p w:rsidR="00BB72FB" w:rsidRPr="008573C5" w:rsidRDefault="006E22C9" w:rsidP="00BB72FB">
      <w:pPr>
        <w:autoSpaceDE w:val="0"/>
        <w:autoSpaceDN w:val="0"/>
        <w:adjustRightInd w:val="0"/>
        <w:spacing w:line="360" w:lineRule="auto"/>
        <w:ind w:left="2880" w:hanging="2880"/>
        <w:rPr>
          <w:rFonts w:ascii="TimesNewRomanPSMT" w:hAnsi="TimesNewRomanPSMT" w:cs="TimesNewRomanPSMT"/>
        </w:rPr>
      </w:pPr>
      <w:r>
        <w:rPr>
          <w:rFonts w:ascii="TimesNewRomanPSMT" w:hAnsi="TimesNewRomanPSMT" w:cs="TimesNewRomanPSMT"/>
          <w:noProof/>
        </w:rPr>
        <w:pict>
          <v:shape id="_x0000_s72506" type="#_x0000_t32" style="position:absolute;left:0;text-align:left;margin-left:130.85pt;margin-top:5.4pt;width:52.9pt;height:58.95pt;z-index:251726848" o:connectortype="straight">
            <v:stroke endarrow="block"/>
          </v:shape>
        </w:pict>
      </w:r>
      <w:r>
        <w:rPr>
          <w:rFonts w:ascii="TimesNewRomanPSMT" w:hAnsi="TimesNewRomanPSMT" w:cs="TimesNewRomanPSMT"/>
          <w:noProof/>
        </w:rPr>
        <w:pict>
          <v:shape id="_x0000_s72503" type="#_x0000_t32" style="position:absolute;left:0;text-align:left;margin-left:3.35pt;margin-top:12.4pt;width:36.85pt;height:51.95pt;flip:x;z-index:251723776" o:connectortype="straight">
            <v:stroke endarrow="block"/>
          </v:shape>
        </w:pict>
      </w:r>
    </w:p>
    <w:p w:rsidR="00BB72FB" w:rsidRPr="008573C5" w:rsidRDefault="006E22C9" w:rsidP="00BB72FB">
      <w:pPr>
        <w:autoSpaceDE w:val="0"/>
        <w:autoSpaceDN w:val="0"/>
        <w:adjustRightInd w:val="0"/>
        <w:spacing w:line="360" w:lineRule="auto"/>
        <w:ind w:left="2880" w:hanging="2880"/>
        <w:rPr>
          <w:rFonts w:ascii="TimesNewRomanPSMT" w:hAnsi="TimesNewRomanPSMT" w:cs="TimesNewRomanPSMT"/>
        </w:rPr>
      </w:pPr>
      <w:r>
        <w:rPr>
          <w:rFonts w:ascii="TimesNewRomanPSMT" w:hAnsi="TimesNewRomanPSMT" w:cs="TimesNewRomanPSMT"/>
          <w:noProof/>
        </w:rPr>
        <w:pict>
          <v:shape id="_x0000_s72494" type="#_x0000_t32" style="position:absolute;left:0;text-align:left;margin-left:290.7pt;margin-top:18pt;width:56.75pt;height:10.25pt;flip:x;z-index:251714560" o:connectortype="straight">
            <v:stroke endarrow="block"/>
          </v:shape>
        </w:pict>
      </w:r>
      <w:r>
        <w:rPr>
          <w:rFonts w:ascii="TimesNewRomanPSMT" w:hAnsi="TimesNewRomanPSMT" w:cs="TimesNewRomanPSMT"/>
          <w:noProof/>
        </w:rPr>
        <w:pict>
          <v:shape id="_x0000_s72472" type="#_x0000_t202" style="position:absolute;left:0;text-align:left;margin-left:347.45pt;margin-top:7.3pt;width:114.75pt;height:22.9pt;z-index:251692032">
            <v:textbox style="mso-next-textbox:#_x0000_s72472">
              <w:txbxContent>
                <w:p w:rsidR="00CB6FAE" w:rsidRDefault="00CB6FAE" w:rsidP="00BB72FB">
                  <w:r>
                    <w:t>Profitability</w:t>
                  </w:r>
                </w:p>
              </w:txbxContent>
            </v:textbox>
          </v:shape>
        </w:pict>
      </w:r>
    </w:p>
    <w:p w:rsidR="00BB72FB" w:rsidRPr="008573C5" w:rsidRDefault="006E22C9" w:rsidP="00BB72FB">
      <w:pPr>
        <w:autoSpaceDE w:val="0"/>
        <w:autoSpaceDN w:val="0"/>
        <w:adjustRightInd w:val="0"/>
        <w:spacing w:line="360" w:lineRule="auto"/>
        <w:ind w:left="2880" w:hanging="2880"/>
        <w:rPr>
          <w:rFonts w:ascii="TimesNewRomanPSMT" w:hAnsi="TimesNewRomanPSMT" w:cs="TimesNewRomanPSMT"/>
        </w:rPr>
      </w:pPr>
      <w:r w:rsidRPr="006E22C9">
        <w:rPr>
          <w:rFonts w:ascii="TimesNewRomanPSMT" w:hAnsi="TimesNewRomanPSMT" w:cs="TimesNewRomanPSMT"/>
          <w:i/>
          <w:noProof/>
        </w:rPr>
        <w:pict>
          <v:shape id="_x0000_s72495" type="#_x0000_t32" style="position:absolute;left:0;text-align:left;margin-left:272.3pt;margin-top:35.45pt;width:56.75pt;height:0;flip:x;z-index:251715584" o:connectortype="straight">
            <v:stroke endarrow="block"/>
          </v:shape>
        </w:pict>
      </w:r>
      <w:r>
        <w:rPr>
          <w:rFonts w:ascii="TimesNewRomanPSMT" w:hAnsi="TimesNewRomanPSMT" w:cs="TimesNewRomanPSMT"/>
          <w:noProof/>
        </w:rPr>
        <w:pict>
          <v:shape id="_x0000_s72474" type="#_x0000_t202" style="position:absolute;left:0;text-align:left;margin-left:329.05pt;margin-top:22.95pt;width:114.75pt;height:22.9pt;z-index:251694080">
            <v:textbox style="mso-next-textbox:#_x0000_s72474">
              <w:txbxContent>
                <w:p w:rsidR="00CB6FAE" w:rsidRDefault="00CB6FAE" w:rsidP="00BB72FB">
                  <w:r>
                    <w:t>Company Age</w:t>
                  </w:r>
                </w:p>
              </w:txbxContent>
            </v:textbox>
          </v:shape>
        </w:pict>
      </w:r>
      <w:r>
        <w:rPr>
          <w:rFonts w:ascii="TimesNewRomanPSMT" w:hAnsi="TimesNewRomanPSMT" w:cs="TimesNewRomanPSMT"/>
          <w:noProof/>
        </w:rPr>
        <w:pict>
          <v:oval id="_x0000_s72477" style="position:absolute;left:0;text-align:left;margin-left:48.15pt;margin-top:322.9pt;width:82.7pt;height:82.7pt;z-index:-25161932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72477" inset=".72pt,.72pt,.72pt,.72pt">
              <w:txbxContent>
                <w:p w:rsidR="00CB6FAE" w:rsidRPr="00153DBC" w:rsidRDefault="00CB6FAE" w:rsidP="00BB72FB">
                  <w:pPr>
                    <w:rPr>
                      <w:szCs w:val="28"/>
                    </w:rPr>
                  </w:pPr>
                  <w:r>
                    <w:rPr>
                      <w:szCs w:val="28"/>
                    </w:rPr>
                    <w:t>Voluntary Disclosure Index</w:t>
                  </w:r>
                </w:p>
              </w:txbxContent>
            </v:textbox>
            <w10:wrap type="tight" anchorx="margin" anchory="margin"/>
          </v:oval>
        </w:pict>
      </w:r>
      <w:r w:rsidRPr="006E22C9">
        <w:rPr>
          <w:rFonts w:ascii="TimesNewRomanPSMT" w:hAnsi="TimesNewRomanPSMT" w:cs="TimesNewRomanPSMT"/>
          <w:i/>
          <w:noProof/>
        </w:rPr>
        <w:pict>
          <v:oval id="_x0000_s72480" style="position:absolute;left:0;text-align:left;margin-left:50.3pt;margin-top:203.7pt;width:82.7pt;height:82.7pt;z-index:-25161625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72480" inset=".72pt,.72pt,.72pt,.72pt">
              <w:txbxContent>
                <w:p w:rsidR="00CB6FAE" w:rsidRDefault="00CB6FAE" w:rsidP="00BB72FB">
                  <w:pPr>
                    <w:rPr>
                      <w:szCs w:val="28"/>
                    </w:rPr>
                  </w:pPr>
                  <w:r>
                    <w:rPr>
                      <w:szCs w:val="28"/>
                    </w:rPr>
                    <w:t>IAS /IFRS</w:t>
                  </w:r>
                </w:p>
                <w:p w:rsidR="00CB6FAE" w:rsidRPr="00153DBC" w:rsidRDefault="00CB6FAE" w:rsidP="00BB72FB">
                  <w:pPr>
                    <w:rPr>
                      <w:szCs w:val="28"/>
                    </w:rPr>
                  </w:pPr>
                  <w:r>
                    <w:rPr>
                      <w:szCs w:val="28"/>
                    </w:rPr>
                    <w:t>Disclosure Index</w:t>
                  </w:r>
                </w:p>
              </w:txbxContent>
            </v:textbox>
            <w10:wrap type="tight" anchorx="margin" anchory="margin"/>
          </v:oval>
        </w:pict>
      </w:r>
      <w:r w:rsidR="00BB72FB" w:rsidRPr="008573C5">
        <w:rPr>
          <w:rFonts w:ascii="TimesNewRomanPSMT" w:hAnsi="TimesNewRomanPSMT" w:cs="TimesNewRomanPSMT"/>
        </w:rPr>
        <w:tab/>
      </w:r>
      <w:r w:rsidR="00BB72FB" w:rsidRPr="008573C5">
        <w:rPr>
          <w:rFonts w:ascii="TimesNewRomanPSMT" w:hAnsi="TimesNewRomanPSMT" w:cs="TimesNewRomanPSMT"/>
        </w:rPr>
        <w:tab/>
      </w:r>
      <w:r w:rsidR="00BB72FB" w:rsidRPr="008573C5">
        <w:rPr>
          <w:rFonts w:ascii="TimesNewRomanPSMT" w:hAnsi="TimesNewRomanPSMT" w:cs="TimesNewRomanPSMT"/>
        </w:rPr>
        <w:tab/>
      </w:r>
      <w:r w:rsidR="00BB72FB" w:rsidRPr="008573C5">
        <w:rPr>
          <w:rFonts w:ascii="TimesNewRomanPSMT" w:hAnsi="TimesNewRomanPSMT" w:cs="TimesNewRomanPSMT"/>
        </w:rPr>
        <w:tab/>
      </w:r>
    </w:p>
    <w:p w:rsidR="00BB72FB" w:rsidRPr="008573C5" w:rsidRDefault="006E22C9" w:rsidP="00BB72FB">
      <w:pPr>
        <w:autoSpaceDE w:val="0"/>
        <w:autoSpaceDN w:val="0"/>
        <w:adjustRightInd w:val="0"/>
        <w:spacing w:line="360" w:lineRule="auto"/>
        <w:jc w:val="both"/>
        <w:rPr>
          <w:rFonts w:ascii="TimesNewRomanPSMT" w:hAnsi="TimesNewRomanPSMT" w:cs="TimesNewRomanPSMT"/>
        </w:rPr>
      </w:pPr>
      <w:r>
        <w:rPr>
          <w:rFonts w:ascii="TimesNewRomanPSMT" w:hAnsi="TimesNewRomanPSMT" w:cs="TimesNewRomanPSMT"/>
          <w:noProof/>
        </w:rPr>
        <w:pict>
          <v:shape id="_x0000_s72498" type="#_x0000_t32" style="position:absolute;left:0;text-align:left;margin-left:-12pt;margin-top:34.9pt;width:56.75pt;height:21.15pt;flip:x y;z-index:251718656" o:connectortype="straight">
            <v:stroke endarrow="block"/>
          </v:shape>
        </w:pict>
      </w:r>
      <w:r>
        <w:rPr>
          <w:rFonts w:ascii="TimesNewRomanPSMT" w:hAnsi="TimesNewRomanPSMT" w:cs="TimesNewRomanPSMT"/>
          <w:noProof/>
        </w:rPr>
        <w:pict>
          <v:shape id="_x0000_s72508" type="#_x0000_t32" style="position:absolute;left:0;text-align:left;margin-left:-171.85pt;margin-top:44.9pt;width:48.3pt;height:78.15pt;flip:y;z-index:251728896" o:connectortype="straight">
            <v:stroke endarrow="block"/>
          </v:shape>
        </w:pict>
      </w:r>
      <w:r>
        <w:rPr>
          <w:rFonts w:ascii="TimesNewRomanPSMT" w:hAnsi="TimesNewRomanPSMT" w:cs="TimesNewRomanPSMT"/>
          <w:noProof/>
        </w:rPr>
        <w:pict>
          <v:shape id="_x0000_s72507" type="#_x0000_t32" style="position:absolute;left:0;text-align:left;margin-left:-169.7pt;margin-top:12.95pt;width:46.15pt;height:0;z-index:251727872" o:connectortype="straight">
            <v:stroke endarrow="block"/>
          </v:shape>
        </w:pict>
      </w:r>
      <w:r>
        <w:rPr>
          <w:rFonts w:ascii="TimesNewRomanPSMT" w:hAnsi="TimesNewRomanPSMT" w:cs="TimesNewRomanPSMT"/>
          <w:noProof/>
        </w:rPr>
        <w:pict>
          <v:shape id="_x0000_s72502" type="#_x0000_t32" style="position:absolute;left:0;text-align:left;margin-left:-299.35pt;margin-top:44.9pt;width:44.8pt;height:82.35pt;flip:x y;z-index:251722752" o:connectortype="straight">
            <v:stroke endarrow="block"/>
          </v:shape>
        </w:pict>
      </w:r>
      <w:r>
        <w:rPr>
          <w:rFonts w:ascii="TimesNewRomanPSMT" w:hAnsi="TimesNewRomanPSMT" w:cs="TimesNewRomanPSMT"/>
          <w:noProof/>
        </w:rPr>
        <w:pict>
          <v:shape id="_x0000_s72496" type="#_x0000_t32" style="position:absolute;left:0;text-align:left;margin-left:-283.35pt;margin-top:12.95pt;width:28.8pt;height:0;flip:x;z-index:251716608" o:connectortype="straight">
            <v:stroke endarrow="block"/>
          </v:shape>
        </w:pict>
      </w:r>
      <w:r>
        <w:rPr>
          <w:rFonts w:ascii="TimesNewRomanPSMT" w:hAnsi="TimesNewRomanPSMT" w:cs="TimesNewRomanPSMT"/>
          <w:noProof/>
        </w:rPr>
        <w:pict>
          <v:shape id="_x0000_s72497" type="#_x0000_t32" style="position:absolute;left:0;text-align:left;margin-left:-12pt;margin-top:44.9pt;width:52.45pt;height:44.25pt;flip:x y;z-index:251717632" o:connectortype="straight">
            <v:stroke endarrow="block"/>
          </v:shape>
        </w:pict>
      </w:r>
      <w:r>
        <w:rPr>
          <w:rFonts w:ascii="TimesNewRomanPSMT" w:hAnsi="TimesNewRomanPSMT" w:cs="TimesNewRomanPSMT"/>
          <w:noProof/>
        </w:rPr>
        <w:pict>
          <v:shape id="_x0000_s72499" type="#_x0000_t32" style="position:absolute;left:0;text-align:left;margin-left:-12pt;margin-top:56.05pt;width:56.75pt;height:76.2pt;flip:x y;z-index:251719680" o:connectortype="straight">
            <v:stroke endarrow="block"/>
          </v:shape>
        </w:pict>
      </w:r>
      <w:r>
        <w:rPr>
          <w:rFonts w:ascii="TimesNewRomanPSMT" w:hAnsi="TimesNewRomanPSMT" w:cs="TimesNewRomanPSMT"/>
          <w:noProof/>
        </w:rPr>
        <w:pict>
          <v:shape id="_x0000_s72501" type="#_x0000_t32" style="position:absolute;left:0;text-align:left;margin-left:-12pt;margin-top:22.9pt;width:52.45pt;height:0;flip:x;z-index:251721728" o:connectortype="straight">
            <v:stroke endarrow="block"/>
          </v:shape>
        </w:pict>
      </w:r>
      <w:r>
        <w:rPr>
          <w:rFonts w:ascii="TimesNewRomanPSMT" w:hAnsi="TimesNewRomanPSMT" w:cs="TimesNewRomanPSMT"/>
          <w:noProof/>
        </w:rPr>
        <w:pict>
          <v:shape id="_x0000_s72500" type="#_x0000_t202" style="position:absolute;left:0;text-align:left;margin-left:44.75pt;margin-top:44.9pt;width:114.75pt;height:22.9pt;z-index:251720704">
            <v:textbox style="mso-next-textbox:#_x0000_s72500">
              <w:txbxContent>
                <w:p w:rsidR="00CB6FAE" w:rsidRDefault="00CB6FAE" w:rsidP="00BB72FB">
                  <w:r>
                    <w:t>Industry type</w:t>
                  </w:r>
                </w:p>
              </w:txbxContent>
            </v:textbox>
          </v:shape>
        </w:pict>
      </w:r>
      <w:r>
        <w:rPr>
          <w:rFonts w:ascii="TimesNewRomanPSMT" w:hAnsi="TimesNewRomanPSMT" w:cs="TimesNewRomanPSMT"/>
          <w:noProof/>
        </w:rPr>
        <w:pict>
          <v:shape id="_x0000_s72476" type="#_x0000_t202" style="position:absolute;left:0;text-align:left;margin-left:44.75pt;margin-top:12pt;width:114.75pt;height:22.9pt;z-index:251696128">
            <v:textbox style="mso-next-textbox:#_x0000_s72476">
              <w:txbxContent>
                <w:p w:rsidR="00CB6FAE" w:rsidRDefault="00CB6FAE" w:rsidP="00BB72FB">
                  <w:r>
                    <w:t>Leverage</w:t>
                  </w:r>
                </w:p>
              </w:txbxContent>
            </v:textbox>
          </v:shape>
        </w:pict>
      </w:r>
      <w:r w:rsidRPr="006E22C9">
        <w:rPr>
          <w:rFonts w:ascii="TimesNewRomanPSMT" w:hAnsi="TimesNewRomanPSMT" w:cs="TimesNewRomanPSMT"/>
          <w:i/>
          <w:noProof/>
        </w:rPr>
        <w:pict>
          <v:oval id="_x0000_s72475" style="position:absolute;left:0;text-align:left;margin-left:-65.4pt;margin-top:189pt;width:82.7pt;height:82.7pt;z-index:-25162137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72475" inset=".72pt,.72pt,.72pt,.72pt">
              <w:txbxContent>
                <w:p w:rsidR="00CB6FAE" w:rsidRDefault="00CB6FAE" w:rsidP="00BB72FB">
                  <w:pPr>
                    <w:rPr>
                      <w:szCs w:val="28"/>
                    </w:rPr>
                  </w:pPr>
                  <w:r>
                    <w:rPr>
                      <w:szCs w:val="28"/>
                    </w:rPr>
                    <w:t>Overall</w:t>
                  </w:r>
                </w:p>
                <w:p w:rsidR="00CB6FAE" w:rsidRPr="00153DBC" w:rsidRDefault="00CB6FAE" w:rsidP="00BB72FB">
                  <w:pPr>
                    <w:rPr>
                      <w:szCs w:val="28"/>
                    </w:rPr>
                  </w:pPr>
                  <w:r>
                    <w:rPr>
                      <w:szCs w:val="28"/>
                    </w:rPr>
                    <w:t>Disclosure Index</w:t>
                  </w:r>
                </w:p>
              </w:txbxContent>
            </v:textbox>
            <w10:wrap type="tight" anchorx="margin" anchory="margin"/>
          </v:oval>
        </w:pict>
      </w:r>
      <w:r>
        <w:rPr>
          <w:rFonts w:ascii="TimesNewRomanPSMT" w:hAnsi="TimesNewRomanPSMT" w:cs="TimesNewRomanPSMT"/>
          <w:noProof/>
        </w:rPr>
        <w:pict>
          <v:shape id="_x0000_s72482" type="#_x0000_t202" style="position:absolute;left:0;text-align:left;margin-left:213.3pt;margin-top:0;width:114.75pt;height:22.9pt;z-index:251702272">
            <v:textbox style="mso-next-textbox:#_x0000_s72482">
              <w:txbxContent>
                <w:p w:rsidR="00CB6FAE" w:rsidRDefault="00CB6FAE" w:rsidP="00BB72FB">
                  <w:r>
                    <w:t>Leverage</w:t>
                  </w:r>
                </w:p>
              </w:txbxContent>
            </v:textbox>
          </v:shape>
        </w:pict>
      </w:r>
      <w:r>
        <w:rPr>
          <w:rFonts w:ascii="TimesNewRomanPSMT" w:hAnsi="TimesNewRomanPSMT" w:cs="TimesNewRomanPSMT"/>
          <w:noProof/>
          <w:lang w:eastAsia="zh-TW"/>
        </w:rPr>
        <w:pict>
          <v:shape id="_x0000_s72473" type="#_x0000_t202" style="position:absolute;left:0;text-align:left;margin-left:291.75pt;margin-top:203.5pt;width:106.95pt;height:182.05pt;z-index:251693056;mso-position-horizontal-relative:page;mso-position-vertical-relative:page;mso-width-relative:margin;v-text-anchor:middle" o:allowincell="f" filled="f" strokecolor="#622423 [1605]" strokeweight="6pt">
            <v:stroke linestyle="thickThin"/>
            <v:textbox style="mso-next-textbox:#_x0000_s72473" inset="10.8pt,7.2pt,10.8pt,7.2pt">
              <w:txbxContent>
                <w:p w:rsidR="00CB6FAE" w:rsidRPr="00421759" w:rsidRDefault="00CB6FAE" w:rsidP="00BB72FB">
                  <w:pPr>
                    <w:spacing w:line="360" w:lineRule="auto"/>
                    <w:jc w:val="center"/>
                    <w:rPr>
                      <w:rFonts w:asciiTheme="majorHAnsi" w:eastAsiaTheme="majorEastAsia" w:hAnsiTheme="majorHAnsi" w:cstheme="majorBidi"/>
                      <w:i/>
                      <w:iCs/>
                      <w:sz w:val="28"/>
                      <w:szCs w:val="28"/>
                    </w:rPr>
                  </w:pPr>
                  <w:r w:rsidRPr="00421759">
                    <w:rPr>
                      <w:rFonts w:asciiTheme="majorHAnsi" w:eastAsiaTheme="majorEastAsia" w:hAnsiTheme="majorHAnsi" w:cstheme="majorBidi"/>
                      <w:i/>
                      <w:iCs/>
                      <w:sz w:val="28"/>
                      <w:szCs w:val="28"/>
                    </w:rPr>
                    <w:t>Corporate Disclosure</w:t>
                  </w:r>
                </w:p>
                <w:p w:rsidR="00CB6FAE" w:rsidRDefault="00CB6FAE" w:rsidP="00BB72FB">
                  <w:pPr>
                    <w:spacing w:line="360" w:lineRule="auto"/>
                    <w:jc w:val="center"/>
                    <w:rPr>
                      <w:rFonts w:asciiTheme="majorHAnsi" w:eastAsiaTheme="majorEastAsia" w:hAnsiTheme="majorHAnsi" w:cstheme="majorBidi"/>
                      <w:i/>
                      <w:iCs/>
                      <w:sz w:val="28"/>
                      <w:szCs w:val="28"/>
                    </w:rPr>
                  </w:pPr>
                  <w:r w:rsidRPr="00421759">
                    <w:rPr>
                      <w:rFonts w:asciiTheme="majorHAnsi" w:eastAsiaTheme="majorEastAsia" w:hAnsiTheme="majorHAnsi" w:cstheme="majorBidi"/>
                      <w:i/>
                      <w:iCs/>
                      <w:sz w:val="28"/>
                      <w:szCs w:val="28"/>
                    </w:rPr>
                    <w:t>Practices</w:t>
                  </w:r>
                  <w:r>
                    <w:rPr>
                      <w:rFonts w:asciiTheme="majorHAnsi" w:eastAsiaTheme="majorEastAsia" w:hAnsiTheme="majorHAnsi" w:cstheme="majorBidi"/>
                      <w:i/>
                      <w:iCs/>
                      <w:sz w:val="28"/>
                      <w:szCs w:val="28"/>
                    </w:rPr>
                    <w:t xml:space="preserve"> </w:t>
                  </w:r>
                </w:p>
                <w:p w:rsidR="00CB6FAE" w:rsidRDefault="00CB6FAE" w:rsidP="00BB72FB"/>
              </w:txbxContent>
            </v:textbox>
            <w10:wrap type="square" anchorx="page" anchory="page"/>
          </v:shape>
        </w:pict>
      </w:r>
      <w:r w:rsidR="00BB72FB" w:rsidRPr="008573C5">
        <w:rPr>
          <w:rFonts w:ascii="TimesNewRomanPSMT" w:hAnsi="TimesNewRomanPSMT" w:cs="TimesNewRomanPSMT"/>
        </w:rPr>
        <w:tab/>
      </w:r>
      <w:r w:rsidR="00BB72FB" w:rsidRPr="008573C5">
        <w:rPr>
          <w:rFonts w:ascii="TimesNewRomanPSMT" w:hAnsi="TimesNewRomanPSMT" w:cs="TimesNewRomanPSMT"/>
        </w:rPr>
        <w:tab/>
      </w:r>
      <w:r w:rsidR="00BB72FB" w:rsidRPr="008573C5">
        <w:rPr>
          <w:rFonts w:ascii="TimesNewRomanPSMT" w:hAnsi="TimesNewRomanPSMT" w:cs="TimesNewRomanPSMT"/>
        </w:rPr>
        <w:tab/>
      </w:r>
      <w:r w:rsidR="00BB72FB" w:rsidRPr="008573C5">
        <w:rPr>
          <w:rFonts w:ascii="TimesNewRomanPSMT" w:hAnsi="TimesNewRomanPSMT" w:cs="TimesNewRomanPSMT"/>
        </w:rPr>
        <w:tab/>
      </w:r>
      <w:r w:rsidR="00BB72FB" w:rsidRPr="008573C5">
        <w:rPr>
          <w:rFonts w:ascii="TimesNewRomanPSMT" w:hAnsi="TimesNewRomanPSMT" w:cs="TimesNewRomanPSMT"/>
        </w:rPr>
        <w:tab/>
      </w:r>
      <w:r w:rsidR="00BB72FB" w:rsidRPr="008573C5">
        <w:rPr>
          <w:rFonts w:ascii="TimesNewRomanPSMT" w:hAnsi="TimesNewRomanPSMT" w:cs="TimesNewRomanPSMT"/>
        </w:rPr>
        <w:tab/>
      </w:r>
      <w:r w:rsidR="00BB72FB" w:rsidRPr="008573C5">
        <w:rPr>
          <w:rFonts w:ascii="TimesNewRomanPSMT" w:hAnsi="TimesNewRomanPSMT" w:cs="TimesNewRomanPSMT"/>
        </w:rPr>
        <w:tab/>
      </w:r>
    </w:p>
    <w:p w:rsidR="00BB72FB" w:rsidRPr="008573C5" w:rsidRDefault="006E22C9" w:rsidP="00BB72FB">
      <w:pPr>
        <w:autoSpaceDE w:val="0"/>
        <w:autoSpaceDN w:val="0"/>
        <w:adjustRightInd w:val="0"/>
        <w:spacing w:line="360" w:lineRule="auto"/>
        <w:jc w:val="both"/>
        <w:rPr>
          <w:rFonts w:ascii="TimesNewRomanPSMT" w:hAnsi="TimesNewRomanPSMT" w:cs="TimesNewRomanPSMT"/>
        </w:rPr>
      </w:pPr>
      <w:r>
        <w:rPr>
          <w:rFonts w:ascii="TimesNewRomanPSMT" w:hAnsi="TimesNewRomanPSMT" w:cs="TimesNewRomanPSMT"/>
          <w:noProof/>
        </w:rPr>
        <w:pict>
          <v:shape id="_x0000_s72478" type="#_x0000_t202" style="position:absolute;left:0;text-align:left;margin-left:347.45pt;margin-top:19.9pt;width:114.75pt;height:22.9pt;z-index:251698176">
            <v:textbox style="mso-next-textbox:#_x0000_s72478">
              <w:txbxContent>
                <w:p w:rsidR="00CB6FAE" w:rsidRDefault="00CB6FAE" w:rsidP="00BB72FB">
                  <w:r>
                    <w:t>Auditor Size</w:t>
                  </w:r>
                </w:p>
              </w:txbxContent>
            </v:textbox>
          </v:shape>
        </w:pict>
      </w:r>
    </w:p>
    <w:p w:rsidR="00BB72FB" w:rsidRPr="008573C5" w:rsidRDefault="00BB72FB" w:rsidP="00BB72FB">
      <w:pPr>
        <w:autoSpaceDE w:val="0"/>
        <w:autoSpaceDN w:val="0"/>
        <w:adjustRightInd w:val="0"/>
        <w:spacing w:line="360" w:lineRule="auto"/>
        <w:jc w:val="both"/>
        <w:rPr>
          <w:rFonts w:ascii="TimesNewRomanPSMT" w:hAnsi="TimesNewRomanPSMT" w:cs="TimesNewRomanPSMT"/>
        </w:rPr>
      </w:pPr>
      <w:r w:rsidRPr="008573C5">
        <w:rPr>
          <w:rFonts w:ascii="TimesNewRomanPSMT" w:hAnsi="TimesNewRomanPSMT" w:cs="TimesNewRomanPSMT"/>
        </w:rPr>
        <w:tab/>
      </w:r>
      <w:r w:rsidRPr="008573C5">
        <w:rPr>
          <w:rFonts w:ascii="TimesNewRomanPSMT" w:hAnsi="TimesNewRomanPSMT" w:cs="TimesNewRomanPSMT"/>
        </w:rPr>
        <w:tab/>
      </w:r>
      <w:r w:rsidRPr="008573C5">
        <w:rPr>
          <w:rFonts w:ascii="TimesNewRomanPSMT" w:hAnsi="TimesNewRomanPSMT" w:cs="TimesNewRomanPSMT"/>
        </w:rPr>
        <w:tab/>
      </w:r>
      <w:r w:rsidRPr="008573C5">
        <w:rPr>
          <w:rFonts w:ascii="TimesNewRomanPSMT" w:hAnsi="TimesNewRomanPSMT" w:cs="TimesNewRomanPSMT"/>
        </w:rPr>
        <w:tab/>
      </w:r>
      <w:r w:rsidRPr="008573C5">
        <w:rPr>
          <w:rFonts w:ascii="TimesNewRomanPSMT" w:hAnsi="TimesNewRomanPSMT" w:cs="TimesNewRomanPSMT"/>
        </w:rPr>
        <w:tab/>
      </w:r>
      <w:r w:rsidRPr="008573C5">
        <w:rPr>
          <w:rFonts w:ascii="TimesNewRomanPSMT" w:hAnsi="TimesNewRomanPSMT" w:cs="TimesNewRomanPSMT"/>
        </w:rPr>
        <w:tab/>
      </w:r>
    </w:p>
    <w:p w:rsidR="00BB72FB" w:rsidRPr="008573C5" w:rsidRDefault="006E22C9" w:rsidP="00BB72FB">
      <w:pPr>
        <w:autoSpaceDE w:val="0"/>
        <w:autoSpaceDN w:val="0"/>
        <w:adjustRightInd w:val="0"/>
        <w:spacing w:line="360" w:lineRule="auto"/>
        <w:jc w:val="both"/>
        <w:rPr>
          <w:rFonts w:ascii="TimesNewRomanPSMT" w:hAnsi="TimesNewRomanPSMT" w:cs="TimesNewRomanPSMT"/>
        </w:rPr>
      </w:pPr>
      <w:r>
        <w:rPr>
          <w:rFonts w:ascii="TimesNewRomanPSMT" w:hAnsi="TimesNewRomanPSMT" w:cs="TimesNewRomanPSMT"/>
          <w:noProof/>
        </w:rPr>
        <w:pict>
          <v:shape id="_x0000_s72479" type="#_x0000_t202" style="position:absolute;left:0;text-align:left;margin-left:347.45pt;margin-top:4.9pt;width:114.75pt;height:22.9pt;z-index:251699200">
            <v:textbox style="mso-next-textbox:#_x0000_s72479">
              <w:txbxContent>
                <w:p w:rsidR="00CB6FAE" w:rsidRDefault="00CB6FAE" w:rsidP="00BB72FB">
                  <w:r>
                    <w:t xml:space="preserve">Multinational </w:t>
                  </w:r>
                </w:p>
              </w:txbxContent>
            </v:textbox>
          </v:shape>
        </w:pict>
      </w:r>
    </w:p>
    <w:p w:rsidR="00BB72FB" w:rsidRPr="008573C5" w:rsidRDefault="006E22C9" w:rsidP="00BB72FB">
      <w:pPr>
        <w:autoSpaceDE w:val="0"/>
        <w:autoSpaceDN w:val="0"/>
        <w:adjustRightInd w:val="0"/>
        <w:spacing w:line="360" w:lineRule="auto"/>
        <w:jc w:val="both"/>
        <w:rPr>
          <w:rFonts w:ascii="TimesNewRomanPSMT" w:hAnsi="TimesNewRomanPSMT" w:cs="TimesNewRomanPSMT"/>
        </w:rPr>
      </w:pPr>
      <w:r>
        <w:rPr>
          <w:rFonts w:ascii="TimesNewRomanPSMT" w:hAnsi="TimesNewRomanPSMT" w:cs="TimesNewRomanPSMT"/>
          <w:noProof/>
        </w:rPr>
        <w:pict>
          <v:shape id="_x0000_s72483" type="#_x0000_t32" style="position:absolute;left:0;text-align:left;margin-left:-175.3pt;margin-top:7.1pt;width:50.7pt;height:78.6pt;flip:y;z-index:251703296" o:connectortype="straight">
            <v:stroke endarrow="block"/>
          </v:shape>
        </w:pict>
      </w:r>
      <w:r>
        <w:rPr>
          <w:rFonts w:ascii="TimesNewRomanPSMT" w:hAnsi="TimesNewRomanPSMT" w:cs="TimesNewRomanPSMT"/>
          <w:noProof/>
        </w:rPr>
        <w:pict>
          <v:shape id="_x0000_s72481" type="#_x0000_t32" style="position:absolute;left:0;text-align:left;margin-left:-315.65pt;margin-top:20.05pt;width:57.65pt;height:65.65pt;flip:x y;z-index:251701248" o:connectortype="straight">
            <v:stroke endarrow="block"/>
          </v:shape>
        </w:pict>
      </w:r>
      <w:r w:rsidR="00BB72FB" w:rsidRPr="008573C5">
        <w:rPr>
          <w:rFonts w:ascii="TimesNewRomanPSMT" w:hAnsi="TimesNewRomanPSMT" w:cs="TimesNewRomanPSMT"/>
        </w:rPr>
        <w:tab/>
      </w:r>
      <w:r w:rsidR="00BB72FB" w:rsidRPr="008573C5">
        <w:rPr>
          <w:rFonts w:ascii="TimesNewRomanPSMT" w:hAnsi="TimesNewRomanPSMT" w:cs="TimesNewRomanPSMT"/>
        </w:rPr>
        <w:tab/>
      </w:r>
      <w:r w:rsidR="00BB72FB" w:rsidRPr="008573C5">
        <w:rPr>
          <w:rFonts w:ascii="TimesNewRomanPSMT" w:hAnsi="TimesNewRomanPSMT" w:cs="TimesNewRomanPSMT"/>
        </w:rPr>
        <w:tab/>
      </w:r>
      <w:r w:rsidR="00BB72FB" w:rsidRPr="008573C5">
        <w:rPr>
          <w:rFonts w:ascii="TimesNewRomanPSMT" w:hAnsi="TimesNewRomanPSMT" w:cs="TimesNewRomanPSMT"/>
        </w:rPr>
        <w:tab/>
      </w:r>
      <w:r w:rsidR="00BB72FB" w:rsidRPr="008573C5">
        <w:rPr>
          <w:rFonts w:ascii="TimesNewRomanPSMT" w:hAnsi="TimesNewRomanPSMT" w:cs="TimesNewRomanPSMT"/>
        </w:rPr>
        <w:tab/>
      </w:r>
    </w:p>
    <w:p w:rsidR="00BB72FB" w:rsidRPr="008573C5" w:rsidRDefault="00BB72FB" w:rsidP="00BB72FB">
      <w:pPr>
        <w:autoSpaceDE w:val="0"/>
        <w:autoSpaceDN w:val="0"/>
        <w:adjustRightInd w:val="0"/>
        <w:spacing w:line="360" w:lineRule="auto"/>
        <w:jc w:val="both"/>
        <w:rPr>
          <w:rFonts w:ascii="TimesNewRomanPSMT" w:hAnsi="TimesNewRomanPSMT" w:cs="TimesNewRomanPSMT"/>
          <w:i/>
        </w:rPr>
      </w:pPr>
      <w:r w:rsidRPr="008573C5">
        <w:rPr>
          <w:rFonts w:ascii="TimesNewRomanPSMT" w:hAnsi="TimesNewRomanPSMT" w:cs="TimesNewRomanPSMT"/>
          <w:i/>
        </w:rPr>
        <w:tab/>
      </w:r>
      <w:r w:rsidRPr="008573C5">
        <w:rPr>
          <w:rFonts w:ascii="TimesNewRomanPSMT" w:hAnsi="TimesNewRomanPSMT" w:cs="TimesNewRomanPSMT"/>
          <w:i/>
        </w:rPr>
        <w:tab/>
      </w:r>
      <w:r w:rsidRPr="008573C5">
        <w:rPr>
          <w:rFonts w:ascii="TimesNewRomanPSMT" w:hAnsi="TimesNewRomanPSMT" w:cs="TimesNewRomanPSMT"/>
          <w:i/>
        </w:rPr>
        <w:tab/>
      </w:r>
      <w:r w:rsidRPr="008573C5">
        <w:rPr>
          <w:rFonts w:ascii="TimesNewRomanPSMT" w:hAnsi="TimesNewRomanPSMT" w:cs="TimesNewRomanPSMT"/>
          <w:i/>
        </w:rPr>
        <w:tab/>
      </w:r>
      <w:r w:rsidRPr="008573C5">
        <w:rPr>
          <w:rFonts w:ascii="TimesNewRomanPSMT" w:hAnsi="TimesNewRomanPSMT" w:cs="TimesNewRomanPSMT"/>
          <w:i/>
        </w:rPr>
        <w:tab/>
      </w:r>
      <w:r w:rsidRPr="008573C5">
        <w:rPr>
          <w:rFonts w:ascii="TimesNewRomanPSMT" w:hAnsi="TimesNewRomanPSMT" w:cs="TimesNewRomanPSMT"/>
          <w:i/>
        </w:rPr>
        <w:tab/>
      </w:r>
    </w:p>
    <w:p w:rsidR="00BB72FB" w:rsidRPr="008573C5" w:rsidRDefault="00BB72FB" w:rsidP="00BB72FB">
      <w:pPr>
        <w:autoSpaceDE w:val="0"/>
        <w:autoSpaceDN w:val="0"/>
        <w:adjustRightInd w:val="0"/>
        <w:spacing w:line="360" w:lineRule="auto"/>
        <w:jc w:val="both"/>
        <w:rPr>
          <w:rFonts w:ascii="TimesNewRomanPSMT" w:hAnsi="TimesNewRomanPSMT" w:cs="TimesNewRomanPSMT"/>
        </w:rPr>
      </w:pPr>
      <w:r w:rsidRPr="008573C5">
        <w:rPr>
          <w:rFonts w:ascii="TimesNewRomanPSMT" w:hAnsi="TimesNewRomanPSMT" w:cs="TimesNewRomanPSMT"/>
        </w:rPr>
        <w:tab/>
      </w:r>
      <w:r w:rsidRPr="008573C5">
        <w:rPr>
          <w:rFonts w:ascii="TimesNewRomanPSMT" w:hAnsi="TimesNewRomanPSMT" w:cs="TimesNewRomanPSMT"/>
        </w:rPr>
        <w:tab/>
      </w:r>
      <w:r w:rsidRPr="008573C5">
        <w:rPr>
          <w:rFonts w:ascii="TimesNewRomanPSMT" w:hAnsi="TimesNewRomanPSMT" w:cs="TimesNewRomanPSMT"/>
        </w:rPr>
        <w:tab/>
      </w:r>
    </w:p>
    <w:p w:rsidR="00BB72FB" w:rsidRPr="008573C5" w:rsidRDefault="00BB72FB" w:rsidP="00BB72FB">
      <w:pPr>
        <w:autoSpaceDE w:val="0"/>
        <w:autoSpaceDN w:val="0"/>
        <w:adjustRightInd w:val="0"/>
        <w:spacing w:line="360" w:lineRule="auto"/>
        <w:jc w:val="both"/>
        <w:rPr>
          <w:rFonts w:ascii="TimesNewRomanPSMT" w:hAnsi="TimesNewRomanPSMT" w:cs="TimesNewRomanPSMT"/>
        </w:rPr>
      </w:pPr>
    </w:p>
    <w:p w:rsidR="00BB72FB" w:rsidRPr="008573C5" w:rsidRDefault="00BB72FB" w:rsidP="00BB72FB">
      <w:pPr>
        <w:autoSpaceDE w:val="0"/>
        <w:autoSpaceDN w:val="0"/>
        <w:adjustRightInd w:val="0"/>
        <w:spacing w:line="360" w:lineRule="auto"/>
        <w:jc w:val="both"/>
        <w:rPr>
          <w:rFonts w:ascii="TimesNewRomanPSMT" w:hAnsi="TimesNewRomanPSMT" w:cs="TimesNewRomanPSMT"/>
        </w:rPr>
      </w:pPr>
    </w:p>
    <w:p w:rsidR="00BB72FB" w:rsidRPr="008573C5" w:rsidRDefault="00BB72FB" w:rsidP="00BB72FB">
      <w:pPr>
        <w:autoSpaceDE w:val="0"/>
        <w:autoSpaceDN w:val="0"/>
        <w:adjustRightInd w:val="0"/>
        <w:spacing w:line="360" w:lineRule="auto"/>
        <w:jc w:val="both"/>
        <w:rPr>
          <w:rFonts w:ascii="TimesNewRomanPSMT" w:hAnsi="TimesNewRomanPSMT" w:cs="TimesNewRomanPSMT"/>
        </w:rPr>
      </w:pPr>
      <w:r w:rsidRPr="008573C5">
        <w:rPr>
          <w:rFonts w:ascii="TimesNewRomanPSMT" w:hAnsi="TimesNewRomanPSMT" w:cs="TimesNewRomanPSMT"/>
        </w:rPr>
        <w:tab/>
      </w:r>
      <w:r w:rsidRPr="008573C5">
        <w:rPr>
          <w:rFonts w:ascii="TimesNewRomanPSMT" w:hAnsi="TimesNewRomanPSMT" w:cs="TimesNewRomanPSMT"/>
        </w:rPr>
        <w:tab/>
      </w:r>
      <w:r w:rsidRPr="008573C5">
        <w:rPr>
          <w:rFonts w:ascii="TimesNewRomanPSMT" w:hAnsi="TimesNewRomanPSMT" w:cs="TimesNewRomanPSMT"/>
        </w:rPr>
        <w:tab/>
      </w:r>
      <w:r w:rsidRPr="008573C5">
        <w:rPr>
          <w:rFonts w:ascii="TimesNewRomanPSMT" w:hAnsi="TimesNewRomanPSMT" w:cs="TimesNewRomanPSMT"/>
        </w:rPr>
        <w:tab/>
      </w:r>
      <w:r w:rsidRPr="008573C5">
        <w:rPr>
          <w:rFonts w:ascii="TimesNewRomanPSMT" w:hAnsi="TimesNewRomanPSMT" w:cs="TimesNewRomanPSMT"/>
        </w:rPr>
        <w:tab/>
      </w:r>
      <w:r w:rsidRPr="008573C5">
        <w:rPr>
          <w:rFonts w:ascii="TimesNewRomanPSMT" w:hAnsi="TimesNewRomanPSMT" w:cs="TimesNewRomanPSMT"/>
        </w:rPr>
        <w:tab/>
      </w:r>
    </w:p>
    <w:p w:rsidR="00BB72FB" w:rsidRPr="008573C5" w:rsidRDefault="00BB72FB" w:rsidP="00BB72FB">
      <w:pPr>
        <w:autoSpaceDE w:val="0"/>
        <w:autoSpaceDN w:val="0"/>
        <w:adjustRightInd w:val="0"/>
        <w:spacing w:line="360" w:lineRule="auto"/>
        <w:jc w:val="center"/>
        <w:rPr>
          <w:rFonts w:ascii="Times" w:hAnsi="Times" w:cs="Times"/>
          <w:b/>
        </w:rPr>
      </w:pPr>
      <w:r w:rsidRPr="008573C5">
        <w:rPr>
          <w:rFonts w:ascii="Times" w:hAnsi="Times" w:cs="Times"/>
          <w:b/>
        </w:rPr>
        <w:t>Source: Developed by Researcher (2009)</w:t>
      </w:r>
    </w:p>
    <w:p w:rsidR="00B348D4" w:rsidRPr="008573C5" w:rsidRDefault="00B348D4" w:rsidP="00257E78">
      <w:pPr>
        <w:autoSpaceDE w:val="0"/>
        <w:autoSpaceDN w:val="0"/>
        <w:adjustRightInd w:val="0"/>
        <w:spacing w:line="360" w:lineRule="auto"/>
        <w:jc w:val="both"/>
        <w:rPr>
          <w:b/>
          <w:sz w:val="28"/>
          <w:szCs w:val="28"/>
        </w:rPr>
      </w:pPr>
    </w:p>
    <w:p w:rsidR="00B348D4" w:rsidRPr="008573C5" w:rsidRDefault="00B348D4" w:rsidP="00257E78">
      <w:pPr>
        <w:autoSpaceDE w:val="0"/>
        <w:autoSpaceDN w:val="0"/>
        <w:adjustRightInd w:val="0"/>
        <w:spacing w:line="360" w:lineRule="auto"/>
        <w:jc w:val="both"/>
        <w:rPr>
          <w:b/>
          <w:sz w:val="28"/>
          <w:szCs w:val="28"/>
        </w:rPr>
      </w:pPr>
    </w:p>
    <w:p w:rsidR="00B348D4" w:rsidRPr="008573C5" w:rsidRDefault="00B348D4" w:rsidP="00257E78">
      <w:pPr>
        <w:autoSpaceDE w:val="0"/>
        <w:autoSpaceDN w:val="0"/>
        <w:adjustRightInd w:val="0"/>
        <w:spacing w:line="360" w:lineRule="auto"/>
        <w:jc w:val="both"/>
        <w:rPr>
          <w:b/>
          <w:sz w:val="28"/>
          <w:szCs w:val="28"/>
        </w:rPr>
      </w:pPr>
    </w:p>
    <w:p w:rsidR="00B348D4" w:rsidRPr="008573C5" w:rsidRDefault="00B348D4" w:rsidP="00257E78">
      <w:pPr>
        <w:autoSpaceDE w:val="0"/>
        <w:autoSpaceDN w:val="0"/>
        <w:adjustRightInd w:val="0"/>
        <w:spacing w:line="360" w:lineRule="auto"/>
        <w:jc w:val="both"/>
        <w:rPr>
          <w:b/>
          <w:sz w:val="28"/>
          <w:szCs w:val="28"/>
        </w:rPr>
      </w:pPr>
    </w:p>
    <w:p w:rsidR="00B348D4" w:rsidRPr="008573C5" w:rsidRDefault="00B348D4" w:rsidP="00257E78">
      <w:pPr>
        <w:autoSpaceDE w:val="0"/>
        <w:autoSpaceDN w:val="0"/>
        <w:adjustRightInd w:val="0"/>
        <w:spacing w:line="360" w:lineRule="auto"/>
        <w:jc w:val="both"/>
        <w:rPr>
          <w:b/>
          <w:sz w:val="28"/>
          <w:szCs w:val="28"/>
        </w:rPr>
      </w:pPr>
    </w:p>
    <w:p w:rsidR="00B348D4" w:rsidRPr="008573C5" w:rsidRDefault="00B348D4" w:rsidP="00257E78">
      <w:pPr>
        <w:autoSpaceDE w:val="0"/>
        <w:autoSpaceDN w:val="0"/>
        <w:adjustRightInd w:val="0"/>
        <w:spacing w:line="360" w:lineRule="auto"/>
        <w:jc w:val="both"/>
        <w:rPr>
          <w:b/>
          <w:sz w:val="28"/>
          <w:szCs w:val="28"/>
        </w:rPr>
      </w:pPr>
    </w:p>
    <w:p w:rsidR="005171F5" w:rsidRPr="008573C5" w:rsidRDefault="005171F5" w:rsidP="00C81C0B">
      <w:pPr>
        <w:tabs>
          <w:tab w:val="left" w:pos="7320"/>
        </w:tabs>
        <w:jc w:val="center"/>
        <w:rPr>
          <w:b/>
          <w:sz w:val="28"/>
          <w:szCs w:val="28"/>
        </w:rPr>
      </w:pPr>
    </w:p>
    <w:p w:rsidR="005171F5" w:rsidRPr="008573C5" w:rsidRDefault="005171F5" w:rsidP="00C81C0B">
      <w:pPr>
        <w:tabs>
          <w:tab w:val="left" w:pos="7320"/>
        </w:tabs>
        <w:jc w:val="center"/>
        <w:rPr>
          <w:b/>
          <w:sz w:val="28"/>
          <w:szCs w:val="28"/>
        </w:rPr>
      </w:pPr>
    </w:p>
    <w:p w:rsidR="005171F5" w:rsidRPr="008573C5" w:rsidRDefault="005171F5" w:rsidP="00C81C0B">
      <w:pPr>
        <w:tabs>
          <w:tab w:val="left" w:pos="7320"/>
        </w:tabs>
        <w:jc w:val="center"/>
        <w:rPr>
          <w:b/>
          <w:sz w:val="28"/>
          <w:szCs w:val="28"/>
        </w:rPr>
      </w:pPr>
    </w:p>
    <w:p w:rsidR="005171F5" w:rsidRPr="008573C5" w:rsidRDefault="005171F5" w:rsidP="005171F5">
      <w:pPr>
        <w:tabs>
          <w:tab w:val="left" w:pos="7320"/>
        </w:tabs>
        <w:jc w:val="center"/>
        <w:rPr>
          <w:sz w:val="28"/>
          <w:szCs w:val="28"/>
        </w:rPr>
      </w:pPr>
      <w:r w:rsidRPr="008573C5">
        <w:rPr>
          <w:b/>
          <w:sz w:val="28"/>
          <w:szCs w:val="28"/>
        </w:rPr>
        <w:t xml:space="preserve">Table 2.01: Review of Studies Conducted in Developed and Developing Countries on Mandatory and Voluntary Disclosures </w:t>
      </w:r>
    </w:p>
    <w:p w:rsidR="005171F5" w:rsidRPr="008573C5" w:rsidRDefault="005171F5" w:rsidP="005171F5">
      <w:pPr>
        <w:tabs>
          <w:tab w:val="left" w:pos="7320"/>
        </w:tabs>
        <w:rPr>
          <w:sz w:val="28"/>
          <w:szCs w:val="28"/>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054"/>
        <w:gridCol w:w="1546"/>
        <w:gridCol w:w="3600"/>
        <w:gridCol w:w="1530"/>
      </w:tblGrid>
      <w:tr w:rsidR="005171F5" w:rsidRPr="008573C5" w:rsidTr="004D2BFF">
        <w:tc>
          <w:tcPr>
            <w:tcW w:w="558" w:type="dxa"/>
          </w:tcPr>
          <w:p w:rsidR="005171F5" w:rsidRPr="00FE68B7" w:rsidRDefault="005171F5" w:rsidP="004D2BFF">
            <w:pPr>
              <w:tabs>
                <w:tab w:val="left" w:pos="7320"/>
              </w:tabs>
              <w:rPr>
                <w:rFonts w:eastAsia="Calibri"/>
                <w:b/>
                <w:sz w:val="22"/>
                <w:szCs w:val="22"/>
              </w:rPr>
            </w:pPr>
            <w:r w:rsidRPr="00FE68B7">
              <w:rPr>
                <w:rFonts w:eastAsia="Calibri"/>
                <w:b/>
                <w:sz w:val="22"/>
                <w:szCs w:val="22"/>
              </w:rPr>
              <w:t>S/N</w:t>
            </w:r>
          </w:p>
        </w:tc>
        <w:tc>
          <w:tcPr>
            <w:tcW w:w="2054" w:type="dxa"/>
          </w:tcPr>
          <w:p w:rsidR="005171F5" w:rsidRPr="00FE68B7" w:rsidRDefault="005171F5" w:rsidP="004D2BFF">
            <w:pPr>
              <w:tabs>
                <w:tab w:val="left" w:pos="7320"/>
              </w:tabs>
              <w:rPr>
                <w:rFonts w:eastAsia="Calibri"/>
                <w:b/>
                <w:sz w:val="22"/>
                <w:szCs w:val="22"/>
              </w:rPr>
            </w:pPr>
            <w:r w:rsidRPr="00FE68B7">
              <w:rPr>
                <w:rFonts w:eastAsia="Calibri"/>
                <w:b/>
                <w:sz w:val="22"/>
                <w:szCs w:val="22"/>
              </w:rPr>
              <w:t>Author(s) and Year</w:t>
            </w:r>
          </w:p>
        </w:tc>
        <w:tc>
          <w:tcPr>
            <w:tcW w:w="1546" w:type="dxa"/>
          </w:tcPr>
          <w:p w:rsidR="005171F5" w:rsidRPr="00FE68B7" w:rsidRDefault="005171F5" w:rsidP="004D2BFF">
            <w:pPr>
              <w:tabs>
                <w:tab w:val="left" w:pos="7320"/>
              </w:tabs>
              <w:rPr>
                <w:rFonts w:eastAsia="Calibri"/>
                <w:b/>
                <w:sz w:val="22"/>
                <w:szCs w:val="22"/>
              </w:rPr>
            </w:pPr>
            <w:r w:rsidRPr="00FE68B7">
              <w:rPr>
                <w:rFonts w:eastAsia="Calibri"/>
                <w:b/>
                <w:sz w:val="22"/>
                <w:szCs w:val="22"/>
              </w:rPr>
              <w:t>Country of Study</w:t>
            </w:r>
          </w:p>
        </w:tc>
        <w:tc>
          <w:tcPr>
            <w:tcW w:w="3600" w:type="dxa"/>
          </w:tcPr>
          <w:p w:rsidR="005171F5" w:rsidRPr="00FE68B7" w:rsidRDefault="005171F5" w:rsidP="004D2BFF">
            <w:pPr>
              <w:tabs>
                <w:tab w:val="left" w:pos="7320"/>
              </w:tabs>
              <w:rPr>
                <w:rFonts w:eastAsia="Calibri"/>
                <w:b/>
                <w:sz w:val="22"/>
                <w:szCs w:val="22"/>
              </w:rPr>
            </w:pPr>
            <w:r w:rsidRPr="00FE68B7">
              <w:rPr>
                <w:rFonts w:eastAsia="Calibri"/>
                <w:b/>
                <w:sz w:val="22"/>
                <w:szCs w:val="22"/>
              </w:rPr>
              <w:t>Independent variables/Dependent Variables</w:t>
            </w:r>
          </w:p>
        </w:tc>
        <w:tc>
          <w:tcPr>
            <w:tcW w:w="1530" w:type="dxa"/>
          </w:tcPr>
          <w:p w:rsidR="005171F5" w:rsidRPr="00FE68B7" w:rsidRDefault="005171F5" w:rsidP="004D2BFF">
            <w:pPr>
              <w:tabs>
                <w:tab w:val="left" w:pos="7320"/>
              </w:tabs>
              <w:rPr>
                <w:rFonts w:eastAsia="Calibri"/>
                <w:b/>
                <w:sz w:val="22"/>
                <w:szCs w:val="22"/>
              </w:rPr>
            </w:pPr>
            <w:r w:rsidRPr="00FE68B7">
              <w:rPr>
                <w:rFonts w:eastAsia="Calibri"/>
                <w:b/>
                <w:sz w:val="22"/>
                <w:szCs w:val="22"/>
              </w:rPr>
              <w:t>Data Analysis</w:t>
            </w:r>
          </w:p>
        </w:tc>
      </w:tr>
      <w:tr w:rsidR="005171F5" w:rsidRPr="008573C5" w:rsidTr="004D2BFF">
        <w:tc>
          <w:tcPr>
            <w:tcW w:w="558"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1</w:t>
            </w:r>
          </w:p>
        </w:tc>
        <w:tc>
          <w:tcPr>
            <w:tcW w:w="2054"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Singhvi (1968)</w:t>
            </w:r>
          </w:p>
        </w:tc>
        <w:tc>
          <w:tcPr>
            <w:tcW w:w="1546" w:type="dxa"/>
          </w:tcPr>
          <w:p w:rsidR="005171F5" w:rsidRPr="00CB6FAE" w:rsidRDefault="005171F5" w:rsidP="004D2BFF">
            <w:pPr>
              <w:autoSpaceDE w:val="0"/>
              <w:autoSpaceDN w:val="0"/>
              <w:adjustRightInd w:val="0"/>
              <w:rPr>
                <w:sz w:val="22"/>
                <w:szCs w:val="22"/>
              </w:rPr>
            </w:pPr>
            <w:r w:rsidRPr="00CB6FAE">
              <w:rPr>
                <w:sz w:val="22"/>
                <w:szCs w:val="22"/>
              </w:rPr>
              <w:t>United states and India</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profitability, number of shareholders, type of management</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u w:val="single"/>
              </w:rPr>
            </w:pPr>
            <w:r w:rsidRPr="00CB6FAE">
              <w:rPr>
                <w:rFonts w:eastAsia="Calibri"/>
                <w:sz w:val="22"/>
                <w:szCs w:val="22"/>
              </w:rPr>
              <w:t>Weighted  disclosure index</w:t>
            </w:r>
          </w:p>
        </w:tc>
        <w:tc>
          <w:tcPr>
            <w:tcW w:w="1530" w:type="dxa"/>
          </w:tcPr>
          <w:p w:rsidR="005171F5" w:rsidRPr="00CB6FAE" w:rsidRDefault="005171F5" w:rsidP="004D2BFF">
            <w:pPr>
              <w:tabs>
                <w:tab w:val="left" w:pos="7320"/>
              </w:tabs>
              <w:rPr>
                <w:rFonts w:eastAsia="Calibri"/>
                <w:sz w:val="22"/>
                <w:szCs w:val="22"/>
              </w:rPr>
            </w:pPr>
            <w:r w:rsidRPr="00CB6FAE">
              <w:rPr>
                <w:rFonts w:eastAsia="Calibri"/>
                <w:sz w:val="22"/>
                <w:szCs w:val="22"/>
              </w:rPr>
              <w:t xml:space="preserve">Univariate </w:t>
            </w:r>
          </w:p>
        </w:tc>
      </w:tr>
      <w:tr w:rsidR="005171F5" w:rsidRPr="008573C5" w:rsidTr="004D2BFF">
        <w:tc>
          <w:tcPr>
            <w:tcW w:w="558"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2</w:t>
            </w:r>
          </w:p>
        </w:tc>
        <w:tc>
          <w:tcPr>
            <w:tcW w:w="2054"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Singhvi and Desai(1971)</w:t>
            </w:r>
          </w:p>
        </w:tc>
        <w:tc>
          <w:tcPr>
            <w:tcW w:w="1546" w:type="dxa"/>
          </w:tcPr>
          <w:p w:rsidR="005171F5" w:rsidRPr="00CB6FAE" w:rsidRDefault="005171F5" w:rsidP="004D2BFF">
            <w:pPr>
              <w:autoSpaceDE w:val="0"/>
              <w:autoSpaceDN w:val="0"/>
              <w:adjustRightInd w:val="0"/>
              <w:rPr>
                <w:sz w:val="22"/>
                <w:szCs w:val="22"/>
              </w:rPr>
            </w:pPr>
            <w:r w:rsidRPr="00CB6FAE">
              <w:rPr>
                <w:sz w:val="22"/>
                <w:szCs w:val="22"/>
              </w:rPr>
              <w:t>United states</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listing status, profitability, audit firm, number of shareholders</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u w:val="single"/>
              </w:rPr>
            </w:pPr>
            <w:r w:rsidRPr="00CB6FAE">
              <w:rPr>
                <w:rFonts w:eastAsia="Calibri"/>
                <w:sz w:val="22"/>
                <w:szCs w:val="22"/>
              </w:rPr>
              <w:t>Weighted  disclosure index</w:t>
            </w:r>
          </w:p>
        </w:tc>
        <w:tc>
          <w:tcPr>
            <w:tcW w:w="1530" w:type="dxa"/>
          </w:tcPr>
          <w:p w:rsidR="005171F5" w:rsidRPr="00CB6FAE" w:rsidRDefault="005171F5" w:rsidP="00040C74">
            <w:pPr>
              <w:tabs>
                <w:tab w:val="left" w:pos="7320"/>
              </w:tabs>
              <w:rPr>
                <w:rFonts w:eastAsia="Calibri"/>
                <w:sz w:val="22"/>
                <w:szCs w:val="22"/>
              </w:rPr>
            </w:pPr>
            <w:r w:rsidRPr="00CB6FAE">
              <w:rPr>
                <w:rFonts w:eastAsia="Calibri"/>
                <w:sz w:val="22"/>
                <w:szCs w:val="22"/>
              </w:rPr>
              <w:t xml:space="preserve">Univariate and Linear </w:t>
            </w:r>
            <w:r w:rsidR="00040C74" w:rsidRPr="00CB6FAE">
              <w:rPr>
                <w:rFonts w:eastAsia="Calibri"/>
                <w:sz w:val="22"/>
                <w:szCs w:val="22"/>
              </w:rPr>
              <w:t>R</w:t>
            </w:r>
            <w:r w:rsidRPr="00CB6FAE">
              <w:rPr>
                <w:rFonts w:eastAsia="Calibri"/>
                <w:sz w:val="22"/>
                <w:szCs w:val="22"/>
              </w:rPr>
              <w:t>egression</w:t>
            </w:r>
          </w:p>
        </w:tc>
      </w:tr>
      <w:tr w:rsidR="005171F5" w:rsidRPr="008573C5" w:rsidTr="004D2BFF">
        <w:tc>
          <w:tcPr>
            <w:tcW w:w="558"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3</w:t>
            </w:r>
          </w:p>
        </w:tc>
        <w:tc>
          <w:tcPr>
            <w:tcW w:w="2054"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Buzby(1975)</w:t>
            </w:r>
          </w:p>
        </w:tc>
        <w:tc>
          <w:tcPr>
            <w:tcW w:w="1546" w:type="dxa"/>
          </w:tcPr>
          <w:p w:rsidR="005171F5" w:rsidRPr="00CB6FAE" w:rsidRDefault="005171F5" w:rsidP="004D2BFF">
            <w:pPr>
              <w:autoSpaceDE w:val="0"/>
              <w:autoSpaceDN w:val="0"/>
              <w:adjustRightInd w:val="0"/>
              <w:rPr>
                <w:sz w:val="22"/>
                <w:szCs w:val="22"/>
              </w:rPr>
            </w:pPr>
          </w:p>
          <w:p w:rsidR="005171F5" w:rsidRPr="00CB6FAE" w:rsidRDefault="005171F5" w:rsidP="004D2BFF">
            <w:pPr>
              <w:rPr>
                <w:sz w:val="22"/>
                <w:szCs w:val="22"/>
              </w:rPr>
            </w:pPr>
            <w:r w:rsidRPr="00CB6FAE">
              <w:rPr>
                <w:sz w:val="22"/>
                <w:szCs w:val="22"/>
              </w:rPr>
              <w:t>United States</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listing status</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rPr>
            </w:pPr>
            <w:r w:rsidRPr="00CB6FAE">
              <w:rPr>
                <w:rFonts w:eastAsia="Calibri"/>
                <w:sz w:val="22"/>
                <w:szCs w:val="22"/>
              </w:rPr>
              <w:t>Weighted  disclosure index.</w:t>
            </w:r>
          </w:p>
        </w:tc>
        <w:tc>
          <w:tcPr>
            <w:tcW w:w="1530" w:type="dxa"/>
          </w:tcPr>
          <w:p w:rsidR="005171F5" w:rsidRPr="00CB6FAE" w:rsidRDefault="005171F5" w:rsidP="00040C74">
            <w:pPr>
              <w:tabs>
                <w:tab w:val="left" w:pos="7320"/>
              </w:tabs>
              <w:rPr>
                <w:rFonts w:eastAsia="Calibri"/>
                <w:sz w:val="22"/>
                <w:szCs w:val="22"/>
              </w:rPr>
            </w:pPr>
            <w:r w:rsidRPr="00CB6FAE">
              <w:rPr>
                <w:rFonts w:eastAsia="Calibri"/>
                <w:sz w:val="22"/>
                <w:szCs w:val="22"/>
              </w:rPr>
              <w:t xml:space="preserve">Univariate and </w:t>
            </w:r>
            <w:r w:rsidR="00040C74" w:rsidRPr="00CB6FAE">
              <w:rPr>
                <w:rFonts w:eastAsia="Calibri"/>
                <w:sz w:val="22"/>
                <w:szCs w:val="22"/>
              </w:rPr>
              <w:t>M</w:t>
            </w:r>
            <w:r w:rsidRPr="00CB6FAE">
              <w:rPr>
                <w:rFonts w:eastAsia="Calibri"/>
                <w:sz w:val="22"/>
                <w:szCs w:val="22"/>
              </w:rPr>
              <w:t xml:space="preserve">atched-pair </w:t>
            </w:r>
            <w:r w:rsidR="00040C74" w:rsidRPr="00CB6FAE">
              <w:rPr>
                <w:rFonts w:eastAsia="Calibri"/>
                <w:sz w:val="22"/>
                <w:szCs w:val="22"/>
              </w:rPr>
              <w:t>Ranked C</w:t>
            </w:r>
            <w:r w:rsidRPr="00CB6FAE">
              <w:rPr>
                <w:rFonts w:eastAsia="Calibri"/>
                <w:sz w:val="22"/>
                <w:szCs w:val="22"/>
              </w:rPr>
              <w:t>orrelation</w:t>
            </w:r>
          </w:p>
        </w:tc>
      </w:tr>
      <w:tr w:rsidR="005171F5" w:rsidRPr="008573C5" w:rsidTr="004D2BFF">
        <w:tc>
          <w:tcPr>
            <w:tcW w:w="558"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4</w:t>
            </w:r>
          </w:p>
        </w:tc>
        <w:tc>
          <w:tcPr>
            <w:tcW w:w="2054"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Firth (1979)</w:t>
            </w:r>
          </w:p>
        </w:tc>
        <w:tc>
          <w:tcPr>
            <w:tcW w:w="1546" w:type="dxa"/>
          </w:tcPr>
          <w:p w:rsidR="005171F5" w:rsidRPr="00CB6FAE" w:rsidRDefault="005171F5" w:rsidP="004D2BFF">
            <w:pPr>
              <w:autoSpaceDE w:val="0"/>
              <w:autoSpaceDN w:val="0"/>
              <w:adjustRightInd w:val="0"/>
              <w:rPr>
                <w:sz w:val="22"/>
                <w:szCs w:val="22"/>
              </w:rPr>
            </w:pPr>
            <w:r w:rsidRPr="00CB6FAE">
              <w:rPr>
                <w:sz w:val="22"/>
                <w:szCs w:val="22"/>
              </w:rPr>
              <w:t>United Kingdom</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listing status, audit firm</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u w:val="single"/>
              </w:rPr>
            </w:pPr>
            <w:r w:rsidRPr="00CB6FAE">
              <w:rPr>
                <w:rFonts w:eastAsia="Calibri"/>
                <w:sz w:val="22"/>
                <w:szCs w:val="22"/>
              </w:rPr>
              <w:t>Weighted  disclosure index.</w:t>
            </w:r>
          </w:p>
        </w:tc>
        <w:tc>
          <w:tcPr>
            <w:tcW w:w="1530" w:type="dxa"/>
          </w:tcPr>
          <w:p w:rsidR="005171F5" w:rsidRPr="00CB6FAE" w:rsidRDefault="005171F5" w:rsidP="004D2BFF">
            <w:pPr>
              <w:tabs>
                <w:tab w:val="left" w:pos="7320"/>
              </w:tabs>
              <w:rPr>
                <w:rFonts w:eastAsia="Calibri"/>
                <w:sz w:val="22"/>
                <w:szCs w:val="22"/>
              </w:rPr>
            </w:pPr>
            <w:r w:rsidRPr="00CB6FAE">
              <w:rPr>
                <w:rFonts w:eastAsia="Calibri"/>
                <w:sz w:val="22"/>
                <w:szCs w:val="22"/>
              </w:rPr>
              <w:t>Univariate</w:t>
            </w:r>
          </w:p>
        </w:tc>
      </w:tr>
      <w:tr w:rsidR="005171F5" w:rsidRPr="008573C5" w:rsidTr="004D2BFF">
        <w:tc>
          <w:tcPr>
            <w:tcW w:w="558"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5</w:t>
            </w:r>
          </w:p>
        </w:tc>
        <w:tc>
          <w:tcPr>
            <w:tcW w:w="2054"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McNally et al (1982)</w:t>
            </w:r>
          </w:p>
        </w:tc>
        <w:tc>
          <w:tcPr>
            <w:tcW w:w="1546" w:type="dxa"/>
          </w:tcPr>
          <w:p w:rsidR="005171F5" w:rsidRPr="00CB6FAE" w:rsidRDefault="005171F5" w:rsidP="004D2BFF">
            <w:pPr>
              <w:autoSpaceDE w:val="0"/>
              <w:autoSpaceDN w:val="0"/>
              <w:adjustRightInd w:val="0"/>
              <w:rPr>
                <w:sz w:val="22"/>
                <w:szCs w:val="22"/>
              </w:rPr>
            </w:pPr>
            <w:r w:rsidRPr="00CB6FAE">
              <w:rPr>
                <w:sz w:val="22"/>
                <w:szCs w:val="22"/>
              </w:rPr>
              <w:t>New Zealand</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rate of return, growth, audit firm, industry</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u w:val="single"/>
              </w:rPr>
            </w:pPr>
            <w:r w:rsidRPr="00CB6FAE">
              <w:rPr>
                <w:rFonts w:eastAsia="Calibri"/>
                <w:sz w:val="22"/>
                <w:szCs w:val="22"/>
              </w:rPr>
              <w:t>Weighted  disclosure index.</w:t>
            </w:r>
          </w:p>
        </w:tc>
        <w:tc>
          <w:tcPr>
            <w:tcW w:w="1530" w:type="dxa"/>
          </w:tcPr>
          <w:p w:rsidR="005171F5" w:rsidRPr="00CB6FAE" w:rsidRDefault="005171F5" w:rsidP="004D2BFF">
            <w:pPr>
              <w:tabs>
                <w:tab w:val="left" w:pos="7320"/>
              </w:tabs>
              <w:rPr>
                <w:rFonts w:eastAsia="Calibri"/>
                <w:sz w:val="22"/>
                <w:szCs w:val="22"/>
              </w:rPr>
            </w:pPr>
            <w:r w:rsidRPr="00CB6FAE">
              <w:rPr>
                <w:rFonts w:eastAsia="Calibri"/>
                <w:sz w:val="22"/>
                <w:szCs w:val="22"/>
              </w:rPr>
              <w:t>Univaria</w:t>
            </w:r>
            <w:r w:rsidR="00040C74" w:rsidRPr="00CB6FAE">
              <w:rPr>
                <w:rFonts w:eastAsia="Calibri"/>
                <w:sz w:val="22"/>
                <w:szCs w:val="22"/>
              </w:rPr>
              <w:t>te, Kruskal-Wallis, Rank order C</w:t>
            </w:r>
            <w:r w:rsidRPr="00CB6FAE">
              <w:rPr>
                <w:rFonts w:eastAsia="Calibri"/>
                <w:sz w:val="22"/>
                <w:szCs w:val="22"/>
              </w:rPr>
              <w:t>orrelation</w:t>
            </w:r>
          </w:p>
        </w:tc>
      </w:tr>
      <w:tr w:rsidR="005171F5" w:rsidRPr="008573C5" w:rsidTr="004D2BFF">
        <w:tc>
          <w:tcPr>
            <w:tcW w:w="558"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6</w:t>
            </w:r>
          </w:p>
        </w:tc>
        <w:tc>
          <w:tcPr>
            <w:tcW w:w="2054"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Chow and Wong-Boren (1987)</w:t>
            </w:r>
          </w:p>
        </w:tc>
        <w:tc>
          <w:tcPr>
            <w:tcW w:w="1546" w:type="dxa"/>
          </w:tcPr>
          <w:p w:rsidR="005171F5" w:rsidRPr="00CB6FAE" w:rsidRDefault="005171F5" w:rsidP="004D2BFF">
            <w:pPr>
              <w:autoSpaceDE w:val="0"/>
              <w:autoSpaceDN w:val="0"/>
              <w:adjustRightInd w:val="0"/>
              <w:rPr>
                <w:sz w:val="22"/>
                <w:szCs w:val="22"/>
              </w:rPr>
            </w:pPr>
            <w:r w:rsidRPr="00CB6FAE">
              <w:rPr>
                <w:sz w:val="22"/>
                <w:szCs w:val="22"/>
              </w:rPr>
              <w:t>Mexico</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financial leverage, assets in place.</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rPr>
            </w:pPr>
            <w:r w:rsidRPr="00CB6FAE">
              <w:rPr>
                <w:rFonts w:eastAsia="Calibri"/>
                <w:sz w:val="22"/>
                <w:szCs w:val="22"/>
              </w:rPr>
              <w:t>Weighted and unweighted disclosure index.</w:t>
            </w:r>
          </w:p>
        </w:tc>
        <w:tc>
          <w:tcPr>
            <w:tcW w:w="1530" w:type="dxa"/>
          </w:tcPr>
          <w:p w:rsidR="005171F5" w:rsidRPr="00CB6FAE" w:rsidRDefault="00040C74" w:rsidP="00040C74">
            <w:pPr>
              <w:tabs>
                <w:tab w:val="left" w:pos="7320"/>
              </w:tabs>
              <w:rPr>
                <w:rFonts w:eastAsia="Calibri"/>
                <w:sz w:val="22"/>
                <w:szCs w:val="22"/>
              </w:rPr>
            </w:pPr>
            <w:r w:rsidRPr="00CB6FAE">
              <w:rPr>
                <w:rFonts w:eastAsia="Calibri"/>
                <w:sz w:val="22"/>
                <w:szCs w:val="22"/>
              </w:rPr>
              <w:t>Univariate, Bivariate C</w:t>
            </w:r>
            <w:r w:rsidR="005171F5" w:rsidRPr="00CB6FAE">
              <w:rPr>
                <w:rFonts w:eastAsia="Calibri"/>
                <w:sz w:val="22"/>
                <w:szCs w:val="22"/>
              </w:rPr>
              <w:t xml:space="preserve">orrelation and </w:t>
            </w:r>
            <w:r w:rsidRPr="00CB6FAE">
              <w:rPr>
                <w:rFonts w:eastAsia="Calibri"/>
                <w:sz w:val="22"/>
                <w:szCs w:val="22"/>
              </w:rPr>
              <w:t>M</w:t>
            </w:r>
            <w:r w:rsidR="005171F5" w:rsidRPr="00CB6FAE">
              <w:rPr>
                <w:rFonts w:eastAsia="Calibri"/>
                <w:sz w:val="22"/>
                <w:szCs w:val="22"/>
              </w:rPr>
              <w:t xml:space="preserve">ultiple </w:t>
            </w:r>
            <w:r w:rsidRPr="00CB6FAE">
              <w:rPr>
                <w:rFonts w:eastAsia="Calibri"/>
                <w:sz w:val="22"/>
                <w:szCs w:val="22"/>
              </w:rPr>
              <w:t>R</w:t>
            </w:r>
            <w:r w:rsidR="005171F5" w:rsidRPr="00CB6FAE">
              <w:rPr>
                <w:rFonts w:eastAsia="Calibri"/>
                <w:sz w:val="22"/>
                <w:szCs w:val="22"/>
              </w:rPr>
              <w:t>egression</w:t>
            </w:r>
          </w:p>
        </w:tc>
      </w:tr>
      <w:tr w:rsidR="005171F5" w:rsidRPr="008573C5" w:rsidTr="004D2BFF">
        <w:tc>
          <w:tcPr>
            <w:tcW w:w="558" w:type="dxa"/>
          </w:tcPr>
          <w:p w:rsidR="005171F5" w:rsidRPr="00CB6FAE" w:rsidRDefault="005171F5" w:rsidP="004D2BFF">
            <w:pPr>
              <w:tabs>
                <w:tab w:val="left" w:pos="7320"/>
              </w:tabs>
              <w:rPr>
                <w:rFonts w:eastAsia="Calibri"/>
                <w:sz w:val="22"/>
                <w:szCs w:val="22"/>
              </w:rPr>
            </w:pPr>
            <w:r w:rsidRPr="00CB6FAE">
              <w:rPr>
                <w:rFonts w:eastAsia="Calibri"/>
                <w:sz w:val="22"/>
                <w:szCs w:val="22"/>
              </w:rPr>
              <w:t>7</w:t>
            </w:r>
          </w:p>
        </w:tc>
        <w:tc>
          <w:tcPr>
            <w:tcW w:w="2054" w:type="dxa"/>
          </w:tcPr>
          <w:p w:rsidR="005171F5" w:rsidRPr="00CB6FAE" w:rsidRDefault="005171F5" w:rsidP="004D2BFF">
            <w:pPr>
              <w:tabs>
                <w:tab w:val="left" w:pos="7320"/>
              </w:tabs>
              <w:rPr>
                <w:rFonts w:eastAsia="Calibri"/>
                <w:sz w:val="22"/>
                <w:szCs w:val="22"/>
              </w:rPr>
            </w:pPr>
            <w:r w:rsidRPr="00CB6FAE">
              <w:rPr>
                <w:rFonts w:eastAsia="Calibri"/>
                <w:sz w:val="22"/>
                <w:szCs w:val="22"/>
              </w:rPr>
              <w:t>Wallace (1988)</w:t>
            </w:r>
          </w:p>
        </w:tc>
        <w:tc>
          <w:tcPr>
            <w:tcW w:w="1546" w:type="dxa"/>
          </w:tcPr>
          <w:p w:rsidR="005171F5" w:rsidRPr="00CB6FAE" w:rsidRDefault="005171F5" w:rsidP="004D2BFF">
            <w:pPr>
              <w:autoSpaceDE w:val="0"/>
              <w:autoSpaceDN w:val="0"/>
              <w:adjustRightInd w:val="0"/>
              <w:rPr>
                <w:sz w:val="22"/>
                <w:szCs w:val="22"/>
              </w:rPr>
            </w:pPr>
            <w:r w:rsidRPr="00CB6FAE">
              <w:rPr>
                <w:sz w:val="22"/>
                <w:szCs w:val="22"/>
              </w:rPr>
              <w:t>Nigeria</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Various user groups</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rPr>
            </w:pPr>
            <w:r w:rsidRPr="00CB6FAE">
              <w:rPr>
                <w:rFonts w:eastAsia="Calibri"/>
                <w:sz w:val="22"/>
                <w:szCs w:val="22"/>
              </w:rPr>
              <w:t>Weighted  disclosure index.</w:t>
            </w:r>
          </w:p>
        </w:tc>
        <w:tc>
          <w:tcPr>
            <w:tcW w:w="1530" w:type="dxa"/>
          </w:tcPr>
          <w:p w:rsidR="005171F5" w:rsidRPr="00CB6FAE" w:rsidRDefault="005171F5" w:rsidP="004D2BFF">
            <w:pPr>
              <w:tabs>
                <w:tab w:val="left" w:pos="7320"/>
              </w:tabs>
              <w:rPr>
                <w:rFonts w:eastAsia="Calibri"/>
                <w:sz w:val="22"/>
                <w:szCs w:val="22"/>
              </w:rPr>
            </w:pPr>
            <w:r w:rsidRPr="00CB6FAE">
              <w:rPr>
                <w:rFonts w:eastAsia="Calibri"/>
                <w:sz w:val="22"/>
                <w:szCs w:val="22"/>
              </w:rPr>
              <w:t>Descriptive</w:t>
            </w:r>
          </w:p>
        </w:tc>
      </w:tr>
      <w:tr w:rsidR="005171F5" w:rsidRPr="008573C5" w:rsidTr="004D2BFF">
        <w:tc>
          <w:tcPr>
            <w:tcW w:w="558"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8</w:t>
            </w:r>
          </w:p>
        </w:tc>
        <w:tc>
          <w:tcPr>
            <w:tcW w:w="2054"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Cooke(1989)</w:t>
            </w:r>
          </w:p>
        </w:tc>
        <w:tc>
          <w:tcPr>
            <w:tcW w:w="1546" w:type="dxa"/>
          </w:tcPr>
          <w:p w:rsidR="005171F5" w:rsidRPr="00CB6FAE" w:rsidRDefault="005171F5" w:rsidP="004D2BFF">
            <w:pPr>
              <w:autoSpaceDE w:val="0"/>
              <w:autoSpaceDN w:val="0"/>
              <w:adjustRightInd w:val="0"/>
              <w:rPr>
                <w:sz w:val="22"/>
                <w:szCs w:val="22"/>
              </w:rPr>
            </w:pPr>
            <w:r w:rsidRPr="00CB6FAE">
              <w:rPr>
                <w:sz w:val="22"/>
                <w:szCs w:val="22"/>
              </w:rPr>
              <w:t>Sweden</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listing status, industry and parent company relationship.</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rPr>
            </w:pPr>
            <w:r w:rsidRPr="00CB6FAE">
              <w:rPr>
                <w:rFonts w:eastAsia="Calibri"/>
                <w:sz w:val="22"/>
                <w:szCs w:val="22"/>
              </w:rPr>
              <w:t>Unweighted (equal weight/dichotomous) disclosure index</w:t>
            </w:r>
          </w:p>
        </w:tc>
        <w:tc>
          <w:tcPr>
            <w:tcW w:w="1530" w:type="dxa"/>
          </w:tcPr>
          <w:p w:rsidR="00C35026" w:rsidRPr="00CB6FAE" w:rsidRDefault="00C35026" w:rsidP="00C35026">
            <w:pPr>
              <w:tabs>
                <w:tab w:val="left" w:pos="7320"/>
              </w:tabs>
              <w:rPr>
                <w:rFonts w:eastAsia="Calibri"/>
                <w:sz w:val="22"/>
                <w:szCs w:val="22"/>
              </w:rPr>
            </w:pPr>
            <w:r w:rsidRPr="00CB6FAE">
              <w:rPr>
                <w:rFonts w:eastAsia="Calibri"/>
                <w:sz w:val="22"/>
                <w:szCs w:val="22"/>
              </w:rPr>
              <w:t>Univariate, Linear Regression</w:t>
            </w:r>
          </w:p>
          <w:p w:rsidR="005171F5" w:rsidRPr="00CB6FAE" w:rsidRDefault="00C35026" w:rsidP="00C35026">
            <w:pPr>
              <w:tabs>
                <w:tab w:val="left" w:pos="7320"/>
              </w:tabs>
              <w:rPr>
                <w:rFonts w:eastAsia="Calibri"/>
                <w:sz w:val="22"/>
                <w:szCs w:val="22"/>
              </w:rPr>
            </w:pPr>
            <w:r w:rsidRPr="00CB6FAE">
              <w:rPr>
                <w:rFonts w:eastAsia="Calibri"/>
                <w:sz w:val="22"/>
                <w:szCs w:val="22"/>
              </w:rPr>
              <w:t>S</w:t>
            </w:r>
            <w:r w:rsidR="005171F5" w:rsidRPr="00CB6FAE">
              <w:rPr>
                <w:rFonts w:eastAsia="Calibri"/>
                <w:sz w:val="22"/>
                <w:szCs w:val="22"/>
              </w:rPr>
              <w:t>tepwise</w:t>
            </w:r>
          </w:p>
        </w:tc>
      </w:tr>
      <w:tr w:rsidR="005171F5" w:rsidRPr="008573C5" w:rsidTr="004D2BFF">
        <w:tc>
          <w:tcPr>
            <w:tcW w:w="558"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9</w:t>
            </w:r>
          </w:p>
        </w:tc>
        <w:tc>
          <w:tcPr>
            <w:tcW w:w="2054"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Cooke(1992)</w:t>
            </w:r>
          </w:p>
        </w:tc>
        <w:tc>
          <w:tcPr>
            <w:tcW w:w="1546" w:type="dxa"/>
          </w:tcPr>
          <w:p w:rsidR="005171F5" w:rsidRPr="00CB6FAE" w:rsidRDefault="005171F5" w:rsidP="004D2BFF">
            <w:pPr>
              <w:autoSpaceDE w:val="0"/>
              <w:autoSpaceDN w:val="0"/>
              <w:adjustRightInd w:val="0"/>
              <w:rPr>
                <w:sz w:val="22"/>
                <w:szCs w:val="22"/>
              </w:rPr>
            </w:pPr>
            <w:r w:rsidRPr="00CB6FAE">
              <w:rPr>
                <w:sz w:val="22"/>
                <w:szCs w:val="22"/>
              </w:rPr>
              <w:t>Japan</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listing status, industry.</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rPr>
            </w:pPr>
            <w:r w:rsidRPr="00CB6FAE">
              <w:rPr>
                <w:rFonts w:eastAsia="Calibri"/>
                <w:sz w:val="22"/>
                <w:szCs w:val="22"/>
              </w:rPr>
              <w:t>Unweighted (equal weight/dichotomous) disclosure index</w:t>
            </w:r>
          </w:p>
        </w:tc>
        <w:tc>
          <w:tcPr>
            <w:tcW w:w="1530" w:type="dxa"/>
          </w:tcPr>
          <w:p w:rsidR="005171F5" w:rsidRPr="00CB6FAE" w:rsidRDefault="005171F5" w:rsidP="00C35026">
            <w:pPr>
              <w:tabs>
                <w:tab w:val="left" w:pos="7320"/>
              </w:tabs>
              <w:rPr>
                <w:rFonts w:eastAsia="Calibri"/>
                <w:sz w:val="22"/>
                <w:szCs w:val="22"/>
              </w:rPr>
            </w:pPr>
            <w:r w:rsidRPr="00CB6FAE">
              <w:rPr>
                <w:rFonts w:eastAsia="Calibri"/>
                <w:sz w:val="22"/>
                <w:szCs w:val="22"/>
              </w:rPr>
              <w:t xml:space="preserve">Univariate, </w:t>
            </w:r>
            <w:r w:rsidR="00040C74" w:rsidRPr="00CB6FAE">
              <w:rPr>
                <w:rFonts w:eastAsia="Calibri"/>
                <w:sz w:val="22"/>
                <w:szCs w:val="22"/>
              </w:rPr>
              <w:t xml:space="preserve">Linear </w:t>
            </w:r>
            <w:r w:rsidR="00C35026" w:rsidRPr="00CB6FAE">
              <w:rPr>
                <w:rFonts w:eastAsia="Calibri"/>
                <w:sz w:val="22"/>
                <w:szCs w:val="22"/>
              </w:rPr>
              <w:t>R</w:t>
            </w:r>
            <w:r w:rsidR="00040C74" w:rsidRPr="00CB6FAE">
              <w:rPr>
                <w:rFonts w:eastAsia="Calibri"/>
                <w:sz w:val="22"/>
                <w:szCs w:val="22"/>
              </w:rPr>
              <w:t xml:space="preserve">egression </w:t>
            </w:r>
            <w:r w:rsidR="00C35026" w:rsidRPr="00CB6FAE">
              <w:rPr>
                <w:rFonts w:eastAsia="Calibri"/>
                <w:sz w:val="22"/>
                <w:szCs w:val="22"/>
              </w:rPr>
              <w:t>S</w:t>
            </w:r>
            <w:r w:rsidR="00040C74" w:rsidRPr="00CB6FAE">
              <w:rPr>
                <w:rFonts w:eastAsia="Calibri"/>
                <w:sz w:val="22"/>
                <w:szCs w:val="22"/>
              </w:rPr>
              <w:t>tepwise and F</w:t>
            </w:r>
            <w:r w:rsidRPr="00CB6FAE">
              <w:rPr>
                <w:rFonts w:eastAsia="Calibri"/>
                <w:sz w:val="22"/>
                <w:szCs w:val="22"/>
              </w:rPr>
              <w:t>actor analysis for size variables.</w:t>
            </w:r>
          </w:p>
        </w:tc>
      </w:tr>
      <w:tr w:rsidR="005171F5" w:rsidRPr="008573C5" w:rsidTr="004D2BFF">
        <w:tc>
          <w:tcPr>
            <w:tcW w:w="558"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10</w:t>
            </w:r>
          </w:p>
        </w:tc>
        <w:tc>
          <w:tcPr>
            <w:tcW w:w="2054"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Cooke(1993)</w:t>
            </w:r>
          </w:p>
        </w:tc>
        <w:tc>
          <w:tcPr>
            <w:tcW w:w="1546" w:type="dxa"/>
          </w:tcPr>
          <w:p w:rsidR="005171F5" w:rsidRPr="00CB6FAE" w:rsidRDefault="005171F5" w:rsidP="004D2BFF">
            <w:pPr>
              <w:autoSpaceDE w:val="0"/>
              <w:autoSpaceDN w:val="0"/>
              <w:adjustRightInd w:val="0"/>
              <w:rPr>
                <w:sz w:val="22"/>
                <w:szCs w:val="22"/>
              </w:rPr>
            </w:pPr>
            <w:r w:rsidRPr="00CB6FAE">
              <w:rPr>
                <w:sz w:val="22"/>
                <w:szCs w:val="22"/>
              </w:rPr>
              <w:t>Japan</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Listing status</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rPr>
            </w:pPr>
            <w:r w:rsidRPr="00CB6FAE">
              <w:rPr>
                <w:rFonts w:eastAsia="Calibri"/>
                <w:sz w:val="22"/>
                <w:szCs w:val="22"/>
              </w:rPr>
              <w:t>Unweighted (equal weight/dichotomous) disclosure index</w:t>
            </w:r>
          </w:p>
        </w:tc>
        <w:tc>
          <w:tcPr>
            <w:tcW w:w="1530" w:type="dxa"/>
          </w:tcPr>
          <w:p w:rsidR="005171F5" w:rsidRPr="00CB6FAE" w:rsidRDefault="005171F5" w:rsidP="004D2BFF">
            <w:pPr>
              <w:tabs>
                <w:tab w:val="left" w:pos="7320"/>
              </w:tabs>
              <w:rPr>
                <w:rFonts w:eastAsia="Calibri"/>
                <w:sz w:val="22"/>
                <w:szCs w:val="22"/>
              </w:rPr>
            </w:pPr>
            <w:r w:rsidRPr="00CB6FAE">
              <w:rPr>
                <w:rFonts w:eastAsia="Calibri"/>
                <w:sz w:val="22"/>
                <w:szCs w:val="22"/>
              </w:rPr>
              <w:t>Univariate</w:t>
            </w:r>
          </w:p>
        </w:tc>
      </w:tr>
      <w:tr w:rsidR="005171F5" w:rsidRPr="008573C5" w:rsidTr="004D2BFF">
        <w:tc>
          <w:tcPr>
            <w:tcW w:w="558"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11</w:t>
            </w:r>
          </w:p>
        </w:tc>
        <w:tc>
          <w:tcPr>
            <w:tcW w:w="2054"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Malone et al(1993)</w:t>
            </w:r>
          </w:p>
        </w:tc>
        <w:tc>
          <w:tcPr>
            <w:tcW w:w="1546" w:type="dxa"/>
          </w:tcPr>
          <w:p w:rsidR="005171F5" w:rsidRPr="00CB6FAE" w:rsidRDefault="005171F5" w:rsidP="004D2BFF">
            <w:pPr>
              <w:autoSpaceDE w:val="0"/>
              <w:autoSpaceDN w:val="0"/>
              <w:adjustRightInd w:val="0"/>
              <w:rPr>
                <w:sz w:val="22"/>
                <w:szCs w:val="22"/>
              </w:rPr>
            </w:pPr>
            <w:r w:rsidRPr="00CB6FAE">
              <w:rPr>
                <w:sz w:val="22"/>
                <w:szCs w:val="22"/>
              </w:rPr>
              <w:t>United States of America</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listing status, profitability, leverage, audit firm, number of shareholders</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u w:val="single"/>
              </w:rPr>
            </w:pPr>
            <w:r w:rsidRPr="00CB6FAE">
              <w:rPr>
                <w:rFonts w:eastAsia="Calibri"/>
                <w:sz w:val="22"/>
                <w:szCs w:val="22"/>
              </w:rPr>
              <w:t>Weighted  disclosure index</w:t>
            </w:r>
          </w:p>
        </w:tc>
        <w:tc>
          <w:tcPr>
            <w:tcW w:w="1530" w:type="dxa"/>
          </w:tcPr>
          <w:p w:rsidR="005171F5" w:rsidRPr="00CB6FAE" w:rsidRDefault="00C35026" w:rsidP="004D2BFF">
            <w:pPr>
              <w:tabs>
                <w:tab w:val="left" w:pos="7320"/>
              </w:tabs>
              <w:rPr>
                <w:rFonts w:eastAsia="Calibri"/>
                <w:sz w:val="22"/>
                <w:szCs w:val="22"/>
              </w:rPr>
            </w:pPr>
            <w:r w:rsidRPr="00CB6FAE">
              <w:rPr>
                <w:rFonts w:eastAsia="Calibri"/>
                <w:sz w:val="22"/>
                <w:szCs w:val="22"/>
              </w:rPr>
              <w:t>Stepwise R</w:t>
            </w:r>
            <w:r w:rsidR="005171F5" w:rsidRPr="00CB6FAE">
              <w:rPr>
                <w:rFonts w:eastAsia="Calibri"/>
                <w:sz w:val="22"/>
                <w:szCs w:val="22"/>
              </w:rPr>
              <w:t>egression model</w:t>
            </w:r>
          </w:p>
        </w:tc>
      </w:tr>
      <w:tr w:rsidR="005171F5" w:rsidRPr="008573C5" w:rsidTr="004D2BFF">
        <w:tc>
          <w:tcPr>
            <w:tcW w:w="558"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12</w:t>
            </w:r>
          </w:p>
        </w:tc>
        <w:tc>
          <w:tcPr>
            <w:tcW w:w="2054"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Wallace et al(1994)</w:t>
            </w:r>
          </w:p>
        </w:tc>
        <w:tc>
          <w:tcPr>
            <w:tcW w:w="1546" w:type="dxa"/>
          </w:tcPr>
          <w:p w:rsidR="005171F5" w:rsidRPr="00CB6FAE" w:rsidRDefault="005171F5" w:rsidP="004D2BFF">
            <w:pPr>
              <w:autoSpaceDE w:val="0"/>
              <w:autoSpaceDN w:val="0"/>
              <w:adjustRightInd w:val="0"/>
              <w:rPr>
                <w:sz w:val="22"/>
                <w:szCs w:val="22"/>
              </w:rPr>
            </w:pPr>
            <w:r w:rsidRPr="00CB6FAE">
              <w:rPr>
                <w:sz w:val="22"/>
                <w:szCs w:val="22"/>
              </w:rPr>
              <w:t>Spain</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profitability, listing status, industry, liquidity, audit firm, gearing.</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rPr>
            </w:pPr>
            <w:r w:rsidRPr="00CB6FAE">
              <w:rPr>
                <w:rFonts w:eastAsia="Calibri"/>
                <w:sz w:val="22"/>
                <w:szCs w:val="22"/>
              </w:rPr>
              <w:t>Unweighted (equal weight/dichotomous) disclosure index</w:t>
            </w:r>
          </w:p>
        </w:tc>
        <w:tc>
          <w:tcPr>
            <w:tcW w:w="1530" w:type="dxa"/>
          </w:tcPr>
          <w:p w:rsidR="005171F5" w:rsidRPr="008573C5" w:rsidRDefault="005171F5" w:rsidP="00C35026">
            <w:pPr>
              <w:tabs>
                <w:tab w:val="left" w:pos="7320"/>
              </w:tabs>
              <w:rPr>
                <w:rFonts w:eastAsia="Calibri"/>
                <w:sz w:val="20"/>
                <w:szCs w:val="20"/>
              </w:rPr>
            </w:pPr>
            <w:r w:rsidRPr="008573C5">
              <w:rPr>
                <w:rFonts w:eastAsia="Calibri"/>
                <w:sz w:val="20"/>
                <w:szCs w:val="20"/>
              </w:rPr>
              <w:t xml:space="preserve">Multivariare </w:t>
            </w:r>
            <w:r w:rsidR="00C35026" w:rsidRPr="008573C5">
              <w:rPr>
                <w:rFonts w:eastAsia="Calibri"/>
                <w:sz w:val="20"/>
                <w:szCs w:val="20"/>
              </w:rPr>
              <w:t>Rank OLS R</w:t>
            </w:r>
            <w:r w:rsidRPr="008573C5">
              <w:rPr>
                <w:rFonts w:eastAsia="Calibri"/>
                <w:sz w:val="20"/>
                <w:szCs w:val="20"/>
              </w:rPr>
              <w:t>egresssion</w:t>
            </w:r>
          </w:p>
        </w:tc>
      </w:tr>
      <w:tr w:rsidR="005171F5" w:rsidRPr="008573C5" w:rsidTr="004D2BFF">
        <w:tc>
          <w:tcPr>
            <w:tcW w:w="558"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13</w:t>
            </w:r>
          </w:p>
        </w:tc>
        <w:tc>
          <w:tcPr>
            <w:tcW w:w="2054"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Meek et al(1995)</w:t>
            </w:r>
          </w:p>
        </w:tc>
        <w:tc>
          <w:tcPr>
            <w:tcW w:w="1546" w:type="dxa"/>
          </w:tcPr>
          <w:p w:rsidR="005171F5" w:rsidRPr="00CB6FAE" w:rsidRDefault="005171F5" w:rsidP="004D2BFF">
            <w:pPr>
              <w:autoSpaceDE w:val="0"/>
              <w:autoSpaceDN w:val="0"/>
              <w:adjustRightInd w:val="0"/>
              <w:rPr>
                <w:sz w:val="22"/>
                <w:szCs w:val="22"/>
              </w:rPr>
            </w:pPr>
            <w:r w:rsidRPr="00CB6FAE">
              <w:rPr>
                <w:sz w:val="22"/>
                <w:szCs w:val="22"/>
              </w:rPr>
              <w:t>UK, US, France, Germany, Netherlands</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profitability, country origin, listing status, industry, leverage, multinationality.</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rPr>
            </w:pPr>
            <w:r w:rsidRPr="00CB6FAE">
              <w:rPr>
                <w:rFonts w:eastAsia="Calibri"/>
                <w:sz w:val="22"/>
                <w:szCs w:val="22"/>
              </w:rPr>
              <w:t>Unweighted (equal weight/dichotomous) disclosure index</w:t>
            </w:r>
          </w:p>
        </w:tc>
        <w:tc>
          <w:tcPr>
            <w:tcW w:w="1530" w:type="dxa"/>
          </w:tcPr>
          <w:p w:rsidR="005171F5" w:rsidRPr="008573C5" w:rsidRDefault="00C35026" w:rsidP="00C35026">
            <w:pPr>
              <w:tabs>
                <w:tab w:val="left" w:pos="7320"/>
              </w:tabs>
              <w:rPr>
                <w:rFonts w:eastAsia="Calibri"/>
                <w:sz w:val="20"/>
                <w:szCs w:val="20"/>
              </w:rPr>
            </w:pPr>
            <w:r w:rsidRPr="008573C5">
              <w:rPr>
                <w:rFonts w:eastAsia="Calibri"/>
                <w:sz w:val="20"/>
                <w:szCs w:val="20"/>
              </w:rPr>
              <w:t>Linear Reg</w:t>
            </w:r>
            <w:r w:rsidR="005171F5" w:rsidRPr="008573C5">
              <w:rPr>
                <w:rFonts w:eastAsia="Calibri"/>
                <w:sz w:val="20"/>
                <w:szCs w:val="20"/>
              </w:rPr>
              <w:t>ression  models</w:t>
            </w:r>
          </w:p>
        </w:tc>
      </w:tr>
      <w:tr w:rsidR="005171F5" w:rsidRPr="008573C5" w:rsidTr="004D2BFF">
        <w:tc>
          <w:tcPr>
            <w:tcW w:w="558"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14</w:t>
            </w:r>
          </w:p>
        </w:tc>
        <w:tc>
          <w:tcPr>
            <w:tcW w:w="2054"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Raffournier(1995)</w:t>
            </w:r>
          </w:p>
        </w:tc>
        <w:tc>
          <w:tcPr>
            <w:tcW w:w="1546" w:type="dxa"/>
          </w:tcPr>
          <w:p w:rsidR="005171F5" w:rsidRPr="00CB6FAE" w:rsidRDefault="005171F5" w:rsidP="004D2BFF">
            <w:pPr>
              <w:autoSpaceDE w:val="0"/>
              <w:autoSpaceDN w:val="0"/>
              <w:adjustRightInd w:val="0"/>
              <w:rPr>
                <w:sz w:val="22"/>
                <w:szCs w:val="22"/>
              </w:rPr>
            </w:pPr>
            <w:r w:rsidRPr="00CB6FAE">
              <w:rPr>
                <w:sz w:val="22"/>
                <w:szCs w:val="22"/>
              </w:rPr>
              <w:t>Switzerland</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profitability, ownership structure, internationality, industry, leverage, auditor type</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rPr>
            </w:pPr>
            <w:r w:rsidRPr="00CB6FAE">
              <w:rPr>
                <w:rFonts w:eastAsia="Calibri"/>
                <w:sz w:val="22"/>
                <w:szCs w:val="22"/>
              </w:rPr>
              <w:t>Unweighted (equal weight/dichotomous) disclosure index</w:t>
            </w:r>
          </w:p>
        </w:tc>
        <w:tc>
          <w:tcPr>
            <w:tcW w:w="1530" w:type="dxa"/>
          </w:tcPr>
          <w:p w:rsidR="005171F5" w:rsidRPr="008573C5" w:rsidRDefault="005171F5" w:rsidP="00C35026">
            <w:pPr>
              <w:tabs>
                <w:tab w:val="left" w:pos="7320"/>
              </w:tabs>
              <w:rPr>
                <w:rFonts w:eastAsia="Calibri"/>
                <w:sz w:val="20"/>
                <w:szCs w:val="20"/>
              </w:rPr>
            </w:pPr>
            <w:r w:rsidRPr="008573C5">
              <w:rPr>
                <w:rFonts w:eastAsia="Calibri"/>
                <w:sz w:val="20"/>
                <w:szCs w:val="20"/>
              </w:rPr>
              <w:t>Univariate and Multiple</w:t>
            </w:r>
            <w:r w:rsidR="00C35026" w:rsidRPr="008573C5">
              <w:rPr>
                <w:rFonts w:eastAsia="Calibri"/>
                <w:sz w:val="20"/>
                <w:szCs w:val="20"/>
              </w:rPr>
              <w:t xml:space="preserve"> L</w:t>
            </w:r>
            <w:r w:rsidRPr="008573C5">
              <w:rPr>
                <w:rFonts w:eastAsia="Calibri"/>
                <w:sz w:val="20"/>
                <w:szCs w:val="20"/>
              </w:rPr>
              <w:t xml:space="preserve">linear </w:t>
            </w:r>
            <w:r w:rsidR="00C35026" w:rsidRPr="008573C5">
              <w:rPr>
                <w:rFonts w:eastAsia="Calibri"/>
                <w:sz w:val="20"/>
                <w:szCs w:val="20"/>
              </w:rPr>
              <w:t>R</w:t>
            </w:r>
            <w:r w:rsidRPr="008573C5">
              <w:rPr>
                <w:rFonts w:eastAsia="Calibri"/>
                <w:sz w:val="20"/>
                <w:szCs w:val="20"/>
              </w:rPr>
              <w:t>egression (stepwise)</w:t>
            </w:r>
          </w:p>
        </w:tc>
      </w:tr>
      <w:tr w:rsidR="005171F5" w:rsidRPr="008573C5" w:rsidTr="004D2BFF">
        <w:tc>
          <w:tcPr>
            <w:tcW w:w="558"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15</w:t>
            </w:r>
          </w:p>
        </w:tc>
        <w:tc>
          <w:tcPr>
            <w:tcW w:w="2054"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Wallace and Naser(1995)</w:t>
            </w:r>
          </w:p>
        </w:tc>
        <w:tc>
          <w:tcPr>
            <w:tcW w:w="1546" w:type="dxa"/>
          </w:tcPr>
          <w:p w:rsidR="005171F5" w:rsidRPr="00CB6FAE" w:rsidRDefault="005171F5" w:rsidP="004D2BFF">
            <w:pPr>
              <w:autoSpaceDE w:val="0"/>
              <w:autoSpaceDN w:val="0"/>
              <w:adjustRightInd w:val="0"/>
              <w:rPr>
                <w:sz w:val="22"/>
                <w:szCs w:val="22"/>
              </w:rPr>
            </w:pPr>
            <w:r w:rsidRPr="00CB6FAE">
              <w:rPr>
                <w:sz w:val="22"/>
                <w:szCs w:val="22"/>
              </w:rPr>
              <w:t>Hong Kong</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profitability, scope of business, audit firm, market capitalization, sales, liquidity, earnings return, outside ownership, foreign registered office, gearing</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u w:val="single"/>
              </w:rPr>
            </w:pPr>
            <w:r w:rsidRPr="00CB6FAE">
              <w:rPr>
                <w:rFonts w:eastAsia="Calibri"/>
                <w:sz w:val="22"/>
                <w:szCs w:val="22"/>
              </w:rPr>
              <w:t>Unweighted (equal weight/dichotomous) disclosure index</w:t>
            </w:r>
          </w:p>
        </w:tc>
        <w:tc>
          <w:tcPr>
            <w:tcW w:w="1530" w:type="dxa"/>
          </w:tcPr>
          <w:p w:rsidR="005171F5" w:rsidRPr="008573C5" w:rsidRDefault="005171F5" w:rsidP="00C35026">
            <w:pPr>
              <w:tabs>
                <w:tab w:val="left" w:pos="7320"/>
              </w:tabs>
              <w:rPr>
                <w:rFonts w:eastAsia="Calibri"/>
                <w:sz w:val="20"/>
                <w:szCs w:val="20"/>
              </w:rPr>
            </w:pPr>
            <w:r w:rsidRPr="008573C5">
              <w:rPr>
                <w:rFonts w:eastAsia="Calibri"/>
                <w:sz w:val="20"/>
                <w:szCs w:val="20"/>
              </w:rPr>
              <w:t xml:space="preserve">OLS and </w:t>
            </w:r>
            <w:r w:rsidR="00C35026" w:rsidRPr="008573C5">
              <w:rPr>
                <w:rFonts w:eastAsia="Calibri"/>
                <w:sz w:val="20"/>
                <w:szCs w:val="20"/>
              </w:rPr>
              <w:t>R</w:t>
            </w:r>
            <w:r w:rsidRPr="008573C5">
              <w:rPr>
                <w:rFonts w:eastAsia="Calibri"/>
                <w:sz w:val="20"/>
                <w:szCs w:val="20"/>
              </w:rPr>
              <w:t xml:space="preserve">ank OLS </w:t>
            </w:r>
            <w:r w:rsidR="00C35026" w:rsidRPr="008573C5">
              <w:rPr>
                <w:rFonts w:eastAsia="Calibri"/>
                <w:sz w:val="20"/>
                <w:szCs w:val="20"/>
              </w:rPr>
              <w:t>R</w:t>
            </w:r>
            <w:r w:rsidRPr="008573C5">
              <w:rPr>
                <w:rFonts w:eastAsia="Calibri"/>
                <w:sz w:val="20"/>
                <w:szCs w:val="20"/>
              </w:rPr>
              <w:t>egression</w:t>
            </w:r>
          </w:p>
        </w:tc>
      </w:tr>
      <w:tr w:rsidR="005171F5" w:rsidRPr="008573C5" w:rsidTr="004D2BFF">
        <w:tc>
          <w:tcPr>
            <w:tcW w:w="558"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16</w:t>
            </w:r>
          </w:p>
        </w:tc>
        <w:tc>
          <w:tcPr>
            <w:tcW w:w="2054"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Inchausti(1997)</w:t>
            </w:r>
          </w:p>
        </w:tc>
        <w:tc>
          <w:tcPr>
            <w:tcW w:w="1546" w:type="dxa"/>
          </w:tcPr>
          <w:p w:rsidR="005171F5" w:rsidRPr="00CB6FAE" w:rsidRDefault="005171F5" w:rsidP="004D2BFF">
            <w:pPr>
              <w:autoSpaceDE w:val="0"/>
              <w:autoSpaceDN w:val="0"/>
              <w:adjustRightInd w:val="0"/>
              <w:rPr>
                <w:sz w:val="22"/>
                <w:szCs w:val="22"/>
              </w:rPr>
            </w:pPr>
            <w:r w:rsidRPr="00CB6FAE">
              <w:rPr>
                <w:sz w:val="22"/>
                <w:szCs w:val="22"/>
              </w:rPr>
              <w:t>Spain</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Stock exchange, industry, profitability, leverage, auditing, dividends</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u w:val="single"/>
              </w:rPr>
            </w:pPr>
            <w:r w:rsidRPr="00CB6FAE">
              <w:rPr>
                <w:rFonts w:eastAsia="Calibri"/>
                <w:sz w:val="22"/>
                <w:szCs w:val="22"/>
              </w:rPr>
              <w:t>Unweighted (equal weight/dichotomous) disclosure index</w:t>
            </w:r>
          </w:p>
        </w:tc>
        <w:tc>
          <w:tcPr>
            <w:tcW w:w="1530" w:type="dxa"/>
          </w:tcPr>
          <w:p w:rsidR="005171F5" w:rsidRPr="008573C5" w:rsidRDefault="005171F5" w:rsidP="00C35026">
            <w:pPr>
              <w:tabs>
                <w:tab w:val="left" w:pos="7320"/>
              </w:tabs>
              <w:rPr>
                <w:rFonts w:eastAsia="Calibri"/>
                <w:sz w:val="20"/>
                <w:szCs w:val="20"/>
              </w:rPr>
            </w:pPr>
            <w:r w:rsidRPr="008573C5">
              <w:rPr>
                <w:rFonts w:eastAsia="Calibri"/>
                <w:sz w:val="20"/>
                <w:szCs w:val="20"/>
              </w:rPr>
              <w:t xml:space="preserve">Correlation and </w:t>
            </w:r>
            <w:r w:rsidR="00C35026" w:rsidRPr="008573C5">
              <w:rPr>
                <w:rFonts w:eastAsia="Calibri"/>
                <w:sz w:val="20"/>
                <w:szCs w:val="20"/>
              </w:rPr>
              <w:t>S</w:t>
            </w:r>
            <w:r w:rsidRPr="008573C5">
              <w:rPr>
                <w:rFonts w:eastAsia="Calibri"/>
                <w:sz w:val="20"/>
                <w:szCs w:val="20"/>
              </w:rPr>
              <w:t xml:space="preserve">tepwise </w:t>
            </w:r>
            <w:r w:rsidR="00C35026" w:rsidRPr="008573C5">
              <w:rPr>
                <w:rFonts w:eastAsia="Calibri"/>
                <w:sz w:val="20"/>
                <w:szCs w:val="20"/>
              </w:rPr>
              <w:t>R</w:t>
            </w:r>
            <w:r w:rsidRPr="008573C5">
              <w:rPr>
                <w:rFonts w:eastAsia="Calibri"/>
                <w:sz w:val="20"/>
                <w:szCs w:val="20"/>
              </w:rPr>
              <w:t>egression</w:t>
            </w:r>
          </w:p>
        </w:tc>
      </w:tr>
      <w:tr w:rsidR="005171F5" w:rsidRPr="008573C5" w:rsidTr="004D2BFF">
        <w:tc>
          <w:tcPr>
            <w:tcW w:w="558"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17</w:t>
            </w:r>
          </w:p>
        </w:tc>
        <w:tc>
          <w:tcPr>
            <w:tcW w:w="2054"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Adams and Hossain (1998)</w:t>
            </w:r>
          </w:p>
        </w:tc>
        <w:tc>
          <w:tcPr>
            <w:tcW w:w="1546" w:type="dxa"/>
          </w:tcPr>
          <w:p w:rsidR="005171F5" w:rsidRPr="00CB6FAE" w:rsidRDefault="005171F5" w:rsidP="004D2BFF">
            <w:pPr>
              <w:autoSpaceDE w:val="0"/>
              <w:autoSpaceDN w:val="0"/>
              <w:adjustRightInd w:val="0"/>
              <w:rPr>
                <w:sz w:val="22"/>
                <w:szCs w:val="22"/>
              </w:rPr>
            </w:pPr>
            <w:r w:rsidRPr="00CB6FAE">
              <w:rPr>
                <w:sz w:val="22"/>
                <w:szCs w:val="22"/>
              </w:rPr>
              <w:t>New Zealand</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Stock exchange, industry, profitability, leverage, auditing, dividends</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u w:val="single"/>
              </w:rPr>
            </w:pPr>
            <w:r w:rsidRPr="00CB6FAE">
              <w:rPr>
                <w:rFonts w:eastAsia="Calibri"/>
                <w:sz w:val="22"/>
                <w:szCs w:val="22"/>
              </w:rPr>
              <w:t>Unweighted (equal weight/dichotomous) disclosure index</w:t>
            </w:r>
          </w:p>
        </w:tc>
        <w:tc>
          <w:tcPr>
            <w:tcW w:w="1530" w:type="dxa"/>
          </w:tcPr>
          <w:p w:rsidR="005171F5" w:rsidRPr="008573C5" w:rsidRDefault="00040C74" w:rsidP="004D2BFF">
            <w:pPr>
              <w:tabs>
                <w:tab w:val="left" w:pos="7320"/>
              </w:tabs>
              <w:rPr>
                <w:rFonts w:eastAsia="Calibri"/>
                <w:sz w:val="20"/>
                <w:szCs w:val="20"/>
              </w:rPr>
            </w:pPr>
            <w:r w:rsidRPr="008573C5">
              <w:rPr>
                <w:rFonts w:eastAsia="Calibri"/>
                <w:sz w:val="20"/>
                <w:szCs w:val="20"/>
              </w:rPr>
              <w:t>Regression</w:t>
            </w:r>
          </w:p>
        </w:tc>
      </w:tr>
      <w:tr w:rsidR="005171F5" w:rsidRPr="008573C5" w:rsidTr="004D2BFF">
        <w:tc>
          <w:tcPr>
            <w:tcW w:w="558"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18</w:t>
            </w:r>
          </w:p>
        </w:tc>
        <w:tc>
          <w:tcPr>
            <w:tcW w:w="2054"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Owusu-Ansah (1998)</w:t>
            </w:r>
          </w:p>
        </w:tc>
        <w:tc>
          <w:tcPr>
            <w:tcW w:w="1546" w:type="dxa"/>
          </w:tcPr>
          <w:p w:rsidR="005171F5" w:rsidRPr="00CB6FAE" w:rsidRDefault="005171F5" w:rsidP="004D2BFF">
            <w:pPr>
              <w:autoSpaceDE w:val="0"/>
              <w:autoSpaceDN w:val="0"/>
              <w:adjustRightInd w:val="0"/>
              <w:rPr>
                <w:sz w:val="22"/>
                <w:szCs w:val="22"/>
              </w:rPr>
            </w:pPr>
            <w:r w:rsidRPr="00CB6FAE">
              <w:rPr>
                <w:sz w:val="22"/>
                <w:szCs w:val="22"/>
              </w:rPr>
              <w:t>Zimbabwe</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audit quality, ownership structure, industry type, company age, MNC affiliation, profitability, liquidity</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rPr>
            </w:pPr>
            <w:r w:rsidRPr="00CB6FAE">
              <w:rPr>
                <w:rFonts w:eastAsia="Calibri"/>
                <w:sz w:val="22"/>
                <w:szCs w:val="22"/>
              </w:rPr>
              <w:t>Unweighted (equal weight/dichotomous) disclosure index</w:t>
            </w:r>
          </w:p>
        </w:tc>
        <w:tc>
          <w:tcPr>
            <w:tcW w:w="1530" w:type="dxa"/>
          </w:tcPr>
          <w:p w:rsidR="005171F5" w:rsidRPr="008573C5" w:rsidRDefault="005171F5" w:rsidP="004D2BFF">
            <w:pPr>
              <w:tabs>
                <w:tab w:val="left" w:pos="7320"/>
              </w:tabs>
              <w:rPr>
                <w:rFonts w:eastAsia="Calibri"/>
                <w:sz w:val="20"/>
                <w:szCs w:val="20"/>
              </w:rPr>
            </w:pPr>
            <w:r w:rsidRPr="008573C5">
              <w:rPr>
                <w:rFonts w:eastAsia="Calibri"/>
                <w:sz w:val="20"/>
                <w:szCs w:val="20"/>
              </w:rPr>
              <w:t>OLS</w:t>
            </w:r>
          </w:p>
        </w:tc>
      </w:tr>
      <w:tr w:rsidR="005171F5" w:rsidRPr="008573C5" w:rsidTr="004D2BFF">
        <w:tc>
          <w:tcPr>
            <w:tcW w:w="558"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19</w:t>
            </w:r>
          </w:p>
        </w:tc>
        <w:tc>
          <w:tcPr>
            <w:tcW w:w="2054"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Entwistle(1999)</w:t>
            </w:r>
          </w:p>
        </w:tc>
        <w:tc>
          <w:tcPr>
            <w:tcW w:w="1546" w:type="dxa"/>
          </w:tcPr>
          <w:p w:rsidR="005171F5" w:rsidRPr="00CB6FAE" w:rsidRDefault="005171F5" w:rsidP="004D2BFF">
            <w:pPr>
              <w:autoSpaceDE w:val="0"/>
              <w:autoSpaceDN w:val="0"/>
              <w:adjustRightInd w:val="0"/>
              <w:rPr>
                <w:sz w:val="22"/>
                <w:szCs w:val="22"/>
              </w:rPr>
            </w:pPr>
            <w:r w:rsidRPr="00CB6FAE">
              <w:rPr>
                <w:sz w:val="22"/>
                <w:szCs w:val="22"/>
              </w:rPr>
              <w:t>Canada</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 Variables</w:t>
            </w:r>
          </w:p>
          <w:p w:rsidR="005171F5" w:rsidRPr="00CB6FAE" w:rsidRDefault="005171F5" w:rsidP="004D2BFF">
            <w:pPr>
              <w:rPr>
                <w:sz w:val="22"/>
                <w:szCs w:val="22"/>
              </w:rPr>
            </w:pPr>
            <w:r w:rsidRPr="00CB6FAE">
              <w:rPr>
                <w:sz w:val="22"/>
                <w:szCs w:val="22"/>
              </w:rPr>
              <w:t>R &amp; D expense proportion, capilitalization of R &amp; D, Cross listing status, Size, Industry, Capital structure</w:t>
            </w:r>
          </w:p>
          <w:p w:rsidR="005171F5" w:rsidRPr="00CB6FAE" w:rsidRDefault="005171F5" w:rsidP="004D2BFF">
            <w:pPr>
              <w:rPr>
                <w:sz w:val="22"/>
                <w:szCs w:val="22"/>
              </w:rPr>
            </w:pPr>
          </w:p>
          <w:p w:rsidR="005171F5" w:rsidRPr="00CB6FAE" w:rsidRDefault="005171F5" w:rsidP="004D2BFF">
            <w:pPr>
              <w:rPr>
                <w:sz w:val="22"/>
                <w:szCs w:val="22"/>
                <w:u w:val="single"/>
              </w:rPr>
            </w:pPr>
            <w:r w:rsidRPr="00CB6FAE">
              <w:rPr>
                <w:sz w:val="22"/>
                <w:szCs w:val="22"/>
                <w:u w:val="single"/>
              </w:rPr>
              <w:t>Dependent Variable</w:t>
            </w:r>
          </w:p>
          <w:p w:rsidR="005171F5" w:rsidRPr="00CB6FAE" w:rsidRDefault="005171F5" w:rsidP="004D2BFF">
            <w:pPr>
              <w:rPr>
                <w:rFonts w:eastAsia="Calibri"/>
                <w:sz w:val="22"/>
                <w:szCs w:val="22"/>
              </w:rPr>
            </w:pPr>
            <w:r w:rsidRPr="00CB6FAE">
              <w:rPr>
                <w:rFonts w:eastAsia="Calibri"/>
                <w:sz w:val="22"/>
                <w:szCs w:val="22"/>
              </w:rPr>
              <w:t>Number of sentences</w:t>
            </w:r>
          </w:p>
        </w:tc>
        <w:tc>
          <w:tcPr>
            <w:tcW w:w="1530" w:type="dxa"/>
          </w:tcPr>
          <w:p w:rsidR="005171F5" w:rsidRPr="008573C5" w:rsidRDefault="005171F5" w:rsidP="00C35026">
            <w:pPr>
              <w:tabs>
                <w:tab w:val="left" w:pos="7320"/>
              </w:tabs>
              <w:rPr>
                <w:rFonts w:eastAsia="Calibri"/>
                <w:sz w:val="20"/>
                <w:szCs w:val="20"/>
              </w:rPr>
            </w:pPr>
            <w:r w:rsidRPr="008573C5">
              <w:rPr>
                <w:rFonts w:eastAsia="Calibri"/>
                <w:sz w:val="20"/>
                <w:szCs w:val="20"/>
              </w:rPr>
              <w:t xml:space="preserve">Multiple Linear </w:t>
            </w:r>
            <w:r w:rsidR="00C35026" w:rsidRPr="008573C5">
              <w:rPr>
                <w:rFonts w:eastAsia="Calibri"/>
                <w:sz w:val="20"/>
                <w:szCs w:val="20"/>
              </w:rPr>
              <w:t>R</w:t>
            </w:r>
            <w:r w:rsidRPr="008573C5">
              <w:rPr>
                <w:rFonts w:eastAsia="Calibri"/>
                <w:sz w:val="20"/>
                <w:szCs w:val="20"/>
              </w:rPr>
              <w:t>egression</w:t>
            </w:r>
          </w:p>
        </w:tc>
      </w:tr>
      <w:tr w:rsidR="005171F5" w:rsidRPr="008573C5" w:rsidTr="004D2BFF">
        <w:tc>
          <w:tcPr>
            <w:tcW w:w="558"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20</w:t>
            </w:r>
          </w:p>
        </w:tc>
        <w:tc>
          <w:tcPr>
            <w:tcW w:w="2054" w:type="dxa"/>
          </w:tcPr>
          <w:p w:rsidR="005171F5" w:rsidRPr="00CB6FAE" w:rsidRDefault="005171F5" w:rsidP="004D2BFF">
            <w:pPr>
              <w:tabs>
                <w:tab w:val="left" w:pos="7320"/>
              </w:tabs>
              <w:spacing w:before="240"/>
              <w:rPr>
                <w:rFonts w:eastAsia="Calibri"/>
                <w:sz w:val="22"/>
                <w:szCs w:val="22"/>
              </w:rPr>
            </w:pPr>
            <w:r w:rsidRPr="00CB6FAE">
              <w:rPr>
                <w:rFonts w:eastAsia="Calibri"/>
                <w:sz w:val="22"/>
                <w:szCs w:val="22"/>
              </w:rPr>
              <w:t>Tower et al(1999)</w:t>
            </w:r>
          </w:p>
        </w:tc>
        <w:tc>
          <w:tcPr>
            <w:tcW w:w="1546" w:type="dxa"/>
          </w:tcPr>
          <w:p w:rsidR="005171F5" w:rsidRPr="00CB6FAE" w:rsidRDefault="005171F5" w:rsidP="004D2BFF">
            <w:pPr>
              <w:autoSpaceDE w:val="0"/>
              <w:autoSpaceDN w:val="0"/>
              <w:adjustRightInd w:val="0"/>
              <w:rPr>
                <w:sz w:val="22"/>
                <w:szCs w:val="22"/>
              </w:rPr>
            </w:pPr>
            <w:r w:rsidRPr="00CB6FAE">
              <w:rPr>
                <w:sz w:val="22"/>
                <w:szCs w:val="22"/>
              </w:rPr>
              <w:t>Australia, Hong</w:t>
            </w:r>
          </w:p>
          <w:p w:rsidR="005171F5" w:rsidRPr="00CB6FAE" w:rsidRDefault="005171F5" w:rsidP="004D2BFF">
            <w:pPr>
              <w:tabs>
                <w:tab w:val="left" w:pos="7320"/>
              </w:tabs>
              <w:rPr>
                <w:rFonts w:eastAsia="Calibri"/>
                <w:sz w:val="22"/>
                <w:szCs w:val="22"/>
              </w:rPr>
            </w:pPr>
            <w:r w:rsidRPr="00CB6FAE">
              <w:rPr>
                <w:sz w:val="22"/>
                <w:szCs w:val="22"/>
              </w:rPr>
              <w:t>Kong, Malaysia, Philippines, Singapore and Thailand</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 Variables</w:t>
            </w:r>
          </w:p>
          <w:p w:rsidR="005171F5" w:rsidRPr="00CB6FAE" w:rsidRDefault="005171F5" w:rsidP="004D2BFF">
            <w:pPr>
              <w:rPr>
                <w:sz w:val="22"/>
                <w:szCs w:val="22"/>
              </w:rPr>
            </w:pPr>
            <w:r w:rsidRPr="00CB6FAE">
              <w:rPr>
                <w:sz w:val="22"/>
                <w:szCs w:val="22"/>
              </w:rPr>
              <w:t>Country, Size, Leverage, Profit, Industry, Days</w:t>
            </w:r>
          </w:p>
          <w:p w:rsidR="005171F5" w:rsidRPr="00CB6FAE" w:rsidRDefault="005171F5" w:rsidP="004D2BFF">
            <w:pPr>
              <w:rPr>
                <w:sz w:val="22"/>
                <w:szCs w:val="22"/>
              </w:rPr>
            </w:pPr>
          </w:p>
          <w:p w:rsidR="005171F5" w:rsidRPr="00CB6FAE" w:rsidRDefault="005171F5" w:rsidP="004D2BFF">
            <w:pPr>
              <w:rPr>
                <w:sz w:val="22"/>
                <w:szCs w:val="22"/>
                <w:u w:val="single"/>
              </w:rPr>
            </w:pPr>
            <w:r w:rsidRPr="00CB6FAE">
              <w:rPr>
                <w:sz w:val="22"/>
                <w:szCs w:val="22"/>
                <w:u w:val="single"/>
              </w:rPr>
              <w:t>Dependent Variable</w:t>
            </w:r>
          </w:p>
          <w:p w:rsidR="005171F5" w:rsidRPr="00CB6FAE" w:rsidRDefault="005171F5" w:rsidP="004D2BFF">
            <w:pPr>
              <w:rPr>
                <w:rFonts w:eastAsia="Calibri"/>
                <w:sz w:val="22"/>
                <w:szCs w:val="22"/>
              </w:rPr>
            </w:pPr>
            <w:r w:rsidRPr="00CB6FAE">
              <w:rPr>
                <w:rFonts w:eastAsia="Calibri"/>
                <w:sz w:val="22"/>
                <w:szCs w:val="22"/>
              </w:rPr>
              <w:t>Disclosure ratio</w:t>
            </w:r>
          </w:p>
        </w:tc>
        <w:tc>
          <w:tcPr>
            <w:tcW w:w="1530" w:type="dxa"/>
          </w:tcPr>
          <w:p w:rsidR="005171F5" w:rsidRPr="008573C5" w:rsidRDefault="005171F5" w:rsidP="004D2BFF">
            <w:pPr>
              <w:tabs>
                <w:tab w:val="left" w:pos="7320"/>
              </w:tabs>
              <w:rPr>
                <w:rFonts w:eastAsia="Calibri"/>
                <w:sz w:val="20"/>
                <w:szCs w:val="20"/>
              </w:rPr>
            </w:pPr>
            <w:r w:rsidRPr="008573C5">
              <w:rPr>
                <w:rFonts w:eastAsia="Calibri"/>
                <w:sz w:val="20"/>
                <w:szCs w:val="20"/>
              </w:rPr>
              <w:t>Univariate and General Linear Model</w:t>
            </w:r>
          </w:p>
        </w:tc>
      </w:tr>
      <w:tr w:rsidR="005171F5" w:rsidRPr="008573C5" w:rsidTr="004D2BFF">
        <w:tc>
          <w:tcPr>
            <w:tcW w:w="558" w:type="dxa"/>
          </w:tcPr>
          <w:p w:rsidR="005171F5" w:rsidRPr="00CB6FAE" w:rsidRDefault="005171F5" w:rsidP="004D2BFF">
            <w:pPr>
              <w:tabs>
                <w:tab w:val="left" w:pos="7320"/>
              </w:tabs>
              <w:rPr>
                <w:rFonts w:eastAsia="Calibri"/>
                <w:sz w:val="22"/>
                <w:szCs w:val="22"/>
              </w:rPr>
            </w:pPr>
            <w:r w:rsidRPr="00CB6FAE">
              <w:rPr>
                <w:rFonts w:eastAsia="Calibri"/>
                <w:sz w:val="22"/>
                <w:szCs w:val="22"/>
              </w:rPr>
              <w:t>21</w:t>
            </w:r>
          </w:p>
        </w:tc>
        <w:tc>
          <w:tcPr>
            <w:tcW w:w="2054" w:type="dxa"/>
          </w:tcPr>
          <w:p w:rsidR="005171F5" w:rsidRPr="00CB6FAE" w:rsidRDefault="005171F5" w:rsidP="004D2BFF">
            <w:pPr>
              <w:tabs>
                <w:tab w:val="left" w:pos="7320"/>
              </w:tabs>
              <w:rPr>
                <w:rFonts w:eastAsia="Calibri"/>
                <w:sz w:val="22"/>
                <w:szCs w:val="22"/>
              </w:rPr>
            </w:pPr>
            <w:r w:rsidRPr="00CB6FAE">
              <w:rPr>
                <w:rFonts w:eastAsia="Calibri"/>
                <w:sz w:val="22"/>
                <w:szCs w:val="22"/>
              </w:rPr>
              <w:t>Depoers (2000)</w:t>
            </w:r>
          </w:p>
        </w:tc>
        <w:tc>
          <w:tcPr>
            <w:tcW w:w="1546" w:type="dxa"/>
          </w:tcPr>
          <w:p w:rsidR="005171F5" w:rsidRPr="00CB6FAE" w:rsidRDefault="005171F5" w:rsidP="004D2BFF">
            <w:pPr>
              <w:tabs>
                <w:tab w:val="left" w:pos="7320"/>
              </w:tabs>
              <w:rPr>
                <w:rFonts w:eastAsia="Calibri"/>
                <w:sz w:val="22"/>
                <w:szCs w:val="22"/>
              </w:rPr>
            </w:pPr>
            <w:r w:rsidRPr="00CB6FAE">
              <w:rPr>
                <w:rFonts w:eastAsia="Calibri"/>
                <w:sz w:val="22"/>
                <w:szCs w:val="22"/>
              </w:rPr>
              <w:t>France</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barriers to entry, labour pressure, leverage, ownership structure, audit firm.</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rPr>
            </w:pPr>
            <w:r w:rsidRPr="00CB6FAE">
              <w:rPr>
                <w:rFonts w:eastAsia="Calibri"/>
                <w:sz w:val="22"/>
                <w:szCs w:val="22"/>
              </w:rPr>
              <w:t>Unweighted (equal weight/dichotomous) disclosure index</w:t>
            </w:r>
          </w:p>
        </w:tc>
        <w:tc>
          <w:tcPr>
            <w:tcW w:w="1530" w:type="dxa"/>
          </w:tcPr>
          <w:p w:rsidR="005171F5" w:rsidRPr="008573C5" w:rsidRDefault="005171F5" w:rsidP="00C35026">
            <w:pPr>
              <w:tabs>
                <w:tab w:val="left" w:pos="7320"/>
              </w:tabs>
              <w:rPr>
                <w:rFonts w:eastAsia="Calibri"/>
                <w:sz w:val="20"/>
                <w:szCs w:val="20"/>
              </w:rPr>
            </w:pPr>
            <w:r w:rsidRPr="008573C5">
              <w:rPr>
                <w:rFonts w:eastAsia="Calibri"/>
                <w:sz w:val="20"/>
                <w:szCs w:val="20"/>
              </w:rPr>
              <w:t>Multiple</w:t>
            </w:r>
            <w:r w:rsidR="00C35026" w:rsidRPr="008573C5">
              <w:rPr>
                <w:rFonts w:eastAsia="Calibri"/>
                <w:sz w:val="20"/>
                <w:szCs w:val="20"/>
              </w:rPr>
              <w:t xml:space="preserve"> Linear Regression, S</w:t>
            </w:r>
            <w:r w:rsidRPr="008573C5">
              <w:rPr>
                <w:rFonts w:eastAsia="Calibri"/>
                <w:sz w:val="20"/>
                <w:szCs w:val="20"/>
              </w:rPr>
              <w:t>tepwise OLS</w:t>
            </w:r>
          </w:p>
        </w:tc>
      </w:tr>
      <w:tr w:rsidR="005171F5" w:rsidRPr="008573C5" w:rsidTr="004D2BFF">
        <w:tc>
          <w:tcPr>
            <w:tcW w:w="558" w:type="dxa"/>
          </w:tcPr>
          <w:p w:rsidR="005171F5" w:rsidRPr="00CB6FAE" w:rsidRDefault="005171F5" w:rsidP="004D2BFF">
            <w:pPr>
              <w:tabs>
                <w:tab w:val="left" w:pos="7320"/>
              </w:tabs>
              <w:rPr>
                <w:rFonts w:eastAsia="Calibri"/>
                <w:sz w:val="22"/>
                <w:szCs w:val="22"/>
              </w:rPr>
            </w:pPr>
            <w:r w:rsidRPr="00CB6FAE">
              <w:rPr>
                <w:rFonts w:eastAsia="Calibri"/>
                <w:sz w:val="22"/>
                <w:szCs w:val="22"/>
              </w:rPr>
              <w:t>22</w:t>
            </w:r>
          </w:p>
        </w:tc>
        <w:tc>
          <w:tcPr>
            <w:tcW w:w="2054" w:type="dxa"/>
          </w:tcPr>
          <w:p w:rsidR="005171F5" w:rsidRPr="00CB6FAE" w:rsidRDefault="005171F5" w:rsidP="004D2BFF">
            <w:pPr>
              <w:tabs>
                <w:tab w:val="left" w:pos="7320"/>
              </w:tabs>
              <w:rPr>
                <w:rFonts w:eastAsia="Calibri"/>
                <w:sz w:val="22"/>
                <w:szCs w:val="22"/>
              </w:rPr>
            </w:pPr>
            <w:r w:rsidRPr="00CB6FAE">
              <w:rPr>
                <w:rFonts w:eastAsia="Calibri"/>
                <w:sz w:val="22"/>
                <w:szCs w:val="22"/>
              </w:rPr>
              <w:t>Gray et al (2001)</w:t>
            </w:r>
          </w:p>
        </w:tc>
        <w:tc>
          <w:tcPr>
            <w:tcW w:w="1546" w:type="dxa"/>
          </w:tcPr>
          <w:p w:rsidR="005171F5" w:rsidRPr="00CB6FAE" w:rsidRDefault="005171F5" w:rsidP="004D2BFF">
            <w:pPr>
              <w:tabs>
                <w:tab w:val="left" w:pos="7320"/>
              </w:tabs>
              <w:rPr>
                <w:rFonts w:eastAsia="Calibri"/>
                <w:sz w:val="22"/>
                <w:szCs w:val="22"/>
              </w:rPr>
            </w:pPr>
            <w:r w:rsidRPr="00CB6FAE">
              <w:rPr>
                <w:rFonts w:eastAsia="Calibri"/>
                <w:sz w:val="22"/>
                <w:szCs w:val="22"/>
              </w:rPr>
              <w:t>United Kingdom</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Profit,  turnover, capital employed, industry classification, number of employees.</w:t>
            </w:r>
          </w:p>
          <w:p w:rsidR="005171F5" w:rsidRPr="00CB6FAE" w:rsidRDefault="005171F5" w:rsidP="004D2BFF">
            <w:pPr>
              <w:tabs>
                <w:tab w:val="left" w:pos="7320"/>
              </w:tabs>
              <w:rPr>
                <w:rFonts w:eastAsia="Calibri"/>
                <w:sz w:val="22"/>
                <w:szCs w:val="22"/>
              </w:rPr>
            </w:pP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u w:val="single"/>
              </w:rPr>
            </w:pPr>
            <w:r w:rsidRPr="00CB6FAE">
              <w:rPr>
                <w:rFonts w:eastAsia="Calibri"/>
                <w:sz w:val="22"/>
                <w:szCs w:val="22"/>
              </w:rPr>
              <w:t>Unweighted (equal weight/dichotomous) disclosure index</w:t>
            </w:r>
          </w:p>
        </w:tc>
        <w:tc>
          <w:tcPr>
            <w:tcW w:w="1530" w:type="dxa"/>
          </w:tcPr>
          <w:p w:rsidR="005171F5" w:rsidRPr="008573C5" w:rsidRDefault="00C35026" w:rsidP="004D2BFF">
            <w:pPr>
              <w:tabs>
                <w:tab w:val="left" w:pos="7320"/>
              </w:tabs>
              <w:rPr>
                <w:rFonts w:eastAsia="Calibri"/>
                <w:sz w:val="20"/>
                <w:szCs w:val="20"/>
              </w:rPr>
            </w:pPr>
            <w:r w:rsidRPr="008573C5">
              <w:rPr>
                <w:rFonts w:eastAsia="Calibri"/>
                <w:sz w:val="20"/>
                <w:szCs w:val="20"/>
              </w:rPr>
              <w:t>OLS R</w:t>
            </w:r>
            <w:r w:rsidR="005171F5" w:rsidRPr="008573C5">
              <w:rPr>
                <w:rFonts w:eastAsia="Calibri"/>
                <w:sz w:val="20"/>
                <w:szCs w:val="20"/>
              </w:rPr>
              <w:t>egression</w:t>
            </w:r>
          </w:p>
        </w:tc>
      </w:tr>
      <w:tr w:rsidR="005171F5" w:rsidRPr="008573C5" w:rsidTr="004D2BFF">
        <w:tc>
          <w:tcPr>
            <w:tcW w:w="558" w:type="dxa"/>
          </w:tcPr>
          <w:p w:rsidR="005171F5" w:rsidRPr="00CB6FAE" w:rsidRDefault="00FE68B7" w:rsidP="004D2BFF">
            <w:pPr>
              <w:tabs>
                <w:tab w:val="left" w:pos="7320"/>
              </w:tabs>
              <w:rPr>
                <w:rFonts w:eastAsia="Calibri"/>
                <w:sz w:val="22"/>
                <w:szCs w:val="22"/>
              </w:rPr>
            </w:pPr>
            <w:r>
              <w:rPr>
                <w:rFonts w:eastAsia="Calibri"/>
                <w:sz w:val="22"/>
                <w:szCs w:val="22"/>
              </w:rPr>
              <w:t>23</w:t>
            </w:r>
          </w:p>
        </w:tc>
        <w:tc>
          <w:tcPr>
            <w:tcW w:w="2054" w:type="dxa"/>
          </w:tcPr>
          <w:p w:rsidR="005171F5" w:rsidRPr="00CB6FAE" w:rsidRDefault="005171F5" w:rsidP="004D2BFF">
            <w:pPr>
              <w:tabs>
                <w:tab w:val="left" w:pos="7320"/>
              </w:tabs>
              <w:rPr>
                <w:rFonts w:eastAsia="Calibri"/>
                <w:sz w:val="22"/>
                <w:szCs w:val="22"/>
              </w:rPr>
            </w:pPr>
            <w:r w:rsidRPr="00CB6FAE">
              <w:rPr>
                <w:rFonts w:eastAsia="Calibri"/>
                <w:sz w:val="22"/>
                <w:szCs w:val="22"/>
              </w:rPr>
              <w:t>Street and Gray(2001)</w:t>
            </w:r>
          </w:p>
        </w:tc>
        <w:tc>
          <w:tcPr>
            <w:tcW w:w="1546" w:type="dxa"/>
          </w:tcPr>
          <w:p w:rsidR="005171F5" w:rsidRPr="00CB6FAE" w:rsidRDefault="005171F5" w:rsidP="004D2BFF">
            <w:pPr>
              <w:tabs>
                <w:tab w:val="left" w:pos="7320"/>
              </w:tabs>
              <w:rPr>
                <w:rFonts w:eastAsia="Calibri"/>
                <w:sz w:val="22"/>
                <w:szCs w:val="22"/>
              </w:rPr>
            </w:pPr>
            <w:r w:rsidRPr="00CB6FAE">
              <w:rPr>
                <w:rFonts w:eastAsia="Calibri"/>
                <w:sz w:val="22"/>
                <w:szCs w:val="22"/>
              </w:rPr>
              <w:t>China, France, Germany, Switzerland, Other Western Europe, Africa, Middle East, Former Soviet block</w:t>
            </w:r>
          </w:p>
          <w:p w:rsidR="005171F5" w:rsidRPr="00CB6FAE" w:rsidRDefault="005171F5" w:rsidP="004D2BFF">
            <w:pPr>
              <w:tabs>
                <w:tab w:val="left" w:pos="7320"/>
              </w:tabs>
              <w:rPr>
                <w:rFonts w:eastAsia="Calibri"/>
                <w:sz w:val="22"/>
                <w:szCs w:val="22"/>
              </w:rPr>
            </w:pP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Listing status, company size, profitability, industry, type of auditor, type of accounting standard used, type of auditing standard used, country of domicile, size of home stock market.</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rPr>
            </w:pPr>
            <w:r w:rsidRPr="00CB6FAE">
              <w:rPr>
                <w:rFonts w:eastAsia="Calibri"/>
                <w:sz w:val="22"/>
                <w:szCs w:val="22"/>
              </w:rPr>
              <w:t>Unweighted (equal weight/dichotomous) disclosure Index</w:t>
            </w:r>
          </w:p>
        </w:tc>
        <w:tc>
          <w:tcPr>
            <w:tcW w:w="1530" w:type="dxa"/>
          </w:tcPr>
          <w:p w:rsidR="005171F5" w:rsidRPr="008573C5" w:rsidRDefault="005171F5" w:rsidP="004D2BFF">
            <w:pPr>
              <w:tabs>
                <w:tab w:val="left" w:pos="7320"/>
              </w:tabs>
              <w:rPr>
                <w:rFonts w:eastAsia="Calibri"/>
                <w:sz w:val="20"/>
                <w:szCs w:val="20"/>
              </w:rPr>
            </w:pPr>
            <w:r w:rsidRPr="008573C5">
              <w:rPr>
                <w:rFonts w:eastAsia="Calibri"/>
                <w:sz w:val="20"/>
                <w:szCs w:val="20"/>
              </w:rPr>
              <w:t>Multiple Regression, Correlation, ANOVA, and Univariate</w:t>
            </w:r>
          </w:p>
        </w:tc>
      </w:tr>
      <w:tr w:rsidR="005171F5" w:rsidRPr="00CB6FAE" w:rsidTr="004D2BFF">
        <w:tc>
          <w:tcPr>
            <w:tcW w:w="558" w:type="dxa"/>
          </w:tcPr>
          <w:p w:rsidR="005171F5" w:rsidRPr="00CB6FAE" w:rsidRDefault="005171F5" w:rsidP="004D2BFF">
            <w:pPr>
              <w:tabs>
                <w:tab w:val="left" w:pos="7320"/>
              </w:tabs>
              <w:rPr>
                <w:rFonts w:eastAsia="Calibri"/>
                <w:sz w:val="22"/>
                <w:szCs w:val="22"/>
              </w:rPr>
            </w:pPr>
            <w:r w:rsidRPr="00CB6FAE">
              <w:rPr>
                <w:rFonts w:eastAsia="Calibri"/>
                <w:sz w:val="22"/>
                <w:szCs w:val="22"/>
              </w:rPr>
              <w:t>2</w:t>
            </w:r>
            <w:r w:rsidR="00FE68B7">
              <w:rPr>
                <w:rFonts w:eastAsia="Calibri"/>
                <w:sz w:val="22"/>
                <w:szCs w:val="22"/>
              </w:rPr>
              <w:t>4</w:t>
            </w:r>
          </w:p>
        </w:tc>
        <w:tc>
          <w:tcPr>
            <w:tcW w:w="2054" w:type="dxa"/>
          </w:tcPr>
          <w:p w:rsidR="005171F5" w:rsidRPr="00CB6FAE" w:rsidRDefault="005171F5" w:rsidP="004D2BFF">
            <w:pPr>
              <w:tabs>
                <w:tab w:val="left" w:pos="7320"/>
              </w:tabs>
              <w:rPr>
                <w:rFonts w:eastAsia="Calibri"/>
                <w:sz w:val="22"/>
                <w:szCs w:val="22"/>
              </w:rPr>
            </w:pPr>
            <w:r w:rsidRPr="00CB6FAE">
              <w:rPr>
                <w:rFonts w:eastAsia="Calibri"/>
                <w:sz w:val="22"/>
                <w:szCs w:val="22"/>
              </w:rPr>
              <w:t>Bujaki and McConomy(2002)</w:t>
            </w:r>
          </w:p>
        </w:tc>
        <w:tc>
          <w:tcPr>
            <w:tcW w:w="1546" w:type="dxa"/>
          </w:tcPr>
          <w:p w:rsidR="005171F5" w:rsidRPr="00CB6FAE" w:rsidRDefault="005171F5" w:rsidP="004D2BFF">
            <w:pPr>
              <w:tabs>
                <w:tab w:val="left" w:pos="7320"/>
              </w:tabs>
              <w:rPr>
                <w:rFonts w:eastAsia="Calibri"/>
                <w:sz w:val="22"/>
                <w:szCs w:val="22"/>
              </w:rPr>
            </w:pPr>
            <w:r w:rsidRPr="00CB6FAE">
              <w:rPr>
                <w:rFonts w:eastAsia="Calibri"/>
                <w:sz w:val="22"/>
                <w:szCs w:val="22"/>
              </w:rPr>
              <w:t>Canada</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 Variables</w:t>
            </w:r>
          </w:p>
          <w:p w:rsidR="005171F5" w:rsidRPr="00CB6FAE" w:rsidRDefault="005171F5" w:rsidP="004D2BFF">
            <w:pPr>
              <w:rPr>
                <w:sz w:val="22"/>
                <w:szCs w:val="22"/>
              </w:rPr>
            </w:pPr>
            <w:r w:rsidRPr="00CB6FAE">
              <w:rPr>
                <w:sz w:val="22"/>
                <w:szCs w:val="22"/>
              </w:rPr>
              <w:t>Financial condition, Share issue, unrelated director, regulated industry, medium and size.</w:t>
            </w:r>
          </w:p>
          <w:p w:rsidR="005171F5" w:rsidRPr="00CB6FAE" w:rsidRDefault="005171F5" w:rsidP="004D2BFF">
            <w:pPr>
              <w:rPr>
                <w:sz w:val="22"/>
                <w:szCs w:val="22"/>
              </w:rPr>
            </w:pPr>
          </w:p>
          <w:p w:rsidR="005171F5" w:rsidRPr="00CB6FAE" w:rsidRDefault="005171F5" w:rsidP="004D2BFF">
            <w:pPr>
              <w:rPr>
                <w:sz w:val="22"/>
                <w:szCs w:val="22"/>
                <w:u w:val="single"/>
              </w:rPr>
            </w:pPr>
            <w:r w:rsidRPr="00CB6FAE">
              <w:rPr>
                <w:sz w:val="22"/>
                <w:szCs w:val="22"/>
                <w:u w:val="single"/>
              </w:rPr>
              <w:t>Dependent Variable</w:t>
            </w:r>
          </w:p>
          <w:p w:rsidR="005171F5" w:rsidRPr="00CB6FAE" w:rsidRDefault="005171F5" w:rsidP="004D2BFF">
            <w:pPr>
              <w:tabs>
                <w:tab w:val="left" w:pos="7320"/>
              </w:tabs>
              <w:rPr>
                <w:rFonts w:eastAsia="Calibri"/>
                <w:sz w:val="22"/>
                <w:szCs w:val="22"/>
                <w:u w:val="single"/>
              </w:rPr>
            </w:pPr>
            <w:r w:rsidRPr="00CB6FAE">
              <w:rPr>
                <w:rFonts w:eastAsia="Calibri"/>
                <w:sz w:val="22"/>
                <w:szCs w:val="22"/>
              </w:rPr>
              <w:t xml:space="preserve">Disclosure score </w:t>
            </w:r>
          </w:p>
        </w:tc>
        <w:tc>
          <w:tcPr>
            <w:tcW w:w="1530" w:type="dxa"/>
          </w:tcPr>
          <w:p w:rsidR="005171F5" w:rsidRPr="00CB6FAE" w:rsidRDefault="005171F5" w:rsidP="00C35026">
            <w:pPr>
              <w:tabs>
                <w:tab w:val="left" w:pos="7320"/>
              </w:tabs>
              <w:rPr>
                <w:rFonts w:eastAsia="Calibri"/>
                <w:sz w:val="22"/>
                <w:szCs w:val="22"/>
              </w:rPr>
            </w:pPr>
            <w:r w:rsidRPr="00CB6FAE">
              <w:rPr>
                <w:rFonts w:eastAsia="Calibri"/>
                <w:sz w:val="22"/>
                <w:szCs w:val="22"/>
              </w:rPr>
              <w:t xml:space="preserve">Linear </w:t>
            </w:r>
            <w:r w:rsidR="00C35026" w:rsidRPr="00CB6FAE">
              <w:rPr>
                <w:rFonts w:eastAsia="Calibri"/>
                <w:sz w:val="22"/>
                <w:szCs w:val="22"/>
              </w:rPr>
              <w:t>R</w:t>
            </w:r>
            <w:r w:rsidRPr="00CB6FAE">
              <w:rPr>
                <w:rFonts w:eastAsia="Calibri"/>
                <w:sz w:val="22"/>
                <w:szCs w:val="22"/>
              </w:rPr>
              <w:t>egression</w:t>
            </w:r>
          </w:p>
        </w:tc>
      </w:tr>
      <w:tr w:rsidR="005171F5" w:rsidRPr="00CB6FAE" w:rsidTr="004D2BFF">
        <w:tc>
          <w:tcPr>
            <w:tcW w:w="558" w:type="dxa"/>
          </w:tcPr>
          <w:p w:rsidR="005171F5" w:rsidRPr="00CB6FAE" w:rsidRDefault="005171F5" w:rsidP="004D2BFF">
            <w:pPr>
              <w:tabs>
                <w:tab w:val="left" w:pos="7320"/>
              </w:tabs>
              <w:rPr>
                <w:rFonts w:eastAsia="Calibri"/>
                <w:sz w:val="22"/>
                <w:szCs w:val="22"/>
              </w:rPr>
            </w:pPr>
            <w:r w:rsidRPr="00CB6FAE">
              <w:rPr>
                <w:rFonts w:eastAsia="Calibri"/>
                <w:sz w:val="22"/>
                <w:szCs w:val="22"/>
              </w:rPr>
              <w:t>2</w:t>
            </w:r>
            <w:r w:rsidR="00FE68B7">
              <w:rPr>
                <w:rFonts w:eastAsia="Calibri"/>
                <w:sz w:val="22"/>
                <w:szCs w:val="22"/>
              </w:rPr>
              <w:t>5</w:t>
            </w:r>
          </w:p>
        </w:tc>
        <w:tc>
          <w:tcPr>
            <w:tcW w:w="2054" w:type="dxa"/>
          </w:tcPr>
          <w:p w:rsidR="005171F5" w:rsidRPr="00CB6FAE" w:rsidRDefault="005171F5" w:rsidP="004D2BFF">
            <w:pPr>
              <w:tabs>
                <w:tab w:val="left" w:pos="7320"/>
              </w:tabs>
              <w:rPr>
                <w:rFonts w:eastAsia="Calibri"/>
                <w:sz w:val="22"/>
                <w:szCs w:val="22"/>
              </w:rPr>
            </w:pPr>
            <w:r w:rsidRPr="00CB6FAE">
              <w:rPr>
                <w:rFonts w:eastAsia="Calibri"/>
                <w:sz w:val="22"/>
                <w:szCs w:val="22"/>
              </w:rPr>
              <w:t>Chow and Gray(2002)</w:t>
            </w:r>
          </w:p>
        </w:tc>
        <w:tc>
          <w:tcPr>
            <w:tcW w:w="1546" w:type="dxa"/>
          </w:tcPr>
          <w:p w:rsidR="005171F5" w:rsidRPr="00CB6FAE" w:rsidRDefault="005171F5" w:rsidP="004D2BFF">
            <w:pPr>
              <w:tabs>
                <w:tab w:val="left" w:pos="7320"/>
              </w:tabs>
              <w:rPr>
                <w:rFonts w:eastAsia="Calibri"/>
                <w:sz w:val="22"/>
                <w:szCs w:val="22"/>
              </w:rPr>
            </w:pPr>
            <w:r w:rsidRPr="00CB6FAE">
              <w:rPr>
                <w:rFonts w:eastAsia="Calibri"/>
                <w:sz w:val="22"/>
                <w:szCs w:val="22"/>
              </w:rPr>
              <w:t>Hong Kong and Singapore</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Ownership structure, size, leverage, audit firm, multinational,  industry and profitability.</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rPr>
            </w:pPr>
            <w:r w:rsidRPr="00CB6FAE">
              <w:rPr>
                <w:rFonts w:eastAsia="Calibri"/>
                <w:sz w:val="22"/>
                <w:szCs w:val="22"/>
              </w:rPr>
              <w:t>Unweighted (equal weight/dichotomous) disclosure Index</w:t>
            </w:r>
          </w:p>
        </w:tc>
        <w:tc>
          <w:tcPr>
            <w:tcW w:w="1530" w:type="dxa"/>
          </w:tcPr>
          <w:p w:rsidR="005171F5" w:rsidRPr="00CB6FAE" w:rsidRDefault="005171F5" w:rsidP="00C35026">
            <w:pPr>
              <w:tabs>
                <w:tab w:val="left" w:pos="7320"/>
              </w:tabs>
              <w:rPr>
                <w:rFonts w:eastAsia="Calibri"/>
                <w:sz w:val="22"/>
                <w:szCs w:val="22"/>
              </w:rPr>
            </w:pPr>
            <w:r w:rsidRPr="00CB6FAE">
              <w:rPr>
                <w:rFonts w:eastAsia="Calibri"/>
                <w:sz w:val="22"/>
                <w:szCs w:val="22"/>
              </w:rPr>
              <w:t xml:space="preserve">Linear </w:t>
            </w:r>
            <w:r w:rsidR="00C35026" w:rsidRPr="00CB6FAE">
              <w:rPr>
                <w:rFonts w:eastAsia="Calibri"/>
                <w:sz w:val="22"/>
                <w:szCs w:val="22"/>
              </w:rPr>
              <w:t>R</w:t>
            </w:r>
            <w:r w:rsidRPr="00CB6FAE">
              <w:rPr>
                <w:rFonts w:eastAsia="Calibri"/>
                <w:sz w:val="22"/>
                <w:szCs w:val="22"/>
              </w:rPr>
              <w:t>egression</w:t>
            </w:r>
          </w:p>
        </w:tc>
      </w:tr>
      <w:tr w:rsidR="005171F5" w:rsidRPr="00CB6FAE" w:rsidTr="004D2BFF">
        <w:tc>
          <w:tcPr>
            <w:tcW w:w="558" w:type="dxa"/>
          </w:tcPr>
          <w:p w:rsidR="005171F5" w:rsidRPr="00CB6FAE" w:rsidRDefault="005171F5" w:rsidP="004D2BFF">
            <w:pPr>
              <w:tabs>
                <w:tab w:val="left" w:pos="7320"/>
              </w:tabs>
              <w:rPr>
                <w:rFonts w:ascii="Calibri" w:eastAsia="Calibri" w:hAnsi="Calibri"/>
                <w:sz w:val="22"/>
                <w:szCs w:val="22"/>
              </w:rPr>
            </w:pPr>
            <w:r w:rsidRPr="00CB6FAE">
              <w:rPr>
                <w:rFonts w:ascii="Calibri" w:eastAsia="Calibri" w:hAnsi="Calibri"/>
                <w:sz w:val="22"/>
                <w:szCs w:val="22"/>
              </w:rPr>
              <w:t>2</w:t>
            </w:r>
            <w:r w:rsidR="00FE68B7">
              <w:rPr>
                <w:rFonts w:ascii="Calibri" w:eastAsia="Calibri" w:hAnsi="Calibri"/>
                <w:sz w:val="22"/>
                <w:szCs w:val="22"/>
              </w:rPr>
              <w:t>6</w:t>
            </w:r>
          </w:p>
        </w:tc>
        <w:tc>
          <w:tcPr>
            <w:tcW w:w="2054" w:type="dxa"/>
          </w:tcPr>
          <w:p w:rsidR="005171F5" w:rsidRPr="00CB6FAE" w:rsidRDefault="005171F5" w:rsidP="004D2BFF">
            <w:pPr>
              <w:tabs>
                <w:tab w:val="left" w:pos="7320"/>
              </w:tabs>
              <w:rPr>
                <w:rFonts w:eastAsia="Calibri"/>
                <w:sz w:val="22"/>
                <w:szCs w:val="22"/>
              </w:rPr>
            </w:pPr>
            <w:r w:rsidRPr="00CB6FAE">
              <w:rPr>
                <w:rFonts w:eastAsia="Calibri"/>
                <w:sz w:val="22"/>
                <w:szCs w:val="22"/>
              </w:rPr>
              <w:t>Naser et al(2002)</w:t>
            </w:r>
          </w:p>
        </w:tc>
        <w:tc>
          <w:tcPr>
            <w:tcW w:w="1546" w:type="dxa"/>
          </w:tcPr>
          <w:p w:rsidR="005171F5" w:rsidRPr="00CB6FAE" w:rsidRDefault="005171F5" w:rsidP="004D2BFF">
            <w:pPr>
              <w:tabs>
                <w:tab w:val="left" w:pos="7320"/>
              </w:tabs>
              <w:rPr>
                <w:rFonts w:eastAsia="Calibri"/>
                <w:sz w:val="22"/>
                <w:szCs w:val="22"/>
              </w:rPr>
            </w:pPr>
            <w:r w:rsidRPr="00CB6FAE">
              <w:rPr>
                <w:rFonts w:eastAsia="Calibri"/>
                <w:sz w:val="22"/>
                <w:szCs w:val="22"/>
              </w:rPr>
              <w:t>Jordan</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Liquidity, Market Capitalization, Gearing, Sales, Profitability, Number of shareholders, % of Government ownership, % of individual ownership, % of Foreign ownership, % of Arab ownership, Size of Auditors, Type of Industry, Profit Margin, Number of employees.</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rPr>
            </w:pPr>
            <w:r w:rsidRPr="00CB6FAE">
              <w:rPr>
                <w:rFonts w:eastAsia="Calibri"/>
                <w:sz w:val="22"/>
                <w:szCs w:val="22"/>
              </w:rPr>
              <w:t>Unweighted (equal weight/dichotomous) disclosure Index</w:t>
            </w:r>
          </w:p>
        </w:tc>
        <w:tc>
          <w:tcPr>
            <w:tcW w:w="1530" w:type="dxa"/>
          </w:tcPr>
          <w:p w:rsidR="005171F5" w:rsidRPr="00CB6FAE" w:rsidRDefault="005171F5" w:rsidP="004D2BFF">
            <w:pPr>
              <w:tabs>
                <w:tab w:val="left" w:pos="7320"/>
              </w:tabs>
              <w:rPr>
                <w:rFonts w:eastAsia="Calibri"/>
                <w:sz w:val="22"/>
                <w:szCs w:val="22"/>
              </w:rPr>
            </w:pPr>
            <w:r w:rsidRPr="00CB6FAE">
              <w:rPr>
                <w:rFonts w:eastAsia="Calibri"/>
                <w:sz w:val="22"/>
                <w:szCs w:val="22"/>
              </w:rPr>
              <w:t>Multiple Linear Regression, Correlation and Univariate</w:t>
            </w:r>
          </w:p>
        </w:tc>
      </w:tr>
      <w:tr w:rsidR="005171F5" w:rsidRPr="00CB6FAE" w:rsidTr="004D2BFF">
        <w:trPr>
          <w:trHeight w:val="1925"/>
        </w:trPr>
        <w:tc>
          <w:tcPr>
            <w:tcW w:w="558" w:type="dxa"/>
          </w:tcPr>
          <w:p w:rsidR="005171F5" w:rsidRPr="00CB6FAE" w:rsidRDefault="005171F5" w:rsidP="004D2BFF">
            <w:pPr>
              <w:tabs>
                <w:tab w:val="left" w:pos="7320"/>
              </w:tabs>
              <w:rPr>
                <w:rFonts w:ascii="Calibri" w:eastAsia="Calibri" w:hAnsi="Calibri"/>
                <w:sz w:val="22"/>
                <w:szCs w:val="22"/>
              </w:rPr>
            </w:pPr>
            <w:r w:rsidRPr="00CB6FAE">
              <w:rPr>
                <w:rFonts w:ascii="Calibri" w:eastAsia="Calibri" w:hAnsi="Calibri"/>
                <w:sz w:val="22"/>
                <w:szCs w:val="22"/>
              </w:rPr>
              <w:t>2</w:t>
            </w:r>
            <w:r w:rsidR="00FE68B7">
              <w:rPr>
                <w:rFonts w:ascii="Calibri" w:eastAsia="Calibri" w:hAnsi="Calibri"/>
                <w:sz w:val="22"/>
                <w:szCs w:val="22"/>
              </w:rPr>
              <w:t>7</w:t>
            </w:r>
          </w:p>
        </w:tc>
        <w:tc>
          <w:tcPr>
            <w:tcW w:w="2054" w:type="dxa"/>
          </w:tcPr>
          <w:p w:rsidR="005171F5" w:rsidRPr="00CB6FAE" w:rsidRDefault="005171F5" w:rsidP="004D2BFF">
            <w:pPr>
              <w:tabs>
                <w:tab w:val="left" w:pos="7320"/>
              </w:tabs>
              <w:rPr>
                <w:rFonts w:eastAsia="Calibri"/>
                <w:sz w:val="22"/>
                <w:szCs w:val="22"/>
              </w:rPr>
            </w:pPr>
            <w:r w:rsidRPr="00CB6FAE">
              <w:rPr>
                <w:rFonts w:eastAsia="Calibri"/>
                <w:sz w:val="22"/>
                <w:szCs w:val="22"/>
              </w:rPr>
              <w:t>Camfferman and Cooke(2002)</w:t>
            </w:r>
          </w:p>
        </w:tc>
        <w:tc>
          <w:tcPr>
            <w:tcW w:w="1546" w:type="dxa"/>
          </w:tcPr>
          <w:p w:rsidR="005171F5" w:rsidRPr="00CB6FAE" w:rsidRDefault="005171F5" w:rsidP="004D2BFF">
            <w:pPr>
              <w:tabs>
                <w:tab w:val="left" w:pos="7320"/>
              </w:tabs>
              <w:rPr>
                <w:rFonts w:eastAsia="Calibri"/>
                <w:sz w:val="22"/>
                <w:szCs w:val="22"/>
              </w:rPr>
            </w:pPr>
            <w:r w:rsidRPr="00CB6FAE">
              <w:rPr>
                <w:rFonts w:eastAsia="Calibri"/>
                <w:sz w:val="22"/>
                <w:szCs w:val="22"/>
              </w:rPr>
              <w:t>United Kingdom and Netherlands</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autoSpaceDE w:val="0"/>
              <w:autoSpaceDN w:val="0"/>
              <w:adjustRightInd w:val="0"/>
              <w:rPr>
                <w:sz w:val="22"/>
                <w:szCs w:val="22"/>
              </w:rPr>
            </w:pPr>
            <w:r w:rsidRPr="00CB6FAE">
              <w:rPr>
                <w:sz w:val="22"/>
                <w:szCs w:val="22"/>
              </w:rPr>
              <w:t>Industry type,</w:t>
            </w:r>
          </w:p>
          <w:p w:rsidR="005171F5" w:rsidRPr="00CB6FAE" w:rsidRDefault="005171F5" w:rsidP="004D2BFF">
            <w:pPr>
              <w:tabs>
                <w:tab w:val="left" w:pos="7320"/>
              </w:tabs>
              <w:rPr>
                <w:sz w:val="22"/>
                <w:szCs w:val="22"/>
              </w:rPr>
            </w:pPr>
            <w:r w:rsidRPr="00CB6FAE">
              <w:rPr>
                <w:sz w:val="22"/>
                <w:szCs w:val="22"/>
              </w:rPr>
              <w:t>size, net income margin, debt ratio, liquidity ratio, return on equity, and audit firm</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u w:val="single"/>
              </w:rPr>
            </w:pPr>
            <w:r w:rsidRPr="00CB6FAE">
              <w:rPr>
                <w:rFonts w:eastAsia="Calibri"/>
                <w:sz w:val="22"/>
                <w:szCs w:val="22"/>
              </w:rPr>
              <w:t>Unweighted (equal weight/dichotomous) disclosure Index</w:t>
            </w:r>
          </w:p>
        </w:tc>
        <w:tc>
          <w:tcPr>
            <w:tcW w:w="1530" w:type="dxa"/>
          </w:tcPr>
          <w:p w:rsidR="005171F5" w:rsidRPr="00CB6FAE" w:rsidRDefault="005171F5" w:rsidP="004D2BFF">
            <w:pPr>
              <w:tabs>
                <w:tab w:val="left" w:pos="7320"/>
              </w:tabs>
              <w:rPr>
                <w:bCs/>
                <w:sz w:val="22"/>
                <w:szCs w:val="22"/>
              </w:rPr>
            </w:pPr>
            <w:r w:rsidRPr="00CB6FAE">
              <w:rPr>
                <w:sz w:val="22"/>
                <w:szCs w:val="22"/>
              </w:rPr>
              <w:t>Mann-Whitney nonparametric statistic and Regression analysis</w:t>
            </w:r>
          </w:p>
        </w:tc>
      </w:tr>
      <w:tr w:rsidR="005171F5" w:rsidRPr="00CB6FAE" w:rsidTr="004D2BFF">
        <w:trPr>
          <w:trHeight w:val="1925"/>
        </w:trPr>
        <w:tc>
          <w:tcPr>
            <w:tcW w:w="558" w:type="dxa"/>
          </w:tcPr>
          <w:p w:rsidR="005171F5" w:rsidRPr="00CB6FAE" w:rsidRDefault="00FE68B7" w:rsidP="004D2BFF">
            <w:pPr>
              <w:tabs>
                <w:tab w:val="left" w:pos="7320"/>
              </w:tabs>
              <w:rPr>
                <w:rFonts w:ascii="Calibri" w:eastAsia="Calibri" w:hAnsi="Calibri"/>
                <w:sz w:val="22"/>
                <w:szCs w:val="22"/>
              </w:rPr>
            </w:pPr>
            <w:r>
              <w:rPr>
                <w:rFonts w:ascii="Calibri" w:eastAsia="Calibri" w:hAnsi="Calibri"/>
                <w:sz w:val="22"/>
                <w:szCs w:val="22"/>
              </w:rPr>
              <w:t>28</w:t>
            </w:r>
          </w:p>
        </w:tc>
        <w:tc>
          <w:tcPr>
            <w:tcW w:w="2054" w:type="dxa"/>
          </w:tcPr>
          <w:p w:rsidR="005171F5" w:rsidRPr="00CB6FAE" w:rsidRDefault="005171F5" w:rsidP="004D2BFF">
            <w:pPr>
              <w:tabs>
                <w:tab w:val="left" w:pos="7320"/>
              </w:tabs>
              <w:rPr>
                <w:rFonts w:eastAsia="Calibri"/>
                <w:sz w:val="22"/>
                <w:szCs w:val="22"/>
              </w:rPr>
            </w:pPr>
            <w:r w:rsidRPr="00CB6FAE">
              <w:rPr>
                <w:rFonts w:eastAsia="Calibri"/>
                <w:sz w:val="22"/>
                <w:szCs w:val="22"/>
              </w:rPr>
              <w:t>Ferguson, Lam and Lee(2002)</w:t>
            </w:r>
          </w:p>
        </w:tc>
        <w:tc>
          <w:tcPr>
            <w:tcW w:w="1546" w:type="dxa"/>
          </w:tcPr>
          <w:p w:rsidR="005171F5" w:rsidRPr="00CB6FAE" w:rsidRDefault="005171F5" w:rsidP="004D2BFF">
            <w:pPr>
              <w:tabs>
                <w:tab w:val="left" w:pos="7320"/>
              </w:tabs>
              <w:rPr>
                <w:rFonts w:eastAsia="Calibri"/>
                <w:sz w:val="22"/>
                <w:szCs w:val="22"/>
              </w:rPr>
            </w:pPr>
          </w:p>
          <w:p w:rsidR="005171F5" w:rsidRPr="00CB6FAE" w:rsidRDefault="005171F5" w:rsidP="004D2BFF">
            <w:pPr>
              <w:rPr>
                <w:rFonts w:eastAsia="Calibri"/>
                <w:sz w:val="22"/>
                <w:szCs w:val="22"/>
              </w:rPr>
            </w:pPr>
            <w:r w:rsidRPr="00CB6FAE">
              <w:rPr>
                <w:rFonts w:eastAsia="Calibri"/>
                <w:sz w:val="22"/>
                <w:szCs w:val="22"/>
              </w:rPr>
              <w:t>Hong Kong</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autoSpaceDE w:val="0"/>
              <w:autoSpaceDN w:val="0"/>
              <w:adjustRightInd w:val="0"/>
              <w:rPr>
                <w:sz w:val="22"/>
                <w:szCs w:val="22"/>
              </w:rPr>
            </w:pPr>
            <w:r w:rsidRPr="00CB6FAE">
              <w:rPr>
                <w:sz w:val="22"/>
                <w:szCs w:val="22"/>
              </w:rPr>
              <w:t>Firm type (Local, H-Share, Red chip), Industry type, firm size, leverage, multiple listing.</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u w:val="single"/>
              </w:rPr>
            </w:pPr>
            <w:r w:rsidRPr="00CB6FAE">
              <w:rPr>
                <w:rFonts w:eastAsia="Calibri"/>
                <w:sz w:val="22"/>
                <w:szCs w:val="22"/>
              </w:rPr>
              <w:t>Unweighted (equal weight/dichotomous) disclosure Index</w:t>
            </w:r>
          </w:p>
        </w:tc>
        <w:tc>
          <w:tcPr>
            <w:tcW w:w="1530" w:type="dxa"/>
          </w:tcPr>
          <w:p w:rsidR="005171F5" w:rsidRPr="00CB6FAE" w:rsidRDefault="005171F5" w:rsidP="00C35026">
            <w:pPr>
              <w:tabs>
                <w:tab w:val="left" w:pos="7320"/>
              </w:tabs>
              <w:rPr>
                <w:bCs/>
                <w:sz w:val="22"/>
                <w:szCs w:val="22"/>
              </w:rPr>
            </w:pPr>
            <w:r w:rsidRPr="00CB6FAE">
              <w:rPr>
                <w:bCs/>
                <w:sz w:val="22"/>
                <w:szCs w:val="22"/>
              </w:rPr>
              <w:t xml:space="preserve">Univariate and Linear OLS </w:t>
            </w:r>
            <w:r w:rsidR="00C35026" w:rsidRPr="00CB6FAE">
              <w:rPr>
                <w:bCs/>
                <w:sz w:val="22"/>
                <w:szCs w:val="22"/>
              </w:rPr>
              <w:t>R</w:t>
            </w:r>
            <w:r w:rsidRPr="00CB6FAE">
              <w:rPr>
                <w:bCs/>
                <w:sz w:val="22"/>
                <w:szCs w:val="22"/>
              </w:rPr>
              <w:t>egression</w:t>
            </w:r>
          </w:p>
        </w:tc>
      </w:tr>
      <w:tr w:rsidR="005171F5" w:rsidRPr="00CB6FAE" w:rsidTr="004D2BFF">
        <w:trPr>
          <w:trHeight w:val="1925"/>
        </w:trPr>
        <w:tc>
          <w:tcPr>
            <w:tcW w:w="558" w:type="dxa"/>
          </w:tcPr>
          <w:p w:rsidR="005171F5" w:rsidRPr="00CB6FAE" w:rsidRDefault="00FE68B7" w:rsidP="004D2BFF">
            <w:pPr>
              <w:tabs>
                <w:tab w:val="left" w:pos="7320"/>
              </w:tabs>
              <w:rPr>
                <w:rFonts w:eastAsia="Calibri"/>
                <w:sz w:val="22"/>
                <w:szCs w:val="22"/>
              </w:rPr>
            </w:pPr>
            <w:r>
              <w:rPr>
                <w:rFonts w:eastAsia="Calibri"/>
                <w:sz w:val="22"/>
                <w:szCs w:val="22"/>
              </w:rPr>
              <w:t>29</w:t>
            </w:r>
          </w:p>
        </w:tc>
        <w:tc>
          <w:tcPr>
            <w:tcW w:w="2054" w:type="dxa"/>
          </w:tcPr>
          <w:p w:rsidR="005171F5" w:rsidRPr="00CB6FAE" w:rsidRDefault="005171F5" w:rsidP="004D2BFF">
            <w:pPr>
              <w:tabs>
                <w:tab w:val="left" w:pos="7320"/>
              </w:tabs>
              <w:rPr>
                <w:rFonts w:eastAsia="Calibri"/>
                <w:sz w:val="22"/>
                <w:szCs w:val="22"/>
              </w:rPr>
            </w:pPr>
            <w:r w:rsidRPr="00CB6FAE">
              <w:rPr>
                <w:rFonts w:eastAsia="Calibri"/>
                <w:sz w:val="22"/>
                <w:szCs w:val="22"/>
              </w:rPr>
              <w:t>Eng and Mak(2003)</w:t>
            </w:r>
          </w:p>
        </w:tc>
        <w:tc>
          <w:tcPr>
            <w:tcW w:w="1546" w:type="dxa"/>
          </w:tcPr>
          <w:p w:rsidR="005171F5" w:rsidRPr="00CB6FAE" w:rsidRDefault="005171F5" w:rsidP="004D2BFF">
            <w:pPr>
              <w:tabs>
                <w:tab w:val="left" w:pos="7320"/>
              </w:tabs>
              <w:rPr>
                <w:rFonts w:eastAsia="Calibri"/>
                <w:sz w:val="22"/>
                <w:szCs w:val="22"/>
              </w:rPr>
            </w:pPr>
            <w:r w:rsidRPr="00CB6FAE">
              <w:rPr>
                <w:rFonts w:eastAsia="Calibri"/>
                <w:sz w:val="22"/>
                <w:szCs w:val="22"/>
              </w:rPr>
              <w:t>Singapore</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autoSpaceDE w:val="0"/>
              <w:autoSpaceDN w:val="0"/>
              <w:adjustRightInd w:val="0"/>
              <w:rPr>
                <w:sz w:val="22"/>
                <w:szCs w:val="22"/>
              </w:rPr>
            </w:pPr>
            <w:r w:rsidRPr="00CB6FAE">
              <w:rPr>
                <w:sz w:val="22"/>
                <w:szCs w:val="22"/>
              </w:rPr>
              <w:t>Managerial ownership, government ownership, proportion of outside directors, sixe, leverage, growth, industry, audit firm, analyst, profitability.</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u w:val="single"/>
              </w:rPr>
            </w:pPr>
            <w:r w:rsidRPr="00CB6FAE">
              <w:rPr>
                <w:rFonts w:eastAsia="Calibri"/>
                <w:sz w:val="22"/>
                <w:szCs w:val="22"/>
              </w:rPr>
              <w:t>Weighted disclosure Index</w:t>
            </w:r>
          </w:p>
        </w:tc>
        <w:tc>
          <w:tcPr>
            <w:tcW w:w="1530" w:type="dxa"/>
          </w:tcPr>
          <w:p w:rsidR="005171F5" w:rsidRPr="00CB6FAE" w:rsidRDefault="005171F5" w:rsidP="00C35026">
            <w:pPr>
              <w:tabs>
                <w:tab w:val="left" w:pos="7320"/>
              </w:tabs>
              <w:rPr>
                <w:bCs/>
                <w:sz w:val="22"/>
                <w:szCs w:val="22"/>
              </w:rPr>
            </w:pPr>
            <w:r w:rsidRPr="00CB6FAE">
              <w:rPr>
                <w:bCs/>
                <w:sz w:val="22"/>
                <w:szCs w:val="22"/>
              </w:rPr>
              <w:t xml:space="preserve">OLS </w:t>
            </w:r>
            <w:r w:rsidR="00C35026" w:rsidRPr="00CB6FAE">
              <w:rPr>
                <w:bCs/>
                <w:sz w:val="22"/>
                <w:szCs w:val="22"/>
              </w:rPr>
              <w:t>R</w:t>
            </w:r>
            <w:r w:rsidRPr="00CB6FAE">
              <w:rPr>
                <w:bCs/>
                <w:sz w:val="22"/>
                <w:szCs w:val="22"/>
              </w:rPr>
              <w:t>egression</w:t>
            </w:r>
          </w:p>
        </w:tc>
      </w:tr>
      <w:tr w:rsidR="005171F5" w:rsidRPr="00CB6FAE" w:rsidTr="004D2BFF">
        <w:trPr>
          <w:trHeight w:val="1925"/>
        </w:trPr>
        <w:tc>
          <w:tcPr>
            <w:tcW w:w="558" w:type="dxa"/>
          </w:tcPr>
          <w:p w:rsidR="005171F5" w:rsidRPr="00CB6FAE" w:rsidRDefault="005171F5" w:rsidP="004D2BFF">
            <w:pPr>
              <w:tabs>
                <w:tab w:val="left" w:pos="7320"/>
              </w:tabs>
              <w:rPr>
                <w:rFonts w:eastAsia="Calibri"/>
                <w:sz w:val="22"/>
                <w:szCs w:val="22"/>
              </w:rPr>
            </w:pPr>
            <w:r w:rsidRPr="00CB6FAE">
              <w:rPr>
                <w:rFonts w:eastAsia="Calibri"/>
                <w:sz w:val="22"/>
                <w:szCs w:val="22"/>
              </w:rPr>
              <w:t>3</w:t>
            </w:r>
            <w:r w:rsidR="00FE68B7">
              <w:rPr>
                <w:rFonts w:eastAsia="Calibri"/>
                <w:sz w:val="22"/>
                <w:szCs w:val="22"/>
              </w:rPr>
              <w:t>0</w:t>
            </w:r>
          </w:p>
        </w:tc>
        <w:tc>
          <w:tcPr>
            <w:tcW w:w="2054" w:type="dxa"/>
          </w:tcPr>
          <w:p w:rsidR="005171F5" w:rsidRPr="00CB6FAE" w:rsidRDefault="005171F5" w:rsidP="004D2BFF">
            <w:pPr>
              <w:tabs>
                <w:tab w:val="left" w:pos="7320"/>
              </w:tabs>
              <w:rPr>
                <w:rFonts w:eastAsia="Calibri"/>
                <w:sz w:val="22"/>
                <w:szCs w:val="22"/>
              </w:rPr>
            </w:pPr>
            <w:r w:rsidRPr="00CB6FAE">
              <w:rPr>
                <w:rFonts w:eastAsia="Calibri"/>
                <w:sz w:val="22"/>
                <w:szCs w:val="22"/>
              </w:rPr>
              <w:t>Glaum and Street (2003)</w:t>
            </w:r>
          </w:p>
        </w:tc>
        <w:tc>
          <w:tcPr>
            <w:tcW w:w="1546" w:type="dxa"/>
          </w:tcPr>
          <w:p w:rsidR="005171F5" w:rsidRPr="00CB6FAE" w:rsidRDefault="005171F5" w:rsidP="004D2BFF">
            <w:pPr>
              <w:tabs>
                <w:tab w:val="left" w:pos="7320"/>
              </w:tabs>
              <w:rPr>
                <w:rFonts w:eastAsia="Calibri"/>
                <w:sz w:val="22"/>
                <w:szCs w:val="22"/>
              </w:rPr>
            </w:pPr>
            <w:r w:rsidRPr="00CB6FAE">
              <w:rPr>
                <w:rFonts w:eastAsia="Calibri"/>
                <w:sz w:val="22"/>
                <w:szCs w:val="22"/>
              </w:rPr>
              <w:t>Germany</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Industry type, profitability, multinational, domicile, maturity, growth, growth options, choice, ownership structure, country, listing.</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rPr>
            </w:pPr>
            <w:r w:rsidRPr="00CB6FAE">
              <w:rPr>
                <w:rFonts w:eastAsia="Calibri"/>
                <w:sz w:val="22"/>
                <w:szCs w:val="22"/>
              </w:rPr>
              <w:t>Unweighted (equal weight/dichotomous) disclosure Index</w:t>
            </w:r>
          </w:p>
        </w:tc>
        <w:tc>
          <w:tcPr>
            <w:tcW w:w="1530" w:type="dxa"/>
          </w:tcPr>
          <w:p w:rsidR="005171F5" w:rsidRPr="00CB6FAE" w:rsidRDefault="005171F5" w:rsidP="004D2BFF">
            <w:pPr>
              <w:tabs>
                <w:tab w:val="left" w:pos="7320"/>
              </w:tabs>
              <w:rPr>
                <w:rFonts w:eastAsia="Calibri"/>
                <w:sz w:val="22"/>
                <w:szCs w:val="22"/>
              </w:rPr>
            </w:pPr>
            <w:r w:rsidRPr="00CB6FAE">
              <w:rPr>
                <w:bCs/>
                <w:sz w:val="22"/>
                <w:szCs w:val="22"/>
              </w:rPr>
              <w:t>Univariate and Ordinary Least Square (OLS)</w:t>
            </w:r>
          </w:p>
        </w:tc>
      </w:tr>
      <w:tr w:rsidR="005171F5" w:rsidRPr="00CB6FAE" w:rsidTr="004D2BFF">
        <w:trPr>
          <w:trHeight w:val="1925"/>
        </w:trPr>
        <w:tc>
          <w:tcPr>
            <w:tcW w:w="558" w:type="dxa"/>
          </w:tcPr>
          <w:p w:rsidR="005171F5" w:rsidRPr="00CB6FAE" w:rsidRDefault="005171F5" w:rsidP="004D2BFF">
            <w:pPr>
              <w:tabs>
                <w:tab w:val="left" w:pos="7320"/>
              </w:tabs>
              <w:rPr>
                <w:rFonts w:eastAsia="Calibri"/>
                <w:sz w:val="22"/>
                <w:szCs w:val="22"/>
              </w:rPr>
            </w:pPr>
            <w:r w:rsidRPr="00CB6FAE">
              <w:rPr>
                <w:rFonts w:eastAsia="Calibri"/>
                <w:sz w:val="22"/>
                <w:szCs w:val="22"/>
              </w:rPr>
              <w:t>3</w:t>
            </w:r>
            <w:r w:rsidR="00FE68B7">
              <w:rPr>
                <w:rFonts w:eastAsia="Calibri"/>
                <w:sz w:val="22"/>
                <w:szCs w:val="22"/>
              </w:rPr>
              <w:t>1</w:t>
            </w:r>
          </w:p>
        </w:tc>
        <w:tc>
          <w:tcPr>
            <w:tcW w:w="2054" w:type="dxa"/>
          </w:tcPr>
          <w:p w:rsidR="005171F5" w:rsidRPr="00CB6FAE" w:rsidRDefault="005171F5" w:rsidP="004D2BFF">
            <w:pPr>
              <w:tabs>
                <w:tab w:val="left" w:pos="7320"/>
              </w:tabs>
              <w:rPr>
                <w:rFonts w:eastAsia="Calibri"/>
                <w:sz w:val="22"/>
                <w:szCs w:val="22"/>
              </w:rPr>
            </w:pPr>
            <w:r w:rsidRPr="00CB6FAE">
              <w:rPr>
                <w:rFonts w:eastAsia="Calibri"/>
                <w:sz w:val="22"/>
                <w:szCs w:val="22"/>
              </w:rPr>
              <w:t>Ali et al(2004)</w:t>
            </w:r>
          </w:p>
        </w:tc>
        <w:tc>
          <w:tcPr>
            <w:tcW w:w="1546" w:type="dxa"/>
          </w:tcPr>
          <w:p w:rsidR="005171F5" w:rsidRPr="00CB6FAE" w:rsidRDefault="005171F5" w:rsidP="004D2BFF">
            <w:pPr>
              <w:tabs>
                <w:tab w:val="left" w:pos="7320"/>
              </w:tabs>
              <w:rPr>
                <w:rFonts w:eastAsia="Calibri"/>
                <w:sz w:val="22"/>
                <w:szCs w:val="22"/>
              </w:rPr>
            </w:pPr>
            <w:r w:rsidRPr="00CB6FAE">
              <w:rPr>
                <w:rFonts w:eastAsia="Calibri"/>
                <w:sz w:val="22"/>
                <w:szCs w:val="22"/>
              </w:rPr>
              <w:t>India, Pakistan and Bangladesh</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Size, financial leverage, multinational, size of external auditor and profitability.</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rPr>
            </w:pPr>
            <w:r w:rsidRPr="00CB6FAE">
              <w:rPr>
                <w:rFonts w:eastAsia="Calibri"/>
                <w:sz w:val="22"/>
                <w:szCs w:val="22"/>
              </w:rPr>
              <w:t>Unweighted (equal weight/dichotomous) disclosure Index</w:t>
            </w:r>
          </w:p>
        </w:tc>
        <w:tc>
          <w:tcPr>
            <w:tcW w:w="1530" w:type="dxa"/>
          </w:tcPr>
          <w:p w:rsidR="005171F5" w:rsidRPr="00CB6FAE" w:rsidRDefault="005171F5" w:rsidP="004D2BFF">
            <w:pPr>
              <w:tabs>
                <w:tab w:val="left" w:pos="7320"/>
              </w:tabs>
              <w:rPr>
                <w:rFonts w:eastAsia="Calibri"/>
                <w:sz w:val="22"/>
                <w:szCs w:val="22"/>
              </w:rPr>
            </w:pPr>
            <w:r w:rsidRPr="00CB6FAE">
              <w:rPr>
                <w:bCs/>
                <w:sz w:val="22"/>
                <w:szCs w:val="22"/>
              </w:rPr>
              <w:t>Univariate, Ordinary Least</w:t>
            </w:r>
            <w:r w:rsidR="00C35026" w:rsidRPr="00CB6FAE">
              <w:rPr>
                <w:bCs/>
                <w:sz w:val="22"/>
                <w:szCs w:val="22"/>
              </w:rPr>
              <w:t xml:space="preserve"> Square, (OLS),Correlation and F</w:t>
            </w:r>
            <w:r w:rsidRPr="00CB6FAE">
              <w:rPr>
                <w:bCs/>
                <w:sz w:val="22"/>
                <w:szCs w:val="22"/>
              </w:rPr>
              <w:t>actor analysis</w:t>
            </w:r>
          </w:p>
        </w:tc>
      </w:tr>
      <w:tr w:rsidR="005171F5" w:rsidRPr="00CB6FAE" w:rsidTr="004D2BFF">
        <w:tc>
          <w:tcPr>
            <w:tcW w:w="558" w:type="dxa"/>
          </w:tcPr>
          <w:p w:rsidR="005171F5" w:rsidRPr="00CB6FAE" w:rsidRDefault="005171F5" w:rsidP="004D2BFF">
            <w:pPr>
              <w:tabs>
                <w:tab w:val="left" w:pos="7320"/>
              </w:tabs>
              <w:rPr>
                <w:sz w:val="22"/>
                <w:szCs w:val="22"/>
              </w:rPr>
            </w:pPr>
            <w:r w:rsidRPr="00CB6FAE">
              <w:rPr>
                <w:sz w:val="22"/>
                <w:szCs w:val="22"/>
              </w:rPr>
              <w:t>3</w:t>
            </w:r>
            <w:r w:rsidR="00FE68B7">
              <w:rPr>
                <w:sz w:val="22"/>
                <w:szCs w:val="22"/>
              </w:rPr>
              <w:t>2</w:t>
            </w:r>
          </w:p>
        </w:tc>
        <w:tc>
          <w:tcPr>
            <w:tcW w:w="2054" w:type="dxa"/>
          </w:tcPr>
          <w:p w:rsidR="005171F5" w:rsidRPr="00CB6FAE" w:rsidRDefault="005171F5" w:rsidP="004D2BFF">
            <w:pPr>
              <w:tabs>
                <w:tab w:val="left" w:pos="7320"/>
              </w:tabs>
              <w:rPr>
                <w:sz w:val="22"/>
                <w:szCs w:val="22"/>
              </w:rPr>
            </w:pPr>
            <w:r w:rsidRPr="00CB6FAE">
              <w:rPr>
                <w:sz w:val="22"/>
                <w:szCs w:val="22"/>
              </w:rPr>
              <w:t>Prencipe(2004)</w:t>
            </w:r>
          </w:p>
        </w:tc>
        <w:tc>
          <w:tcPr>
            <w:tcW w:w="1546" w:type="dxa"/>
          </w:tcPr>
          <w:p w:rsidR="005171F5" w:rsidRPr="00CB6FAE" w:rsidRDefault="005171F5" w:rsidP="004D2BFF">
            <w:pPr>
              <w:tabs>
                <w:tab w:val="left" w:pos="7320"/>
              </w:tabs>
              <w:rPr>
                <w:rFonts w:eastAsia="Calibri"/>
                <w:sz w:val="22"/>
                <w:szCs w:val="22"/>
              </w:rPr>
            </w:pPr>
            <w:r w:rsidRPr="00CB6FAE">
              <w:rPr>
                <w:rFonts w:eastAsia="Calibri"/>
                <w:sz w:val="22"/>
                <w:szCs w:val="22"/>
              </w:rPr>
              <w:t>Italy</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Correspondence between segments, growth rate, listing status, age, ownership dilution, profitability, size, leverage.</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u w:val="single"/>
              </w:rPr>
            </w:pPr>
            <w:r w:rsidRPr="00CB6FAE">
              <w:rPr>
                <w:rFonts w:eastAsia="Calibri"/>
                <w:sz w:val="22"/>
                <w:szCs w:val="22"/>
              </w:rPr>
              <w:t>Weighted and unweighted disclosure index.</w:t>
            </w:r>
          </w:p>
        </w:tc>
        <w:tc>
          <w:tcPr>
            <w:tcW w:w="1530" w:type="dxa"/>
          </w:tcPr>
          <w:p w:rsidR="005171F5" w:rsidRPr="00CB6FAE" w:rsidRDefault="005171F5" w:rsidP="004D2BFF">
            <w:pPr>
              <w:tabs>
                <w:tab w:val="left" w:pos="7320"/>
              </w:tabs>
              <w:rPr>
                <w:bCs/>
                <w:sz w:val="22"/>
                <w:szCs w:val="22"/>
              </w:rPr>
            </w:pPr>
            <w:r w:rsidRPr="00CB6FAE">
              <w:rPr>
                <w:bCs/>
                <w:sz w:val="22"/>
                <w:szCs w:val="22"/>
              </w:rPr>
              <w:t>OLS regression</w:t>
            </w:r>
          </w:p>
        </w:tc>
      </w:tr>
      <w:tr w:rsidR="005171F5" w:rsidRPr="00CB6FAE" w:rsidTr="004D2BFF">
        <w:tc>
          <w:tcPr>
            <w:tcW w:w="558" w:type="dxa"/>
          </w:tcPr>
          <w:p w:rsidR="005171F5" w:rsidRPr="00CB6FAE" w:rsidRDefault="005171F5" w:rsidP="004D2BFF">
            <w:pPr>
              <w:tabs>
                <w:tab w:val="left" w:pos="7320"/>
              </w:tabs>
              <w:rPr>
                <w:sz w:val="22"/>
                <w:szCs w:val="22"/>
              </w:rPr>
            </w:pPr>
            <w:r w:rsidRPr="00CB6FAE">
              <w:rPr>
                <w:sz w:val="22"/>
                <w:szCs w:val="22"/>
              </w:rPr>
              <w:t>3</w:t>
            </w:r>
            <w:r w:rsidR="00FE68B7">
              <w:rPr>
                <w:sz w:val="22"/>
                <w:szCs w:val="22"/>
              </w:rPr>
              <w:t>3</w:t>
            </w:r>
          </w:p>
        </w:tc>
        <w:tc>
          <w:tcPr>
            <w:tcW w:w="2054" w:type="dxa"/>
          </w:tcPr>
          <w:p w:rsidR="005171F5" w:rsidRPr="00CB6FAE" w:rsidRDefault="005171F5" w:rsidP="004D2BFF">
            <w:pPr>
              <w:tabs>
                <w:tab w:val="left" w:pos="7320"/>
              </w:tabs>
              <w:rPr>
                <w:rFonts w:eastAsia="Calibri"/>
                <w:sz w:val="22"/>
                <w:szCs w:val="22"/>
              </w:rPr>
            </w:pPr>
            <w:r w:rsidRPr="00CB6FAE">
              <w:rPr>
                <w:sz w:val="22"/>
                <w:szCs w:val="22"/>
              </w:rPr>
              <w:t>Akhtaruddin (2005)</w:t>
            </w:r>
          </w:p>
        </w:tc>
        <w:tc>
          <w:tcPr>
            <w:tcW w:w="1546" w:type="dxa"/>
          </w:tcPr>
          <w:p w:rsidR="005171F5" w:rsidRPr="00CB6FAE" w:rsidRDefault="005171F5" w:rsidP="004D2BFF">
            <w:pPr>
              <w:tabs>
                <w:tab w:val="left" w:pos="7320"/>
              </w:tabs>
              <w:rPr>
                <w:rFonts w:eastAsia="Calibri"/>
                <w:sz w:val="22"/>
                <w:szCs w:val="22"/>
              </w:rPr>
            </w:pPr>
            <w:r w:rsidRPr="00CB6FAE">
              <w:rPr>
                <w:rFonts w:eastAsia="Calibri"/>
                <w:sz w:val="22"/>
                <w:szCs w:val="22"/>
              </w:rPr>
              <w:t>Bangladesh</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company age, Industry type, profitability.</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rPr>
            </w:pPr>
            <w:r w:rsidRPr="00CB6FAE">
              <w:rPr>
                <w:rFonts w:eastAsia="Calibri"/>
                <w:sz w:val="22"/>
                <w:szCs w:val="22"/>
              </w:rPr>
              <w:t>Unweighted (equal weight/dichotomous) disclosure Index</w:t>
            </w:r>
          </w:p>
        </w:tc>
        <w:tc>
          <w:tcPr>
            <w:tcW w:w="1530" w:type="dxa"/>
          </w:tcPr>
          <w:p w:rsidR="005171F5" w:rsidRPr="00CB6FAE" w:rsidRDefault="005171F5" w:rsidP="004D2BFF">
            <w:pPr>
              <w:tabs>
                <w:tab w:val="left" w:pos="7320"/>
              </w:tabs>
              <w:rPr>
                <w:rFonts w:eastAsia="Calibri"/>
                <w:sz w:val="22"/>
                <w:szCs w:val="22"/>
              </w:rPr>
            </w:pPr>
            <w:r w:rsidRPr="00CB6FAE">
              <w:rPr>
                <w:bCs/>
                <w:sz w:val="22"/>
                <w:szCs w:val="22"/>
              </w:rPr>
              <w:t>Univariate and Ordinary Least Square (OLS)</w:t>
            </w:r>
          </w:p>
        </w:tc>
      </w:tr>
      <w:tr w:rsidR="005171F5" w:rsidRPr="00CB6FAE" w:rsidTr="004D2BFF">
        <w:tc>
          <w:tcPr>
            <w:tcW w:w="558" w:type="dxa"/>
          </w:tcPr>
          <w:p w:rsidR="005171F5" w:rsidRPr="00CB6FAE" w:rsidRDefault="005171F5" w:rsidP="004D2BFF">
            <w:pPr>
              <w:tabs>
                <w:tab w:val="left" w:pos="7320"/>
              </w:tabs>
              <w:rPr>
                <w:rFonts w:eastAsia="Calibri"/>
                <w:sz w:val="22"/>
                <w:szCs w:val="22"/>
              </w:rPr>
            </w:pPr>
            <w:r w:rsidRPr="00CB6FAE">
              <w:rPr>
                <w:rFonts w:eastAsia="Calibri"/>
                <w:sz w:val="22"/>
                <w:szCs w:val="22"/>
              </w:rPr>
              <w:t>3</w:t>
            </w:r>
            <w:r w:rsidR="00FE68B7">
              <w:rPr>
                <w:rFonts w:eastAsia="Calibri"/>
                <w:sz w:val="22"/>
                <w:szCs w:val="22"/>
              </w:rPr>
              <w:t>4</w:t>
            </w:r>
          </w:p>
        </w:tc>
        <w:tc>
          <w:tcPr>
            <w:tcW w:w="2054" w:type="dxa"/>
          </w:tcPr>
          <w:p w:rsidR="005171F5" w:rsidRPr="00CB6FAE" w:rsidRDefault="005171F5" w:rsidP="004D2BFF">
            <w:pPr>
              <w:tabs>
                <w:tab w:val="left" w:pos="7320"/>
              </w:tabs>
              <w:rPr>
                <w:rFonts w:eastAsia="Calibri"/>
                <w:sz w:val="22"/>
                <w:szCs w:val="22"/>
              </w:rPr>
            </w:pPr>
            <w:r w:rsidRPr="00CB6FAE">
              <w:rPr>
                <w:rFonts w:eastAsia="Calibri"/>
                <w:sz w:val="22"/>
                <w:szCs w:val="22"/>
              </w:rPr>
              <w:t>Al-Shammari(2005)</w:t>
            </w:r>
          </w:p>
        </w:tc>
        <w:tc>
          <w:tcPr>
            <w:tcW w:w="1546" w:type="dxa"/>
          </w:tcPr>
          <w:p w:rsidR="005171F5" w:rsidRPr="00CB6FAE" w:rsidRDefault="005171F5" w:rsidP="004D2BFF">
            <w:pPr>
              <w:tabs>
                <w:tab w:val="left" w:pos="7320"/>
              </w:tabs>
              <w:rPr>
                <w:rFonts w:eastAsia="Calibri"/>
                <w:sz w:val="22"/>
                <w:szCs w:val="22"/>
              </w:rPr>
            </w:pPr>
            <w:r w:rsidRPr="00CB6FAE">
              <w:rPr>
                <w:rFonts w:eastAsia="Calibri"/>
                <w:sz w:val="22"/>
                <w:szCs w:val="22"/>
              </w:rPr>
              <w:t>Bahrain, Oman,Kuwait,Qatar, Saudi Arabia, United Arab Emirates</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Company size, country of origin, Industry type, profitability, leverage, liquidity, auditor, internationality, ownership dilution, company age.</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rPr>
            </w:pPr>
            <w:r w:rsidRPr="00CB6FAE">
              <w:rPr>
                <w:rFonts w:eastAsia="Calibri"/>
                <w:sz w:val="22"/>
                <w:szCs w:val="22"/>
              </w:rPr>
              <w:t>Unweighted (equal weight/dichotomous) disclosure Index</w:t>
            </w:r>
          </w:p>
        </w:tc>
        <w:tc>
          <w:tcPr>
            <w:tcW w:w="1530" w:type="dxa"/>
          </w:tcPr>
          <w:p w:rsidR="005171F5" w:rsidRPr="00CB6FAE" w:rsidRDefault="005171F5" w:rsidP="004D2BFF">
            <w:pPr>
              <w:tabs>
                <w:tab w:val="left" w:pos="7320"/>
              </w:tabs>
              <w:rPr>
                <w:rFonts w:eastAsia="Calibri"/>
                <w:sz w:val="22"/>
                <w:szCs w:val="22"/>
              </w:rPr>
            </w:pPr>
          </w:p>
        </w:tc>
      </w:tr>
      <w:tr w:rsidR="005171F5" w:rsidRPr="00CB6FAE" w:rsidTr="004D2BFF">
        <w:tc>
          <w:tcPr>
            <w:tcW w:w="558" w:type="dxa"/>
          </w:tcPr>
          <w:p w:rsidR="005171F5" w:rsidRPr="00CB6FAE" w:rsidRDefault="005171F5" w:rsidP="004D2BFF">
            <w:pPr>
              <w:tabs>
                <w:tab w:val="left" w:pos="7320"/>
              </w:tabs>
              <w:rPr>
                <w:rFonts w:eastAsia="Calibri"/>
                <w:sz w:val="22"/>
                <w:szCs w:val="22"/>
              </w:rPr>
            </w:pPr>
            <w:r w:rsidRPr="00CB6FAE">
              <w:rPr>
                <w:rFonts w:eastAsia="Calibri"/>
                <w:sz w:val="22"/>
                <w:szCs w:val="22"/>
              </w:rPr>
              <w:t>3</w:t>
            </w:r>
            <w:r w:rsidR="00FE68B7">
              <w:rPr>
                <w:rFonts w:eastAsia="Calibri"/>
                <w:sz w:val="22"/>
                <w:szCs w:val="22"/>
              </w:rPr>
              <w:t>5</w:t>
            </w:r>
          </w:p>
        </w:tc>
        <w:tc>
          <w:tcPr>
            <w:tcW w:w="2054" w:type="dxa"/>
          </w:tcPr>
          <w:p w:rsidR="005171F5" w:rsidRPr="00CB6FAE" w:rsidRDefault="005171F5" w:rsidP="004D2BFF">
            <w:pPr>
              <w:tabs>
                <w:tab w:val="left" w:pos="7320"/>
              </w:tabs>
              <w:rPr>
                <w:rFonts w:eastAsia="Calibri"/>
                <w:sz w:val="22"/>
                <w:szCs w:val="22"/>
              </w:rPr>
            </w:pPr>
            <w:r w:rsidRPr="00CB6FAE">
              <w:rPr>
                <w:rFonts w:eastAsia="Calibri"/>
                <w:sz w:val="22"/>
                <w:szCs w:val="22"/>
              </w:rPr>
              <w:t>Daske and Gebhardt(2006)</w:t>
            </w:r>
          </w:p>
        </w:tc>
        <w:tc>
          <w:tcPr>
            <w:tcW w:w="1546" w:type="dxa"/>
          </w:tcPr>
          <w:p w:rsidR="005171F5" w:rsidRPr="00CB6FAE" w:rsidRDefault="005171F5" w:rsidP="004D2BFF">
            <w:pPr>
              <w:tabs>
                <w:tab w:val="left" w:pos="7320"/>
              </w:tabs>
              <w:rPr>
                <w:rFonts w:eastAsia="Calibri"/>
                <w:sz w:val="22"/>
                <w:szCs w:val="22"/>
              </w:rPr>
            </w:pPr>
            <w:r w:rsidRPr="00CB6FAE">
              <w:rPr>
                <w:rFonts w:eastAsia="Calibri"/>
                <w:sz w:val="22"/>
                <w:szCs w:val="22"/>
              </w:rPr>
              <w:t>Germany, Switzerland and Austria</w:t>
            </w:r>
          </w:p>
        </w:tc>
        <w:tc>
          <w:tcPr>
            <w:tcW w:w="3600" w:type="dxa"/>
          </w:tcPr>
          <w:p w:rsidR="005171F5" w:rsidRPr="00CB6FAE" w:rsidRDefault="005171F5" w:rsidP="004D2BFF">
            <w:pPr>
              <w:tabs>
                <w:tab w:val="left" w:pos="7320"/>
              </w:tabs>
              <w:rPr>
                <w:rFonts w:eastAsia="Calibri"/>
                <w:sz w:val="22"/>
                <w:szCs w:val="22"/>
              </w:rPr>
            </w:pPr>
            <w:r w:rsidRPr="00CB6FAE">
              <w:rPr>
                <w:rFonts w:eastAsia="Calibri"/>
                <w:sz w:val="22"/>
                <w:szCs w:val="22"/>
              </w:rPr>
              <w:t>Log of market capitalization, log of assets, average number of analysts, total debt to market capitalization, PPE to total assets and return on assets.</w:t>
            </w:r>
          </w:p>
        </w:tc>
        <w:tc>
          <w:tcPr>
            <w:tcW w:w="1530" w:type="dxa"/>
          </w:tcPr>
          <w:p w:rsidR="005171F5" w:rsidRPr="00CB6FAE" w:rsidRDefault="005171F5" w:rsidP="004D2BFF">
            <w:pPr>
              <w:tabs>
                <w:tab w:val="left" w:pos="7320"/>
              </w:tabs>
              <w:rPr>
                <w:rFonts w:eastAsia="Calibri"/>
                <w:sz w:val="22"/>
                <w:szCs w:val="22"/>
              </w:rPr>
            </w:pPr>
            <w:r w:rsidRPr="00CB6FAE">
              <w:rPr>
                <w:rFonts w:eastAsia="Calibri"/>
                <w:sz w:val="22"/>
                <w:szCs w:val="22"/>
              </w:rPr>
              <w:t>Multiple Linear Regression, Correlation and Univariate</w:t>
            </w:r>
          </w:p>
        </w:tc>
      </w:tr>
      <w:tr w:rsidR="005171F5" w:rsidRPr="00CB6FAE" w:rsidTr="004D2BFF">
        <w:tc>
          <w:tcPr>
            <w:tcW w:w="558" w:type="dxa"/>
          </w:tcPr>
          <w:p w:rsidR="005171F5" w:rsidRPr="00CB6FAE" w:rsidRDefault="005171F5" w:rsidP="004D2BFF">
            <w:pPr>
              <w:tabs>
                <w:tab w:val="left" w:pos="7320"/>
              </w:tabs>
              <w:rPr>
                <w:rFonts w:eastAsia="Calibri"/>
                <w:sz w:val="22"/>
                <w:szCs w:val="22"/>
              </w:rPr>
            </w:pPr>
            <w:r w:rsidRPr="00CB6FAE">
              <w:rPr>
                <w:rFonts w:eastAsia="Calibri"/>
                <w:sz w:val="22"/>
                <w:szCs w:val="22"/>
              </w:rPr>
              <w:t>3</w:t>
            </w:r>
            <w:r w:rsidR="00FE68B7">
              <w:rPr>
                <w:rFonts w:eastAsia="Calibri"/>
                <w:sz w:val="22"/>
                <w:szCs w:val="22"/>
              </w:rPr>
              <w:t>6</w:t>
            </w:r>
          </w:p>
        </w:tc>
        <w:tc>
          <w:tcPr>
            <w:tcW w:w="2054" w:type="dxa"/>
          </w:tcPr>
          <w:p w:rsidR="005171F5" w:rsidRPr="00CB6FAE" w:rsidRDefault="005171F5" w:rsidP="004D2BFF">
            <w:pPr>
              <w:tabs>
                <w:tab w:val="left" w:pos="7320"/>
              </w:tabs>
              <w:rPr>
                <w:rFonts w:eastAsia="Calibri"/>
                <w:sz w:val="22"/>
                <w:szCs w:val="22"/>
              </w:rPr>
            </w:pPr>
            <w:r w:rsidRPr="00CB6FAE">
              <w:rPr>
                <w:rFonts w:eastAsia="Calibri"/>
                <w:sz w:val="22"/>
                <w:szCs w:val="22"/>
              </w:rPr>
              <w:t>Iatridis (2006)</w:t>
            </w:r>
          </w:p>
        </w:tc>
        <w:tc>
          <w:tcPr>
            <w:tcW w:w="1546" w:type="dxa"/>
          </w:tcPr>
          <w:p w:rsidR="005171F5" w:rsidRPr="00CB6FAE" w:rsidRDefault="005171F5" w:rsidP="004D2BFF">
            <w:pPr>
              <w:tabs>
                <w:tab w:val="left" w:pos="7320"/>
              </w:tabs>
              <w:rPr>
                <w:rFonts w:eastAsia="Calibri"/>
                <w:sz w:val="22"/>
                <w:szCs w:val="22"/>
              </w:rPr>
            </w:pPr>
            <w:r w:rsidRPr="00CB6FAE">
              <w:rPr>
                <w:rFonts w:eastAsia="Calibri"/>
                <w:sz w:val="22"/>
                <w:szCs w:val="22"/>
              </w:rPr>
              <w:t>United kingdom</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Size, growth, profitability, liquidity, leverage, taxation, management</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rPr>
            </w:pPr>
            <w:r w:rsidRPr="00CB6FAE">
              <w:rPr>
                <w:rFonts w:eastAsia="Calibri"/>
                <w:sz w:val="22"/>
                <w:szCs w:val="22"/>
              </w:rPr>
              <w:t>Binary</w:t>
            </w:r>
          </w:p>
        </w:tc>
        <w:tc>
          <w:tcPr>
            <w:tcW w:w="1530" w:type="dxa"/>
          </w:tcPr>
          <w:p w:rsidR="005171F5" w:rsidRPr="00CB6FAE" w:rsidRDefault="005171F5" w:rsidP="004D2BFF">
            <w:pPr>
              <w:autoSpaceDE w:val="0"/>
              <w:autoSpaceDN w:val="0"/>
              <w:adjustRightInd w:val="0"/>
              <w:rPr>
                <w:bCs/>
                <w:sz w:val="22"/>
                <w:szCs w:val="22"/>
              </w:rPr>
            </w:pPr>
            <w:r w:rsidRPr="00CB6FAE">
              <w:rPr>
                <w:bCs/>
                <w:sz w:val="22"/>
                <w:szCs w:val="22"/>
              </w:rPr>
              <w:t>Binary Logistic Regression and Kruskal-Wallis test.</w:t>
            </w:r>
          </w:p>
        </w:tc>
      </w:tr>
      <w:tr w:rsidR="005171F5" w:rsidRPr="00CB6FAE" w:rsidTr="004D2BFF">
        <w:tc>
          <w:tcPr>
            <w:tcW w:w="558" w:type="dxa"/>
          </w:tcPr>
          <w:p w:rsidR="005171F5" w:rsidRPr="00CB6FAE" w:rsidRDefault="005171F5" w:rsidP="004D2BFF">
            <w:pPr>
              <w:tabs>
                <w:tab w:val="left" w:pos="7320"/>
              </w:tabs>
              <w:rPr>
                <w:rFonts w:eastAsia="Calibri"/>
                <w:sz w:val="22"/>
                <w:szCs w:val="22"/>
              </w:rPr>
            </w:pPr>
            <w:r w:rsidRPr="00CB6FAE">
              <w:rPr>
                <w:rFonts w:eastAsia="Calibri"/>
                <w:sz w:val="22"/>
                <w:szCs w:val="22"/>
              </w:rPr>
              <w:t>3</w:t>
            </w:r>
            <w:r w:rsidR="00FE68B7">
              <w:rPr>
                <w:rFonts w:eastAsia="Calibri"/>
                <w:sz w:val="22"/>
                <w:szCs w:val="22"/>
              </w:rPr>
              <w:t>7</w:t>
            </w:r>
          </w:p>
        </w:tc>
        <w:tc>
          <w:tcPr>
            <w:tcW w:w="2054" w:type="dxa"/>
          </w:tcPr>
          <w:p w:rsidR="005171F5" w:rsidRPr="00CB6FAE" w:rsidRDefault="005171F5" w:rsidP="004D2BFF">
            <w:pPr>
              <w:tabs>
                <w:tab w:val="left" w:pos="7320"/>
              </w:tabs>
              <w:rPr>
                <w:rFonts w:eastAsia="Calibri"/>
                <w:sz w:val="22"/>
                <w:szCs w:val="22"/>
              </w:rPr>
            </w:pPr>
            <w:r w:rsidRPr="00CB6FAE">
              <w:rPr>
                <w:rFonts w:eastAsia="Calibri"/>
                <w:sz w:val="22"/>
                <w:szCs w:val="22"/>
              </w:rPr>
              <w:t>Barako(2007)</w:t>
            </w:r>
          </w:p>
        </w:tc>
        <w:tc>
          <w:tcPr>
            <w:tcW w:w="1546" w:type="dxa"/>
          </w:tcPr>
          <w:p w:rsidR="005171F5" w:rsidRPr="00CB6FAE" w:rsidRDefault="005171F5" w:rsidP="004D2BFF">
            <w:pPr>
              <w:tabs>
                <w:tab w:val="left" w:pos="7320"/>
              </w:tabs>
              <w:rPr>
                <w:rFonts w:eastAsia="Calibri"/>
                <w:sz w:val="22"/>
                <w:szCs w:val="22"/>
              </w:rPr>
            </w:pPr>
            <w:r w:rsidRPr="00CB6FAE">
              <w:rPr>
                <w:rFonts w:eastAsia="Calibri"/>
                <w:sz w:val="22"/>
                <w:szCs w:val="22"/>
              </w:rPr>
              <w:t>Kenya</w:t>
            </w:r>
          </w:p>
        </w:tc>
        <w:tc>
          <w:tcPr>
            <w:tcW w:w="3600" w:type="dxa"/>
          </w:tcPr>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Independent</w:t>
            </w:r>
          </w:p>
          <w:p w:rsidR="005171F5" w:rsidRPr="00CB6FAE" w:rsidRDefault="005171F5" w:rsidP="004D2BFF">
            <w:pPr>
              <w:tabs>
                <w:tab w:val="left" w:pos="7320"/>
              </w:tabs>
              <w:rPr>
                <w:rFonts w:eastAsia="Calibri"/>
                <w:sz w:val="22"/>
                <w:szCs w:val="22"/>
              </w:rPr>
            </w:pPr>
            <w:r w:rsidRPr="00CB6FAE">
              <w:rPr>
                <w:rFonts w:eastAsia="Calibri"/>
                <w:sz w:val="22"/>
                <w:szCs w:val="22"/>
              </w:rPr>
              <w:t>Board composition, leadership structure, Board size, audit committee, shareholder concentration, foreign ownership, institutional ownership, firm size, external auditor firm, leverage, profitability, liquidity,industry type.</w:t>
            </w:r>
          </w:p>
          <w:p w:rsidR="005171F5" w:rsidRPr="00CB6FAE" w:rsidRDefault="005171F5" w:rsidP="004D2BFF">
            <w:pPr>
              <w:tabs>
                <w:tab w:val="left" w:pos="7320"/>
              </w:tabs>
              <w:rPr>
                <w:rFonts w:eastAsia="Calibri"/>
                <w:sz w:val="22"/>
                <w:szCs w:val="22"/>
                <w:u w:val="single"/>
              </w:rPr>
            </w:pPr>
            <w:r w:rsidRPr="00CB6FAE">
              <w:rPr>
                <w:rFonts w:eastAsia="Calibri"/>
                <w:sz w:val="22"/>
                <w:szCs w:val="22"/>
                <w:u w:val="single"/>
              </w:rPr>
              <w:t>Dependent</w:t>
            </w:r>
          </w:p>
          <w:p w:rsidR="005171F5" w:rsidRPr="00CB6FAE" w:rsidRDefault="005171F5" w:rsidP="004D2BFF">
            <w:pPr>
              <w:tabs>
                <w:tab w:val="left" w:pos="7320"/>
              </w:tabs>
              <w:rPr>
                <w:rFonts w:eastAsia="Calibri"/>
                <w:sz w:val="22"/>
                <w:szCs w:val="22"/>
              </w:rPr>
            </w:pPr>
            <w:r w:rsidRPr="00CB6FAE">
              <w:rPr>
                <w:rFonts w:eastAsia="Calibri"/>
                <w:sz w:val="22"/>
                <w:szCs w:val="22"/>
              </w:rPr>
              <w:t>Weighted disclosure index</w:t>
            </w:r>
          </w:p>
        </w:tc>
        <w:tc>
          <w:tcPr>
            <w:tcW w:w="1530" w:type="dxa"/>
          </w:tcPr>
          <w:p w:rsidR="005171F5" w:rsidRPr="00CB6FAE" w:rsidRDefault="005171F5" w:rsidP="004D2BFF">
            <w:pPr>
              <w:autoSpaceDE w:val="0"/>
              <w:autoSpaceDN w:val="0"/>
              <w:adjustRightInd w:val="0"/>
              <w:rPr>
                <w:bCs/>
                <w:sz w:val="22"/>
                <w:szCs w:val="22"/>
              </w:rPr>
            </w:pPr>
            <w:r w:rsidRPr="00CB6FAE">
              <w:rPr>
                <w:bCs/>
                <w:sz w:val="22"/>
                <w:szCs w:val="22"/>
              </w:rPr>
              <w:t>Univariate, Ordinary Least Square (OLS) with Panel-Corrected Standard Errors</w:t>
            </w:r>
          </w:p>
          <w:p w:rsidR="005171F5" w:rsidRPr="00CB6FAE" w:rsidRDefault="005171F5" w:rsidP="004D2BFF">
            <w:pPr>
              <w:tabs>
                <w:tab w:val="left" w:pos="7320"/>
              </w:tabs>
              <w:rPr>
                <w:rFonts w:eastAsia="Calibri"/>
                <w:sz w:val="22"/>
                <w:szCs w:val="22"/>
              </w:rPr>
            </w:pPr>
            <w:r w:rsidRPr="00CB6FAE">
              <w:rPr>
                <w:bCs/>
                <w:sz w:val="22"/>
                <w:szCs w:val="22"/>
              </w:rPr>
              <w:t>(PCSEs).</w:t>
            </w:r>
          </w:p>
        </w:tc>
      </w:tr>
    </w:tbl>
    <w:p w:rsidR="005171F5" w:rsidRPr="00CB6FAE" w:rsidRDefault="005171F5" w:rsidP="005171F5">
      <w:pPr>
        <w:tabs>
          <w:tab w:val="left" w:pos="7320"/>
        </w:tabs>
        <w:rPr>
          <w:sz w:val="22"/>
          <w:szCs w:val="22"/>
        </w:rPr>
      </w:pPr>
    </w:p>
    <w:p w:rsidR="005171F5" w:rsidRPr="00CB6FAE" w:rsidRDefault="005171F5" w:rsidP="005171F5">
      <w:pPr>
        <w:jc w:val="center"/>
        <w:rPr>
          <w:b/>
          <w:sz w:val="22"/>
          <w:szCs w:val="22"/>
        </w:rPr>
      </w:pPr>
      <w:r w:rsidRPr="00CB6FAE">
        <w:rPr>
          <w:b/>
          <w:sz w:val="22"/>
          <w:szCs w:val="22"/>
        </w:rPr>
        <w:t>Source: Compiled from the literature reviewed by the researcher (2009)</w:t>
      </w:r>
    </w:p>
    <w:p w:rsidR="005171F5" w:rsidRPr="00CB6FAE" w:rsidRDefault="005171F5" w:rsidP="005171F5">
      <w:pPr>
        <w:jc w:val="center"/>
        <w:rPr>
          <w:sz w:val="22"/>
          <w:szCs w:val="22"/>
        </w:rPr>
      </w:pPr>
    </w:p>
    <w:p w:rsidR="005171F5" w:rsidRPr="00CB6FAE" w:rsidRDefault="005171F5" w:rsidP="005171F5">
      <w:pPr>
        <w:jc w:val="center"/>
        <w:rPr>
          <w:sz w:val="22"/>
          <w:szCs w:val="22"/>
        </w:rPr>
      </w:pPr>
    </w:p>
    <w:p w:rsidR="005171F5" w:rsidRPr="00CB6FAE" w:rsidRDefault="005171F5" w:rsidP="005171F5">
      <w:pPr>
        <w:jc w:val="center"/>
        <w:rPr>
          <w:sz w:val="22"/>
          <w:szCs w:val="22"/>
        </w:rPr>
      </w:pPr>
    </w:p>
    <w:p w:rsidR="005171F5" w:rsidRPr="008573C5" w:rsidRDefault="005171F5" w:rsidP="005171F5">
      <w:pPr>
        <w:jc w:val="center"/>
        <w:rPr>
          <w:b/>
          <w:sz w:val="28"/>
          <w:szCs w:val="28"/>
        </w:rPr>
      </w:pPr>
      <w:r w:rsidRPr="008573C5">
        <w:rPr>
          <w:b/>
          <w:sz w:val="28"/>
          <w:szCs w:val="28"/>
        </w:rPr>
        <w:t>Table 2.02</w:t>
      </w:r>
    </w:p>
    <w:p w:rsidR="005171F5" w:rsidRPr="008573C5" w:rsidRDefault="005171F5" w:rsidP="005171F5">
      <w:pPr>
        <w:jc w:val="center"/>
        <w:rPr>
          <w:sz w:val="28"/>
          <w:szCs w:val="28"/>
        </w:rPr>
      </w:pPr>
      <w:r w:rsidRPr="008573C5">
        <w:rPr>
          <w:b/>
          <w:sz w:val="28"/>
          <w:szCs w:val="28"/>
        </w:rPr>
        <w:t xml:space="preserve">Summary of Studies Investigating the Association between Level of Disclosure and Company Size </w:t>
      </w:r>
      <w:r w:rsidRPr="008573C5">
        <w:rPr>
          <w:sz w:val="28"/>
          <w:szCs w:val="28"/>
        </w:rPr>
        <w:t xml:space="preserve"> </w:t>
      </w:r>
    </w:p>
    <w:p w:rsidR="005171F5" w:rsidRPr="008573C5" w:rsidRDefault="005171F5" w:rsidP="005171F5">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1890"/>
        <w:gridCol w:w="2075"/>
        <w:gridCol w:w="1322"/>
        <w:gridCol w:w="2230"/>
      </w:tblGrid>
      <w:tr w:rsidR="005171F5" w:rsidRPr="008573C5" w:rsidTr="00FE68B7">
        <w:tc>
          <w:tcPr>
            <w:tcW w:w="1008" w:type="dxa"/>
          </w:tcPr>
          <w:p w:rsidR="005171F5" w:rsidRPr="00FE68B7" w:rsidRDefault="005171F5" w:rsidP="004D2BFF">
            <w:pPr>
              <w:jc w:val="center"/>
              <w:rPr>
                <w:rFonts w:eastAsia="Calibri"/>
                <w:b/>
                <w:sz w:val="22"/>
                <w:szCs w:val="22"/>
              </w:rPr>
            </w:pPr>
            <w:r w:rsidRPr="00FE68B7">
              <w:rPr>
                <w:rFonts w:eastAsia="Calibri"/>
                <w:b/>
                <w:sz w:val="22"/>
                <w:szCs w:val="22"/>
              </w:rPr>
              <w:t>S/N</w:t>
            </w:r>
          </w:p>
        </w:tc>
        <w:tc>
          <w:tcPr>
            <w:tcW w:w="1890" w:type="dxa"/>
          </w:tcPr>
          <w:p w:rsidR="005171F5" w:rsidRPr="00FE68B7" w:rsidRDefault="005171F5" w:rsidP="004D2BFF">
            <w:pPr>
              <w:jc w:val="center"/>
              <w:rPr>
                <w:rFonts w:eastAsia="Calibri"/>
                <w:b/>
                <w:sz w:val="22"/>
                <w:szCs w:val="22"/>
              </w:rPr>
            </w:pPr>
            <w:r w:rsidRPr="00FE68B7">
              <w:rPr>
                <w:rFonts w:eastAsia="Calibri"/>
                <w:b/>
                <w:sz w:val="22"/>
                <w:szCs w:val="22"/>
              </w:rPr>
              <w:t>Author (s)</w:t>
            </w:r>
          </w:p>
        </w:tc>
        <w:tc>
          <w:tcPr>
            <w:tcW w:w="2075" w:type="dxa"/>
          </w:tcPr>
          <w:p w:rsidR="005171F5" w:rsidRPr="00FE68B7" w:rsidRDefault="006365B5" w:rsidP="004D2BFF">
            <w:pPr>
              <w:jc w:val="center"/>
              <w:rPr>
                <w:rFonts w:eastAsia="Calibri"/>
                <w:b/>
                <w:sz w:val="22"/>
                <w:szCs w:val="22"/>
              </w:rPr>
            </w:pPr>
            <w:r w:rsidRPr="00FE68B7">
              <w:rPr>
                <w:rFonts w:eastAsia="Calibri"/>
                <w:b/>
                <w:sz w:val="22"/>
                <w:szCs w:val="22"/>
              </w:rPr>
              <w:t>Proxy</w:t>
            </w:r>
          </w:p>
        </w:tc>
        <w:tc>
          <w:tcPr>
            <w:tcW w:w="1322" w:type="dxa"/>
          </w:tcPr>
          <w:p w:rsidR="005171F5" w:rsidRPr="00FE68B7" w:rsidRDefault="005171F5" w:rsidP="004D2BFF">
            <w:pPr>
              <w:jc w:val="center"/>
              <w:rPr>
                <w:rFonts w:eastAsia="Calibri"/>
                <w:b/>
                <w:sz w:val="22"/>
                <w:szCs w:val="22"/>
              </w:rPr>
            </w:pPr>
            <w:r w:rsidRPr="00FE68B7">
              <w:rPr>
                <w:rFonts w:eastAsia="Calibri"/>
                <w:b/>
                <w:sz w:val="22"/>
                <w:szCs w:val="22"/>
              </w:rPr>
              <w:t>Reported</w:t>
            </w:r>
          </w:p>
          <w:p w:rsidR="005171F5" w:rsidRPr="00FE68B7" w:rsidRDefault="005171F5" w:rsidP="004D2BFF">
            <w:pPr>
              <w:jc w:val="center"/>
              <w:rPr>
                <w:rFonts w:eastAsia="Calibri"/>
                <w:b/>
                <w:sz w:val="22"/>
                <w:szCs w:val="22"/>
              </w:rPr>
            </w:pPr>
            <w:r w:rsidRPr="00FE68B7">
              <w:rPr>
                <w:rFonts w:eastAsia="Calibri"/>
                <w:b/>
                <w:sz w:val="22"/>
                <w:szCs w:val="22"/>
              </w:rPr>
              <w:t>Sign</w:t>
            </w:r>
          </w:p>
        </w:tc>
        <w:tc>
          <w:tcPr>
            <w:tcW w:w="2230" w:type="dxa"/>
          </w:tcPr>
          <w:p w:rsidR="005171F5" w:rsidRPr="00FE68B7" w:rsidRDefault="005171F5" w:rsidP="004D2BFF">
            <w:pPr>
              <w:jc w:val="center"/>
              <w:rPr>
                <w:rFonts w:eastAsia="Calibri"/>
                <w:b/>
                <w:sz w:val="22"/>
                <w:szCs w:val="22"/>
              </w:rPr>
            </w:pPr>
            <w:r w:rsidRPr="00FE68B7">
              <w:rPr>
                <w:rFonts w:eastAsia="Calibri"/>
                <w:b/>
                <w:sz w:val="22"/>
                <w:szCs w:val="22"/>
              </w:rPr>
              <w:t>Significant(Sig)/Non Significant(Nsig)</w:t>
            </w:r>
          </w:p>
        </w:tc>
      </w:tr>
      <w:tr w:rsidR="005171F5" w:rsidRPr="00FE68B7" w:rsidTr="00FE68B7">
        <w:tc>
          <w:tcPr>
            <w:tcW w:w="1008" w:type="dxa"/>
          </w:tcPr>
          <w:p w:rsidR="005171F5" w:rsidRPr="00FE68B7" w:rsidRDefault="005171F5" w:rsidP="004D2BFF">
            <w:pPr>
              <w:tabs>
                <w:tab w:val="left" w:pos="7320"/>
              </w:tabs>
              <w:spacing w:before="240"/>
              <w:jc w:val="both"/>
              <w:rPr>
                <w:rFonts w:eastAsia="Calibri"/>
                <w:sz w:val="22"/>
                <w:szCs w:val="22"/>
              </w:rPr>
            </w:pPr>
            <w:r w:rsidRPr="00FE68B7">
              <w:rPr>
                <w:rFonts w:eastAsia="Calibri"/>
                <w:sz w:val="22"/>
                <w:szCs w:val="22"/>
              </w:rPr>
              <w:t>1</w:t>
            </w:r>
          </w:p>
        </w:tc>
        <w:tc>
          <w:tcPr>
            <w:tcW w:w="1890" w:type="dxa"/>
          </w:tcPr>
          <w:p w:rsidR="005171F5" w:rsidRPr="00FE68B7" w:rsidRDefault="005171F5" w:rsidP="004D2BFF">
            <w:pPr>
              <w:tabs>
                <w:tab w:val="left" w:pos="7320"/>
              </w:tabs>
              <w:spacing w:before="240"/>
              <w:jc w:val="both"/>
              <w:rPr>
                <w:rFonts w:eastAsia="Calibri"/>
                <w:sz w:val="22"/>
                <w:szCs w:val="22"/>
              </w:rPr>
            </w:pPr>
            <w:r w:rsidRPr="00FE68B7">
              <w:rPr>
                <w:rFonts w:eastAsia="Calibri"/>
                <w:sz w:val="22"/>
                <w:szCs w:val="22"/>
              </w:rPr>
              <w:t>Singhvi (1968)</w:t>
            </w:r>
          </w:p>
        </w:tc>
        <w:tc>
          <w:tcPr>
            <w:tcW w:w="2075" w:type="dxa"/>
          </w:tcPr>
          <w:p w:rsidR="005171F5" w:rsidRPr="00FE68B7" w:rsidRDefault="005171F5" w:rsidP="004D2BFF">
            <w:pPr>
              <w:jc w:val="both"/>
              <w:rPr>
                <w:rFonts w:eastAsia="Calibri"/>
                <w:sz w:val="22"/>
                <w:szCs w:val="22"/>
              </w:rPr>
            </w:pPr>
            <w:r w:rsidRPr="00FE68B7">
              <w:rPr>
                <w:rFonts w:eastAsia="Calibri"/>
                <w:sz w:val="22"/>
                <w:szCs w:val="22"/>
              </w:rPr>
              <w:t>Assets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tcPr>
          <w:p w:rsidR="005171F5" w:rsidRPr="00FE68B7" w:rsidRDefault="005171F5" w:rsidP="004D2BFF">
            <w:pPr>
              <w:tabs>
                <w:tab w:val="left" w:pos="7320"/>
              </w:tabs>
              <w:spacing w:before="240"/>
              <w:jc w:val="both"/>
              <w:rPr>
                <w:rFonts w:eastAsia="Calibri"/>
                <w:sz w:val="22"/>
                <w:szCs w:val="22"/>
              </w:rPr>
            </w:pPr>
            <w:r w:rsidRPr="00FE68B7">
              <w:rPr>
                <w:rFonts w:eastAsia="Calibri"/>
                <w:sz w:val="22"/>
                <w:szCs w:val="22"/>
              </w:rPr>
              <w:t>2</w:t>
            </w:r>
          </w:p>
        </w:tc>
        <w:tc>
          <w:tcPr>
            <w:tcW w:w="1890" w:type="dxa"/>
          </w:tcPr>
          <w:p w:rsidR="005171F5" w:rsidRPr="00FE68B7" w:rsidRDefault="005171F5" w:rsidP="004D2BFF">
            <w:pPr>
              <w:tabs>
                <w:tab w:val="left" w:pos="7320"/>
              </w:tabs>
              <w:spacing w:before="240"/>
              <w:jc w:val="both"/>
              <w:rPr>
                <w:rFonts w:eastAsia="Calibri"/>
                <w:sz w:val="22"/>
                <w:szCs w:val="22"/>
              </w:rPr>
            </w:pPr>
            <w:r w:rsidRPr="00FE68B7">
              <w:rPr>
                <w:rFonts w:eastAsia="Calibri"/>
                <w:sz w:val="22"/>
                <w:szCs w:val="22"/>
              </w:rPr>
              <w:t>Singhvi and Desai(1971)</w:t>
            </w:r>
          </w:p>
        </w:tc>
        <w:tc>
          <w:tcPr>
            <w:tcW w:w="2075" w:type="dxa"/>
          </w:tcPr>
          <w:p w:rsidR="005171F5" w:rsidRPr="00FE68B7" w:rsidRDefault="005171F5" w:rsidP="004D2BFF">
            <w:pPr>
              <w:jc w:val="both"/>
              <w:rPr>
                <w:rFonts w:eastAsia="Calibri"/>
                <w:sz w:val="22"/>
                <w:szCs w:val="22"/>
              </w:rPr>
            </w:pPr>
            <w:r w:rsidRPr="00FE68B7">
              <w:rPr>
                <w:rFonts w:eastAsia="Calibri"/>
                <w:sz w:val="22"/>
                <w:szCs w:val="22"/>
              </w:rPr>
              <w:t>Assets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tcPr>
          <w:p w:rsidR="005171F5" w:rsidRPr="00FE68B7" w:rsidRDefault="005171F5" w:rsidP="004D2BFF">
            <w:pPr>
              <w:tabs>
                <w:tab w:val="left" w:pos="7320"/>
              </w:tabs>
              <w:spacing w:before="240"/>
              <w:jc w:val="both"/>
              <w:rPr>
                <w:rFonts w:eastAsia="Calibri"/>
                <w:sz w:val="22"/>
                <w:szCs w:val="22"/>
              </w:rPr>
            </w:pPr>
            <w:r w:rsidRPr="00FE68B7">
              <w:rPr>
                <w:rFonts w:eastAsia="Calibri"/>
                <w:sz w:val="22"/>
                <w:szCs w:val="22"/>
              </w:rPr>
              <w:t>3</w:t>
            </w:r>
          </w:p>
        </w:tc>
        <w:tc>
          <w:tcPr>
            <w:tcW w:w="1890" w:type="dxa"/>
          </w:tcPr>
          <w:p w:rsidR="005171F5" w:rsidRPr="00FE68B7" w:rsidRDefault="005171F5" w:rsidP="004D2BFF">
            <w:pPr>
              <w:tabs>
                <w:tab w:val="left" w:pos="7320"/>
              </w:tabs>
              <w:spacing w:before="240"/>
              <w:jc w:val="both"/>
              <w:rPr>
                <w:rFonts w:eastAsia="Calibri"/>
                <w:sz w:val="22"/>
                <w:szCs w:val="22"/>
              </w:rPr>
            </w:pPr>
            <w:r w:rsidRPr="00FE68B7">
              <w:rPr>
                <w:rFonts w:eastAsia="Calibri"/>
                <w:sz w:val="22"/>
                <w:szCs w:val="22"/>
              </w:rPr>
              <w:t>Buzby(1975)</w:t>
            </w:r>
          </w:p>
        </w:tc>
        <w:tc>
          <w:tcPr>
            <w:tcW w:w="2075" w:type="dxa"/>
          </w:tcPr>
          <w:p w:rsidR="005171F5" w:rsidRPr="00FE68B7" w:rsidRDefault="005171F5" w:rsidP="004D2BFF">
            <w:pPr>
              <w:jc w:val="both"/>
              <w:rPr>
                <w:rFonts w:eastAsia="Calibri"/>
                <w:sz w:val="22"/>
                <w:szCs w:val="22"/>
              </w:rPr>
            </w:pPr>
            <w:r w:rsidRPr="00FE68B7">
              <w:rPr>
                <w:rFonts w:eastAsia="Calibri"/>
                <w:sz w:val="22"/>
                <w:szCs w:val="22"/>
              </w:rPr>
              <w:t>Total assets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tcPr>
          <w:p w:rsidR="005171F5" w:rsidRPr="00FE68B7" w:rsidRDefault="00C35026" w:rsidP="004D2BFF">
            <w:pPr>
              <w:tabs>
                <w:tab w:val="left" w:pos="7320"/>
              </w:tabs>
              <w:spacing w:before="240"/>
              <w:jc w:val="both"/>
              <w:rPr>
                <w:rFonts w:eastAsia="Calibri"/>
                <w:sz w:val="22"/>
                <w:szCs w:val="22"/>
              </w:rPr>
            </w:pPr>
            <w:r w:rsidRPr="00FE68B7">
              <w:rPr>
                <w:rFonts w:eastAsia="Calibri"/>
                <w:sz w:val="22"/>
                <w:szCs w:val="22"/>
              </w:rPr>
              <w:t>4</w:t>
            </w:r>
          </w:p>
        </w:tc>
        <w:tc>
          <w:tcPr>
            <w:tcW w:w="1890"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Firth (1979)</w:t>
            </w:r>
          </w:p>
        </w:tc>
        <w:tc>
          <w:tcPr>
            <w:tcW w:w="2075" w:type="dxa"/>
          </w:tcPr>
          <w:p w:rsidR="005171F5" w:rsidRPr="00FE68B7" w:rsidRDefault="005171F5" w:rsidP="004D2BFF">
            <w:pPr>
              <w:jc w:val="both"/>
              <w:rPr>
                <w:rFonts w:eastAsia="Calibri"/>
                <w:sz w:val="22"/>
                <w:szCs w:val="22"/>
              </w:rPr>
            </w:pPr>
            <w:r w:rsidRPr="00FE68B7">
              <w:rPr>
                <w:rFonts w:eastAsia="Calibri"/>
                <w:sz w:val="22"/>
                <w:szCs w:val="22"/>
              </w:rPr>
              <w:t>Sales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tcPr>
          <w:p w:rsidR="005171F5" w:rsidRPr="00FE68B7" w:rsidRDefault="00C35026" w:rsidP="004D2BFF">
            <w:pPr>
              <w:tabs>
                <w:tab w:val="left" w:pos="7320"/>
              </w:tabs>
              <w:spacing w:before="240"/>
              <w:jc w:val="both"/>
              <w:rPr>
                <w:rFonts w:eastAsia="Calibri"/>
                <w:sz w:val="22"/>
                <w:szCs w:val="22"/>
              </w:rPr>
            </w:pPr>
            <w:r w:rsidRPr="00FE68B7">
              <w:rPr>
                <w:rFonts w:eastAsia="Calibri"/>
                <w:sz w:val="22"/>
                <w:szCs w:val="22"/>
              </w:rPr>
              <w:t>5</w:t>
            </w:r>
          </w:p>
        </w:tc>
        <w:tc>
          <w:tcPr>
            <w:tcW w:w="1890" w:type="dxa"/>
          </w:tcPr>
          <w:p w:rsidR="005171F5" w:rsidRPr="00FE68B7" w:rsidRDefault="005171F5" w:rsidP="004D2BFF">
            <w:pPr>
              <w:tabs>
                <w:tab w:val="left" w:pos="7320"/>
              </w:tabs>
              <w:spacing w:before="240"/>
              <w:jc w:val="both"/>
              <w:rPr>
                <w:rFonts w:eastAsia="Calibri"/>
                <w:sz w:val="22"/>
                <w:szCs w:val="22"/>
              </w:rPr>
            </w:pPr>
            <w:r w:rsidRPr="00FE68B7">
              <w:rPr>
                <w:rFonts w:eastAsia="Calibri"/>
                <w:sz w:val="22"/>
                <w:szCs w:val="22"/>
              </w:rPr>
              <w:t>McNally et al (1982)</w:t>
            </w:r>
          </w:p>
        </w:tc>
        <w:tc>
          <w:tcPr>
            <w:tcW w:w="2075" w:type="dxa"/>
          </w:tcPr>
          <w:p w:rsidR="005171F5" w:rsidRPr="00FE68B7" w:rsidRDefault="005171F5" w:rsidP="004D2BFF">
            <w:pPr>
              <w:jc w:val="both"/>
              <w:rPr>
                <w:rFonts w:eastAsia="Calibri"/>
                <w:sz w:val="22"/>
                <w:szCs w:val="22"/>
              </w:rPr>
            </w:pPr>
            <w:r w:rsidRPr="00FE68B7">
              <w:rPr>
                <w:rFonts w:eastAsia="Calibri"/>
                <w:sz w:val="22"/>
                <w:szCs w:val="22"/>
              </w:rPr>
              <w:t>Total assets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tcPr>
          <w:p w:rsidR="005171F5" w:rsidRPr="00FE68B7" w:rsidRDefault="00C35026" w:rsidP="004D2BFF">
            <w:pPr>
              <w:tabs>
                <w:tab w:val="left" w:pos="7320"/>
              </w:tabs>
              <w:spacing w:before="240"/>
              <w:jc w:val="both"/>
              <w:rPr>
                <w:rFonts w:eastAsia="Calibri"/>
                <w:sz w:val="22"/>
                <w:szCs w:val="22"/>
              </w:rPr>
            </w:pPr>
            <w:r w:rsidRPr="00FE68B7">
              <w:rPr>
                <w:rFonts w:eastAsia="Calibri"/>
                <w:sz w:val="22"/>
                <w:szCs w:val="22"/>
              </w:rPr>
              <w:t>6</w:t>
            </w:r>
          </w:p>
        </w:tc>
        <w:tc>
          <w:tcPr>
            <w:tcW w:w="1890" w:type="dxa"/>
          </w:tcPr>
          <w:p w:rsidR="005171F5" w:rsidRPr="00FE68B7" w:rsidRDefault="005171F5" w:rsidP="004D2BFF">
            <w:pPr>
              <w:tabs>
                <w:tab w:val="left" w:pos="7320"/>
              </w:tabs>
              <w:spacing w:before="240"/>
              <w:jc w:val="both"/>
              <w:rPr>
                <w:rFonts w:eastAsia="Calibri"/>
                <w:sz w:val="22"/>
                <w:szCs w:val="22"/>
              </w:rPr>
            </w:pPr>
            <w:r w:rsidRPr="00FE68B7">
              <w:rPr>
                <w:rFonts w:eastAsia="Calibri"/>
                <w:sz w:val="22"/>
                <w:szCs w:val="22"/>
              </w:rPr>
              <w:t>Chow and Wong-Boren (1987)</w:t>
            </w:r>
          </w:p>
        </w:tc>
        <w:tc>
          <w:tcPr>
            <w:tcW w:w="2075" w:type="dxa"/>
          </w:tcPr>
          <w:p w:rsidR="005171F5" w:rsidRPr="00FE68B7" w:rsidRDefault="005171F5" w:rsidP="004D2BFF">
            <w:pPr>
              <w:jc w:val="both"/>
              <w:rPr>
                <w:rFonts w:eastAsia="Calibri"/>
                <w:sz w:val="22"/>
                <w:szCs w:val="22"/>
              </w:rPr>
            </w:pPr>
            <w:r w:rsidRPr="00FE68B7">
              <w:rPr>
                <w:rFonts w:eastAsia="Calibri"/>
                <w:sz w:val="22"/>
                <w:szCs w:val="22"/>
              </w:rPr>
              <w:t>Market value of equity plus book value of debt.</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vMerge w:val="restart"/>
          </w:tcPr>
          <w:p w:rsidR="005171F5" w:rsidRPr="00FE68B7" w:rsidRDefault="00C35026" w:rsidP="00C35026">
            <w:pPr>
              <w:jc w:val="both"/>
              <w:rPr>
                <w:rFonts w:eastAsia="Calibri"/>
                <w:sz w:val="22"/>
                <w:szCs w:val="22"/>
              </w:rPr>
            </w:pPr>
            <w:r w:rsidRPr="00FE68B7">
              <w:rPr>
                <w:rFonts w:eastAsia="Calibri"/>
                <w:sz w:val="22"/>
                <w:szCs w:val="22"/>
              </w:rPr>
              <w:t>7</w:t>
            </w:r>
          </w:p>
        </w:tc>
        <w:tc>
          <w:tcPr>
            <w:tcW w:w="1890" w:type="dxa"/>
            <w:vMerge w:val="restart"/>
          </w:tcPr>
          <w:p w:rsidR="005171F5" w:rsidRPr="00FE68B7" w:rsidRDefault="005171F5" w:rsidP="004D2BFF">
            <w:pPr>
              <w:jc w:val="both"/>
              <w:rPr>
                <w:rFonts w:eastAsia="Calibri"/>
                <w:sz w:val="22"/>
                <w:szCs w:val="22"/>
              </w:rPr>
            </w:pPr>
            <w:r w:rsidRPr="00FE68B7">
              <w:rPr>
                <w:rFonts w:eastAsia="Calibri"/>
                <w:sz w:val="22"/>
                <w:szCs w:val="22"/>
              </w:rPr>
              <w:t>Cooke(1989)</w:t>
            </w:r>
          </w:p>
        </w:tc>
        <w:tc>
          <w:tcPr>
            <w:tcW w:w="2075" w:type="dxa"/>
          </w:tcPr>
          <w:p w:rsidR="005171F5" w:rsidRPr="00FE68B7" w:rsidRDefault="005171F5" w:rsidP="004D2BFF">
            <w:pPr>
              <w:jc w:val="both"/>
              <w:rPr>
                <w:rFonts w:eastAsia="Calibri"/>
                <w:sz w:val="22"/>
                <w:szCs w:val="22"/>
              </w:rPr>
            </w:pPr>
            <w:r w:rsidRPr="00FE68B7">
              <w:rPr>
                <w:rFonts w:eastAsia="Calibri"/>
                <w:sz w:val="22"/>
                <w:szCs w:val="22"/>
              </w:rPr>
              <w:t>Assets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vMerge/>
          </w:tcPr>
          <w:p w:rsidR="005171F5" w:rsidRPr="00FE68B7" w:rsidRDefault="005171F5" w:rsidP="004D2BFF">
            <w:pPr>
              <w:jc w:val="both"/>
              <w:rPr>
                <w:rFonts w:eastAsia="Calibri"/>
                <w:sz w:val="22"/>
                <w:szCs w:val="22"/>
              </w:rPr>
            </w:pPr>
          </w:p>
        </w:tc>
        <w:tc>
          <w:tcPr>
            <w:tcW w:w="1890" w:type="dxa"/>
            <w:vMerge/>
          </w:tcPr>
          <w:p w:rsidR="005171F5" w:rsidRPr="00FE68B7" w:rsidRDefault="005171F5" w:rsidP="004D2BFF">
            <w:pPr>
              <w:jc w:val="both"/>
              <w:rPr>
                <w:rFonts w:eastAsia="Calibri"/>
                <w:sz w:val="22"/>
                <w:szCs w:val="22"/>
              </w:rPr>
            </w:pPr>
          </w:p>
        </w:tc>
        <w:tc>
          <w:tcPr>
            <w:tcW w:w="2075" w:type="dxa"/>
          </w:tcPr>
          <w:p w:rsidR="005171F5" w:rsidRPr="00FE68B7" w:rsidRDefault="005171F5" w:rsidP="004D2BFF">
            <w:pPr>
              <w:jc w:val="both"/>
              <w:rPr>
                <w:rFonts w:eastAsia="Calibri"/>
                <w:sz w:val="22"/>
                <w:szCs w:val="22"/>
              </w:rPr>
            </w:pPr>
            <w:r w:rsidRPr="00FE68B7">
              <w:rPr>
                <w:rFonts w:eastAsia="Calibri"/>
                <w:sz w:val="22"/>
                <w:szCs w:val="22"/>
              </w:rPr>
              <w:t>Number of shareholders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vMerge/>
          </w:tcPr>
          <w:p w:rsidR="005171F5" w:rsidRPr="00FE68B7" w:rsidRDefault="005171F5" w:rsidP="004D2BFF">
            <w:pPr>
              <w:jc w:val="both"/>
              <w:rPr>
                <w:rFonts w:eastAsia="Calibri"/>
                <w:sz w:val="22"/>
                <w:szCs w:val="22"/>
              </w:rPr>
            </w:pPr>
          </w:p>
        </w:tc>
        <w:tc>
          <w:tcPr>
            <w:tcW w:w="1890" w:type="dxa"/>
            <w:vMerge/>
          </w:tcPr>
          <w:p w:rsidR="005171F5" w:rsidRPr="00FE68B7" w:rsidRDefault="005171F5" w:rsidP="004D2BFF">
            <w:pPr>
              <w:jc w:val="both"/>
              <w:rPr>
                <w:rFonts w:eastAsia="Calibri"/>
                <w:sz w:val="22"/>
                <w:szCs w:val="22"/>
              </w:rPr>
            </w:pPr>
          </w:p>
        </w:tc>
        <w:tc>
          <w:tcPr>
            <w:tcW w:w="2075" w:type="dxa"/>
          </w:tcPr>
          <w:p w:rsidR="005171F5" w:rsidRPr="00FE68B7" w:rsidRDefault="005171F5" w:rsidP="004D2BFF">
            <w:pPr>
              <w:jc w:val="both"/>
              <w:rPr>
                <w:rFonts w:eastAsia="Calibri"/>
                <w:sz w:val="22"/>
                <w:szCs w:val="22"/>
              </w:rPr>
            </w:pPr>
            <w:r w:rsidRPr="00FE68B7">
              <w:rPr>
                <w:rFonts w:eastAsia="Calibri"/>
                <w:sz w:val="22"/>
                <w:szCs w:val="22"/>
              </w:rPr>
              <w:t>Sales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tcPr>
          <w:p w:rsidR="005171F5" w:rsidRPr="00FE68B7" w:rsidRDefault="00C35026" w:rsidP="004D2BFF">
            <w:pPr>
              <w:jc w:val="both"/>
              <w:rPr>
                <w:rFonts w:eastAsia="Calibri"/>
                <w:sz w:val="22"/>
                <w:szCs w:val="22"/>
              </w:rPr>
            </w:pPr>
            <w:r w:rsidRPr="00FE68B7">
              <w:rPr>
                <w:rFonts w:eastAsia="Calibri"/>
                <w:sz w:val="22"/>
                <w:szCs w:val="22"/>
              </w:rPr>
              <w:t>8</w:t>
            </w:r>
          </w:p>
        </w:tc>
        <w:tc>
          <w:tcPr>
            <w:tcW w:w="1890" w:type="dxa"/>
          </w:tcPr>
          <w:p w:rsidR="005171F5" w:rsidRPr="00FE68B7" w:rsidRDefault="005171F5" w:rsidP="004D2BFF">
            <w:pPr>
              <w:jc w:val="both"/>
              <w:rPr>
                <w:rFonts w:eastAsia="Calibri"/>
                <w:sz w:val="22"/>
                <w:szCs w:val="22"/>
              </w:rPr>
            </w:pPr>
            <w:r w:rsidRPr="00FE68B7">
              <w:rPr>
                <w:rFonts w:eastAsia="Calibri"/>
                <w:sz w:val="22"/>
                <w:szCs w:val="22"/>
              </w:rPr>
              <w:t>Cooke(1992)</w:t>
            </w:r>
          </w:p>
        </w:tc>
        <w:tc>
          <w:tcPr>
            <w:tcW w:w="2075" w:type="dxa"/>
          </w:tcPr>
          <w:p w:rsidR="005171F5" w:rsidRPr="00FE68B7" w:rsidRDefault="005171F5" w:rsidP="004D2BFF">
            <w:pPr>
              <w:autoSpaceDE w:val="0"/>
              <w:autoSpaceDN w:val="0"/>
              <w:adjustRightInd w:val="0"/>
              <w:jc w:val="both"/>
              <w:rPr>
                <w:rFonts w:eastAsia="Calibri"/>
                <w:sz w:val="22"/>
                <w:szCs w:val="22"/>
              </w:rPr>
            </w:pPr>
            <w:r w:rsidRPr="00FE68B7">
              <w:rPr>
                <w:rFonts w:eastAsia="Calibri"/>
                <w:sz w:val="22"/>
                <w:szCs w:val="22"/>
              </w:rPr>
              <w:t>Factor variable capital stock,</w:t>
            </w:r>
          </w:p>
          <w:p w:rsidR="005171F5" w:rsidRPr="00FE68B7" w:rsidRDefault="005171F5" w:rsidP="004D2BFF">
            <w:pPr>
              <w:autoSpaceDE w:val="0"/>
              <w:autoSpaceDN w:val="0"/>
              <w:adjustRightInd w:val="0"/>
              <w:jc w:val="both"/>
              <w:rPr>
                <w:rFonts w:eastAsia="Calibri"/>
                <w:sz w:val="22"/>
                <w:szCs w:val="22"/>
              </w:rPr>
            </w:pPr>
            <w:r w:rsidRPr="00FE68B7">
              <w:rPr>
                <w:rFonts w:eastAsia="Calibri"/>
                <w:sz w:val="22"/>
                <w:szCs w:val="22"/>
              </w:rPr>
              <w:t>turnover , number of shareholders, total assets, current</w:t>
            </w:r>
          </w:p>
          <w:p w:rsidR="005171F5" w:rsidRPr="00FE68B7" w:rsidRDefault="005171F5" w:rsidP="004D2BFF">
            <w:pPr>
              <w:autoSpaceDE w:val="0"/>
              <w:autoSpaceDN w:val="0"/>
              <w:adjustRightInd w:val="0"/>
              <w:jc w:val="both"/>
              <w:rPr>
                <w:rFonts w:eastAsia="Calibri"/>
                <w:sz w:val="22"/>
                <w:szCs w:val="22"/>
              </w:rPr>
            </w:pPr>
            <w:r w:rsidRPr="00FE68B7">
              <w:rPr>
                <w:rFonts w:eastAsia="Calibri"/>
                <w:sz w:val="22"/>
                <w:szCs w:val="22"/>
              </w:rPr>
              <w:t>assets, fixed assets,</w:t>
            </w:r>
          </w:p>
          <w:p w:rsidR="005171F5" w:rsidRPr="00FE68B7" w:rsidRDefault="005171F5" w:rsidP="004D2BFF">
            <w:pPr>
              <w:jc w:val="both"/>
              <w:rPr>
                <w:rFonts w:eastAsia="Calibri"/>
                <w:sz w:val="22"/>
                <w:szCs w:val="22"/>
              </w:rPr>
            </w:pPr>
            <w:r w:rsidRPr="00FE68B7">
              <w:rPr>
                <w:rFonts w:eastAsia="Calibri"/>
                <w:sz w:val="22"/>
                <w:szCs w:val="22"/>
              </w:rPr>
              <w:t>shareholders' funds  and bank borrowings.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rPr>
          <w:trHeight w:val="755"/>
        </w:trPr>
        <w:tc>
          <w:tcPr>
            <w:tcW w:w="1008" w:type="dxa"/>
          </w:tcPr>
          <w:p w:rsidR="005171F5" w:rsidRPr="00FE68B7" w:rsidRDefault="00C35026" w:rsidP="004D2BFF">
            <w:pPr>
              <w:tabs>
                <w:tab w:val="left" w:pos="7320"/>
              </w:tabs>
              <w:spacing w:before="240"/>
              <w:rPr>
                <w:rFonts w:eastAsia="Calibri"/>
                <w:sz w:val="22"/>
                <w:szCs w:val="22"/>
              </w:rPr>
            </w:pPr>
            <w:r w:rsidRPr="00FE68B7">
              <w:rPr>
                <w:rFonts w:eastAsia="Calibri"/>
                <w:sz w:val="22"/>
                <w:szCs w:val="22"/>
              </w:rPr>
              <w:t>9</w:t>
            </w:r>
          </w:p>
        </w:tc>
        <w:tc>
          <w:tcPr>
            <w:tcW w:w="1890" w:type="dxa"/>
          </w:tcPr>
          <w:p w:rsidR="005171F5" w:rsidRPr="00FE68B7" w:rsidRDefault="005171F5" w:rsidP="00FE68B7">
            <w:pPr>
              <w:tabs>
                <w:tab w:val="left" w:pos="7320"/>
              </w:tabs>
              <w:spacing w:before="240"/>
              <w:rPr>
                <w:rFonts w:eastAsia="Calibri"/>
                <w:sz w:val="22"/>
                <w:szCs w:val="22"/>
              </w:rPr>
            </w:pPr>
            <w:r w:rsidRPr="00FE68B7">
              <w:rPr>
                <w:rFonts w:eastAsia="Calibri"/>
                <w:sz w:val="22"/>
                <w:szCs w:val="22"/>
              </w:rPr>
              <w:t>Malone et al(1993)</w:t>
            </w:r>
          </w:p>
        </w:tc>
        <w:tc>
          <w:tcPr>
            <w:tcW w:w="2075" w:type="dxa"/>
          </w:tcPr>
          <w:p w:rsidR="005171F5" w:rsidRPr="00FE68B7" w:rsidRDefault="005171F5" w:rsidP="004D2BFF">
            <w:pPr>
              <w:rPr>
                <w:rFonts w:eastAsia="Calibri"/>
                <w:sz w:val="22"/>
                <w:szCs w:val="22"/>
              </w:rPr>
            </w:pPr>
            <w:r w:rsidRPr="00FE68B7">
              <w:rPr>
                <w:rFonts w:eastAsia="Calibri"/>
                <w:sz w:val="22"/>
                <w:szCs w:val="22"/>
              </w:rPr>
              <w:t>Total assets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FE68B7">
        <w:tc>
          <w:tcPr>
            <w:tcW w:w="1008" w:type="dxa"/>
            <w:vMerge w:val="restart"/>
          </w:tcPr>
          <w:p w:rsidR="005171F5" w:rsidRPr="00FE68B7" w:rsidRDefault="00C35026" w:rsidP="004D2BFF">
            <w:pPr>
              <w:tabs>
                <w:tab w:val="left" w:pos="7320"/>
              </w:tabs>
              <w:spacing w:before="240"/>
              <w:rPr>
                <w:rFonts w:eastAsia="Calibri"/>
                <w:sz w:val="22"/>
                <w:szCs w:val="22"/>
              </w:rPr>
            </w:pPr>
            <w:r w:rsidRPr="00FE68B7">
              <w:rPr>
                <w:rFonts w:eastAsia="Calibri"/>
                <w:sz w:val="22"/>
                <w:szCs w:val="22"/>
              </w:rPr>
              <w:t>10</w:t>
            </w:r>
          </w:p>
        </w:tc>
        <w:tc>
          <w:tcPr>
            <w:tcW w:w="1890" w:type="dxa"/>
            <w:vMerge w:val="restart"/>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Wallace et al(1994)</w:t>
            </w:r>
          </w:p>
        </w:tc>
        <w:tc>
          <w:tcPr>
            <w:tcW w:w="2075" w:type="dxa"/>
          </w:tcPr>
          <w:p w:rsidR="005171F5" w:rsidRPr="00FE68B7" w:rsidRDefault="005171F5" w:rsidP="004D2BFF">
            <w:pPr>
              <w:rPr>
                <w:rFonts w:eastAsia="Calibri"/>
                <w:sz w:val="22"/>
                <w:szCs w:val="22"/>
              </w:rPr>
            </w:pPr>
            <w:r w:rsidRPr="00FE68B7">
              <w:rPr>
                <w:rFonts w:eastAsia="Calibri"/>
                <w:sz w:val="22"/>
                <w:szCs w:val="22"/>
              </w:rPr>
              <w:t>Log of total assets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vMerge/>
          </w:tcPr>
          <w:p w:rsidR="005171F5" w:rsidRPr="00FE68B7" w:rsidRDefault="005171F5" w:rsidP="004D2BFF">
            <w:pPr>
              <w:tabs>
                <w:tab w:val="left" w:pos="7320"/>
              </w:tabs>
              <w:spacing w:before="240"/>
              <w:rPr>
                <w:rFonts w:eastAsia="Calibri"/>
                <w:sz w:val="22"/>
                <w:szCs w:val="22"/>
              </w:rPr>
            </w:pPr>
          </w:p>
        </w:tc>
        <w:tc>
          <w:tcPr>
            <w:tcW w:w="1890" w:type="dxa"/>
            <w:vMerge/>
          </w:tcPr>
          <w:p w:rsidR="005171F5" w:rsidRPr="00FE68B7" w:rsidRDefault="005171F5" w:rsidP="004D2BFF">
            <w:pPr>
              <w:tabs>
                <w:tab w:val="left" w:pos="7320"/>
              </w:tabs>
              <w:spacing w:before="240"/>
              <w:rPr>
                <w:rFonts w:eastAsia="Calibri"/>
                <w:sz w:val="22"/>
                <w:szCs w:val="22"/>
              </w:rPr>
            </w:pPr>
          </w:p>
        </w:tc>
        <w:tc>
          <w:tcPr>
            <w:tcW w:w="2075" w:type="dxa"/>
          </w:tcPr>
          <w:p w:rsidR="005171F5" w:rsidRPr="00FE68B7" w:rsidRDefault="005171F5" w:rsidP="004D2BFF">
            <w:pPr>
              <w:rPr>
                <w:rFonts w:eastAsia="Calibri"/>
                <w:sz w:val="22"/>
                <w:szCs w:val="22"/>
              </w:rPr>
            </w:pPr>
            <w:r w:rsidRPr="00FE68B7">
              <w:rPr>
                <w:rFonts w:eastAsia="Calibri"/>
                <w:sz w:val="22"/>
                <w:szCs w:val="22"/>
              </w:rPr>
              <w:t>Log of turnover</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tcPr>
          <w:p w:rsidR="005171F5" w:rsidRPr="00FE68B7" w:rsidRDefault="00C35026" w:rsidP="004D2BFF">
            <w:pPr>
              <w:tabs>
                <w:tab w:val="left" w:pos="7320"/>
              </w:tabs>
              <w:spacing w:before="240"/>
              <w:rPr>
                <w:rFonts w:eastAsia="Calibri"/>
                <w:sz w:val="22"/>
                <w:szCs w:val="22"/>
              </w:rPr>
            </w:pPr>
            <w:r w:rsidRPr="00FE68B7">
              <w:rPr>
                <w:rFonts w:eastAsia="Calibri"/>
                <w:sz w:val="22"/>
                <w:szCs w:val="22"/>
              </w:rPr>
              <w:t>11</w:t>
            </w:r>
          </w:p>
        </w:tc>
        <w:tc>
          <w:tcPr>
            <w:tcW w:w="1890"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Meek et al(1995)</w:t>
            </w:r>
          </w:p>
        </w:tc>
        <w:tc>
          <w:tcPr>
            <w:tcW w:w="2075" w:type="dxa"/>
          </w:tcPr>
          <w:p w:rsidR="005171F5" w:rsidRPr="00FE68B7" w:rsidRDefault="005171F5" w:rsidP="004D2BFF">
            <w:pPr>
              <w:rPr>
                <w:rFonts w:eastAsia="Calibri"/>
                <w:sz w:val="22"/>
                <w:szCs w:val="22"/>
              </w:rPr>
            </w:pPr>
            <w:r w:rsidRPr="00FE68B7">
              <w:rPr>
                <w:rFonts w:eastAsia="Calibri"/>
                <w:sz w:val="22"/>
                <w:szCs w:val="22"/>
              </w:rPr>
              <w:t>Total sales in $</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tcPr>
          <w:p w:rsidR="005171F5" w:rsidRPr="00FE68B7" w:rsidRDefault="00C35026" w:rsidP="004D2BFF">
            <w:pPr>
              <w:tabs>
                <w:tab w:val="left" w:pos="7320"/>
              </w:tabs>
              <w:spacing w:before="240"/>
              <w:rPr>
                <w:rFonts w:eastAsia="Calibri"/>
                <w:sz w:val="22"/>
                <w:szCs w:val="22"/>
              </w:rPr>
            </w:pPr>
            <w:r w:rsidRPr="00FE68B7">
              <w:rPr>
                <w:rFonts w:eastAsia="Calibri"/>
                <w:sz w:val="22"/>
                <w:szCs w:val="22"/>
              </w:rPr>
              <w:t>12</w:t>
            </w:r>
          </w:p>
        </w:tc>
        <w:tc>
          <w:tcPr>
            <w:tcW w:w="1890"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Raffournier(1995)</w:t>
            </w:r>
          </w:p>
        </w:tc>
        <w:tc>
          <w:tcPr>
            <w:tcW w:w="2075" w:type="dxa"/>
          </w:tcPr>
          <w:p w:rsidR="005171F5" w:rsidRPr="00FE68B7" w:rsidRDefault="005171F5" w:rsidP="004D2BFF">
            <w:pPr>
              <w:rPr>
                <w:rFonts w:eastAsia="Calibri"/>
                <w:sz w:val="22"/>
                <w:szCs w:val="22"/>
              </w:rPr>
            </w:pPr>
            <w:r w:rsidRPr="00FE68B7">
              <w:rPr>
                <w:rFonts w:eastAsia="Calibri"/>
                <w:sz w:val="22"/>
                <w:szCs w:val="22"/>
              </w:rPr>
              <w:t>Log of sales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tcPr>
          <w:p w:rsidR="005171F5" w:rsidRPr="00FE68B7" w:rsidRDefault="00C35026" w:rsidP="004D2BFF">
            <w:pPr>
              <w:tabs>
                <w:tab w:val="left" w:pos="7320"/>
              </w:tabs>
              <w:spacing w:before="240"/>
              <w:rPr>
                <w:rFonts w:eastAsia="Calibri"/>
                <w:sz w:val="22"/>
                <w:szCs w:val="22"/>
              </w:rPr>
            </w:pPr>
            <w:r w:rsidRPr="00FE68B7">
              <w:rPr>
                <w:rFonts w:eastAsia="Calibri"/>
                <w:sz w:val="22"/>
                <w:szCs w:val="22"/>
              </w:rPr>
              <w:t>13</w:t>
            </w:r>
          </w:p>
        </w:tc>
        <w:tc>
          <w:tcPr>
            <w:tcW w:w="1890" w:type="dxa"/>
          </w:tcPr>
          <w:p w:rsidR="005171F5" w:rsidRPr="00FE68B7" w:rsidRDefault="005171F5" w:rsidP="004D2BFF">
            <w:pPr>
              <w:tabs>
                <w:tab w:val="left" w:pos="7320"/>
              </w:tabs>
              <w:spacing w:before="240"/>
              <w:jc w:val="both"/>
              <w:rPr>
                <w:rFonts w:eastAsia="Calibri"/>
                <w:sz w:val="22"/>
                <w:szCs w:val="22"/>
              </w:rPr>
            </w:pPr>
            <w:r w:rsidRPr="00FE68B7">
              <w:rPr>
                <w:rFonts w:eastAsia="Calibri"/>
                <w:sz w:val="22"/>
                <w:szCs w:val="22"/>
              </w:rPr>
              <w:t>Wallace and Naser(1995)</w:t>
            </w:r>
          </w:p>
        </w:tc>
        <w:tc>
          <w:tcPr>
            <w:tcW w:w="2075" w:type="dxa"/>
          </w:tcPr>
          <w:p w:rsidR="005171F5" w:rsidRPr="00FE68B7" w:rsidRDefault="005171F5" w:rsidP="004D2BFF">
            <w:pPr>
              <w:rPr>
                <w:rFonts w:eastAsia="Calibri"/>
                <w:sz w:val="22"/>
                <w:szCs w:val="22"/>
              </w:rPr>
            </w:pPr>
            <w:r w:rsidRPr="00FE68B7">
              <w:rPr>
                <w:rFonts w:eastAsia="Calibri"/>
                <w:sz w:val="22"/>
                <w:szCs w:val="22"/>
              </w:rPr>
              <w:t>Log of total assets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vMerge w:val="restart"/>
          </w:tcPr>
          <w:p w:rsidR="005171F5" w:rsidRPr="00FE68B7" w:rsidRDefault="00C35026" w:rsidP="004D2BFF">
            <w:pPr>
              <w:tabs>
                <w:tab w:val="left" w:pos="7320"/>
              </w:tabs>
              <w:spacing w:before="240"/>
              <w:rPr>
                <w:rFonts w:eastAsia="Calibri"/>
                <w:sz w:val="22"/>
                <w:szCs w:val="22"/>
              </w:rPr>
            </w:pPr>
            <w:r w:rsidRPr="00FE68B7">
              <w:rPr>
                <w:rFonts w:eastAsia="Calibri"/>
                <w:sz w:val="22"/>
                <w:szCs w:val="22"/>
              </w:rPr>
              <w:t>14</w:t>
            </w:r>
          </w:p>
        </w:tc>
        <w:tc>
          <w:tcPr>
            <w:tcW w:w="1890" w:type="dxa"/>
            <w:vMerge w:val="restart"/>
          </w:tcPr>
          <w:p w:rsidR="005171F5" w:rsidRPr="00FE68B7" w:rsidRDefault="005171F5" w:rsidP="004D2BFF">
            <w:pPr>
              <w:tabs>
                <w:tab w:val="left" w:pos="7320"/>
              </w:tabs>
              <w:spacing w:before="240"/>
              <w:jc w:val="both"/>
              <w:rPr>
                <w:rFonts w:eastAsia="Calibri"/>
                <w:sz w:val="22"/>
                <w:szCs w:val="22"/>
              </w:rPr>
            </w:pPr>
            <w:r w:rsidRPr="00FE68B7">
              <w:rPr>
                <w:rFonts w:eastAsia="Calibri"/>
                <w:sz w:val="22"/>
                <w:szCs w:val="22"/>
              </w:rPr>
              <w:t>Inchausti(1997)</w:t>
            </w:r>
          </w:p>
        </w:tc>
        <w:tc>
          <w:tcPr>
            <w:tcW w:w="2075" w:type="dxa"/>
          </w:tcPr>
          <w:p w:rsidR="005171F5" w:rsidRPr="00FE68B7" w:rsidRDefault="005171F5" w:rsidP="004D2BFF">
            <w:pPr>
              <w:rPr>
                <w:rFonts w:eastAsia="Calibri"/>
                <w:sz w:val="22"/>
                <w:szCs w:val="22"/>
              </w:rPr>
            </w:pPr>
            <w:r w:rsidRPr="00FE68B7">
              <w:rPr>
                <w:rFonts w:eastAsia="Calibri"/>
                <w:sz w:val="22"/>
                <w:szCs w:val="22"/>
              </w:rPr>
              <w:t>Log of total assets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vMerge/>
          </w:tcPr>
          <w:p w:rsidR="005171F5" w:rsidRPr="00FE68B7" w:rsidRDefault="005171F5" w:rsidP="004D2BFF">
            <w:pPr>
              <w:rPr>
                <w:rFonts w:eastAsia="Calibri"/>
                <w:sz w:val="22"/>
                <w:szCs w:val="22"/>
              </w:rPr>
            </w:pPr>
          </w:p>
        </w:tc>
        <w:tc>
          <w:tcPr>
            <w:tcW w:w="1890" w:type="dxa"/>
            <w:vMerge/>
          </w:tcPr>
          <w:p w:rsidR="005171F5" w:rsidRPr="00FE68B7" w:rsidRDefault="005171F5" w:rsidP="004D2BFF">
            <w:pPr>
              <w:jc w:val="both"/>
              <w:rPr>
                <w:rFonts w:eastAsia="Calibri"/>
                <w:sz w:val="22"/>
                <w:szCs w:val="22"/>
              </w:rPr>
            </w:pPr>
          </w:p>
        </w:tc>
        <w:tc>
          <w:tcPr>
            <w:tcW w:w="2075" w:type="dxa"/>
          </w:tcPr>
          <w:p w:rsidR="005171F5" w:rsidRPr="00FE68B7" w:rsidRDefault="005171F5" w:rsidP="004D2BFF">
            <w:pPr>
              <w:rPr>
                <w:rFonts w:eastAsia="Calibri"/>
                <w:sz w:val="22"/>
                <w:szCs w:val="22"/>
              </w:rPr>
            </w:pPr>
            <w:r w:rsidRPr="00FE68B7">
              <w:rPr>
                <w:rFonts w:eastAsia="Calibri"/>
                <w:sz w:val="22"/>
                <w:szCs w:val="22"/>
              </w:rPr>
              <w:t>Log of sales</w:t>
            </w:r>
          </w:p>
        </w:tc>
        <w:tc>
          <w:tcPr>
            <w:tcW w:w="1322" w:type="dxa"/>
          </w:tcPr>
          <w:p w:rsidR="005171F5" w:rsidRPr="00FE68B7" w:rsidRDefault="005171F5" w:rsidP="004D2BFF">
            <w:pPr>
              <w:jc w:val="center"/>
              <w:rPr>
                <w:rFonts w:eastAsia="Calibri"/>
                <w:sz w:val="22"/>
                <w:szCs w:val="22"/>
              </w:rPr>
            </w:pP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Not tested</w:t>
            </w:r>
          </w:p>
        </w:tc>
      </w:tr>
      <w:tr w:rsidR="005171F5" w:rsidRPr="00FE68B7" w:rsidTr="00FE68B7">
        <w:tc>
          <w:tcPr>
            <w:tcW w:w="1008" w:type="dxa"/>
          </w:tcPr>
          <w:p w:rsidR="005171F5" w:rsidRPr="00FE68B7" w:rsidRDefault="00C35026" w:rsidP="004D2BFF">
            <w:pPr>
              <w:rPr>
                <w:rFonts w:eastAsia="Calibri"/>
                <w:sz w:val="22"/>
                <w:szCs w:val="22"/>
              </w:rPr>
            </w:pPr>
            <w:r w:rsidRPr="00FE68B7">
              <w:rPr>
                <w:rFonts w:eastAsia="Calibri"/>
                <w:sz w:val="22"/>
                <w:szCs w:val="22"/>
              </w:rPr>
              <w:t>15</w:t>
            </w:r>
          </w:p>
        </w:tc>
        <w:tc>
          <w:tcPr>
            <w:tcW w:w="1890" w:type="dxa"/>
          </w:tcPr>
          <w:p w:rsidR="005171F5" w:rsidRPr="00FE68B7" w:rsidRDefault="005171F5" w:rsidP="004D2BFF">
            <w:pPr>
              <w:jc w:val="both"/>
              <w:rPr>
                <w:rFonts w:eastAsia="Calibri"/>
                <w:sz w:val="22"/>
                <w:szCs w:val="22"/>
              </w:rPr>
            </w:pPr>
            <w:r w:rsidRPr="00FE68B7">
              <w:rPr>
                <w:rFonts w:eastAsia="Calibri"/>
                <w:sz w:val="22"/>
                <w:szCs w:val="22"/>
              </w:rPr>
              <w:t>Owusu-Ansah (1998)</w:t>
            </w:r>
          </w:p>
        </w:tc>
        <w:tc>
          <w:tcPr>
            <w:tcW w:w="2075" w:type="dxa"/>
          </w:tcPr>
          <w:p w:rsidR="005171F5" w:rsidRPr="00FE68B7" w:rsidRDefault="005171F5" w:rsidP="004D2BFF">
            <w:pPr>
              <w:rPr>
                <w:rFonts w:eastAsia="Calibri"/>
                <w:sz w:val="22"/>
                <w:szCs w:val="22"/>
              </w:rPr>
            </w:pPr>
            <w:r w:rsidRPr="00FE68B7">
              <w:rPr>
                <w:rFonts w:eastAsia="Calibri"/>
                <w:sz w:val="22"/>
                <w:szCs w:val="22"/>
              </w:rPr>
              <w:t>Log of total assets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tcPr>
          <w:p w:rsidR="005171F5" w:rsidRPr="00FE68B7" w:rsidRDefault="00C35026" w:rsidP="004D2BFF">
            <w:pPr>
              <w:rPr>
                <w:rFonts w:eastAsia="Calibri"/>
                <w:sz w:val="22"/>
                <w:szCs w:val="22"/>
              </w:rPr>
            </w:pPr>
            <w:r w:rsidRPr="00FE68B7">
              <w:rPr>
                <w:rFonts w:eastAsia="Calibri"/>
                <w:sz w:val="22"/>
                <w:szCs w:val="22"/>
              </w:rPr>
              <w:t>16</w:t>
            </w:r>
          </w:p>
        </w:tc>
        <w:tc>
          <w:tcPr>
            <w:tcW w:w="1890" w:type="dxa"/>
          </w:tcPr>
          <w:p w:rsidR="005171F5" w:rsidRPr="00FE68B7" w:rsidRDefault="005171F5" w:rsidP="004D2BFF">
            <w:pPr>
              <w:rPr>
                <w:rFonts w:eastAsia="Calibri"/>
                <w:sz w:val="22"/>
                <w:szCs w:val="22"/>
              </w:rPr>
            </w:pPr>
            <w:r w:rsidRPr="00FE68B7">
              <w:rPr>
                <w:rFonts w:eastAsia="Calibri"/>
                <w:sz w:val="22"/>
                <w:szCs w:val="22"/>
              </w:rPr>
              <w:t>Entwistle(1999)</w:t>
            </w:r>
          </w:p>
        </w:tc>
        <w:tc>
          <w:tcPr>
            <w:tcW w:w="2075" w:type="dxa"/>
          </w:tcPr>
          <w:p w:rsidR="005171F5" w:rsidRPr="00FE68B7" w:rsidRDefault="005171F5" w:rsidP="004D2BFF">
            <w:pPr>
              <w:rPr>
                <w:rFonts w:eastAsia="Calibri"/>
                <w:sz w:val="22"/>
                <w:szCs w:val="22"/>
              </w:rPr>
            </w:pPr>
            <w:r w:rsidRPr="00FE68B7">
              <w:rPr>
                <w:rFonts w:eastAsia="Calibri"/>
                <w:sz w:val="22"/>
                <w:szCs w:val="22"/>
              </w:rPr>
              <w:t>Total assets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FE68B7">
        <w:tc>
          <w:tcPr>
            <w:tcW w:w="1008" w:type="dxa"/>
          </w:tcPr>
          <w:p w:rsidR="005171F5" w:rsidRPr="00FE68B7" w:rsidRDefault="00C35026" w:rsidP="004D2BFF">
            <w:pPr>
              <w:rPr>
                <w:rFonts w:eastAsia="Calibri"/>
                <w:sz w:val="22"/>
                <w:szCs w:val="22"/>
              </w:rPr>
            </w:pPr>
            <w:r w:rsidRPr="00FE68B7">
              <w:rPr>
                <w:rFonts w:eastAsia="Calibri"/>
                <w:sz w:val="22"/>
                <w:szCs w:val="22"/>
              </w:rPr>
              <w:t>17</w:t>
            </w:r>
          </w:p>
        </w:tc>
        <w:tc>
          <w:tcPr>
            <w:tcW w:w="1890" w:type="dxa"/>
          </w:tcPr>
          <w:p w:rsidR="005171F5" w:rsidRPr="00FE68B7" w:rsidRDefault="005171F5" w:rsidP="004D2BFF">
            <w:pPr>
              <w:rPr>
                <w:rFonts w:eastAsia="Calibri"/>
                <w:sz w:val="22"/>
                <w:szCs w:val="22"/>
              </w:rPr>
            </w:pPr>
            <w:r w:rsidRPr="00FE68B7">
              <w:rPr>
                <w:rFonts w:eastAsia="Calibri"/>
                <w:sz w:val="22"/>
                <w:szCs w:val="22"/>
              </w:rPr>
              <w:t>Tower et al(1999)</w:t>
            </w:r>
          </w:p>
        </w:tc>
        <w:tc>
          <w:tcPr>
            <w:tcW w:w="2075" w:type="dxa"/>
          </w:tcPr>
          <w:p w:rsidR="005171F5" w:rsidRPr="00FE68B7" w:rsidRDefault="005171F5" w:rsidP="004D2BFF">
            <w:pPr>
              <w:rPr>
                <w:rFonts w:eastAsia="Calibri"/>
                <w:sz w:val="22"/>
                <w:szCs w:val="22"/>
              </w:rPr>
            </w:pPr>
            <w:r w:rsidRPr="00FE68B7">
              <w:rPr>
                <w:rFonts w:eastAsia="Calibri"/>
                <w:sz w:val="22"/>
                <w:szCs w:val="22"/>
              </w:rPr>
              <w:t>Total Asset</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FE68B7">
        <w:tc>
          <w:tcPr>
            <w:tcW w:w="1008" w:type="dxa"/>
          </w:tcPr>
          <w:p w:rsidR="005171F5" w:rsidRPr="00FE68B7" w:rsidRDefault="00C35026" w:rsidP="004D2BFF">
            <w:pPr>
              <w:rPr>
                <w:rFonts w:eastAsia="Calibri"/>
                <w:sz w:val="22"/>
                <w:szCs w:val="22"/>
              </w:rPr>
            </w:pPr>
            <w:r w:rsidRPr="00FE68B7">
              <w:rPr>
                <w:rFonts w:eastAsia="Calibri"/>
                <w:sz w:val="22"/>
                <w:szCs w:val="22"/>
              </w:rPr>
              <w:t>18</w:t>
            </w:r>
          </w:p>
        </w:tc>
        <w:tc>
          <w:tcPr>
            <w:tcW w:w="1890" w:type="dxa"/>
          </w:tcPr>
          <w:p w:rsidR="005171F5" w:rsidRPr="00FE68B7" w:rsidRDefault="005171F5" w:rsidP="004D2BFF">
            <w:pPr>
              <w:rPr>
                <w:rFonts w:eastAsia="Calibri"/>
                <w:sz w:val="22"/>
                <w:szCs w:val="22"/>
              </w:rPr>
            </w:pPr>
            <w:r w:rsidRPr="00FE68B7">
              <w:rPr>
                <w:rFonts w:eastAsia="Calibri"/>
                <w:sz w:val="22"/>
                <w:szCs w:val="22"/>
              </w:rPr>
              <w:t>Depoers (2000)</w:t>
            </w:r>
          </w:p>
        </w:tc>
        <w:tc>
          <w:tcPr>
            <w:tcW w:w="2075" w:type="dxa"/>
          </w:tcPr>
          <w:p w:rsidR="005171F5" w:rsidRPr="00FE68B7" w:rsidRDefault="005171F5" w:rsidP="004D2BFF">
            <w:pPr>
              <w:rPr>
                <w:rFonts w:eastAsia="Calibri"/>
                <w:sz w:val="22"/>
                <w:szCs w:val="22"/>
              </w:rPr>
            </w:pPr>
            <w:r w:rsidRPr="00FE68B7">
              <w:rPr>
                <w:rFonts w:eastAsia="Calibri"/>
                <w:sz w:val="22"/>
                <w:szCs w:val="22"/>
              </w:rPr>
              <w:t>Log of sales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tcPr>
          <w:p w:rsidR="005171F5" w:rsidRPr="00FE68B7" w:rsidRDefault="00C35026" w:rsidP="004D2BFF">
            <w:pPr>
              <w:rPr>
                <w:rFonts w:eastAsia="Calibri"/>
                <w:sz w:val="22"/>
                <w:szCs w:val="22"/>
              </w:rPr>
            </w:pPr>
            <w:r w:rsidRPr="00FE68B7">
              <w:rPr>
                <w:rFonts w:eastAsia="Calibri"/>
                <w:sz w:val="22"/>
                <w:szCs w:val="22"/>
              </w:rPr>
              <w:t>19</w:t>
            </w:r>
          </w:p>
        </w:tc>
        <w:tc>
          <w:tcPr>
            <w:tcW w:w="1890" w:type="dxa"/>
          </w:tcPr>
          <w:p w:rsidR="005171F5" w:rsidRPr="00FE68B7" w:rsidRDefault="005171F5" w:rsidP="004D2BFF">
            <w:pPr>
              <w:rPr>
                <w:rFonts w:eastAsia="Calibri"/>
                <w:sz w:val="22"/>
                <w:szCs w:val="22"/>
              </w:rPr>
            </w:pPr>
            <w:r w:rsidRPr="00FE68B7">
              <w:rPr>
                <w:rFonts w:eastAsia="Calibri"/>
                <w:sz w:val="22"/>
                <w:szCs w:val="22"/>
              </w:rPr>
              <w:t>Haniffa and Cooke (2002)</w:t>
            </w:r>
          </w:p>
        </w:tc>
        <w:tc>
          <w:tcPr>
            <w:tcW w:w="2075" w:type="dxa"/>
          </w:tcPr>
          <w:p w:rsidR="005171F5" w:rsidRPr="00FE68B7" w:rsidRDefault="005171F5" w:rsidP="004D2BFF">
            <w:pPr>
              <w:rPr>
                <w:rFonts w:eastAsia="Calibri"/>
                <w:sz w:val="22"/>
                <w:szCs w:val="22"/>
              </w:rPr>
            </w:pPr>
            <w:r w:rsidRPr="00FE68B7">
              <w:rPr>
                <w:rFonts w:eastAsia="Calibri"/>
                <w:sz w:val="22"/>
                <w:szCs w:val="22"/>
              </w:rPr>
              <w:t>Total Asset</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 xml:space="preserve">Sig </w:t>
            </w:r>
          </w:p>
        </w:tc>
      </w:tr>
      <w:tr w:rsidR="005171F5" w:rsidRPr="00FE68B7" w:rsidTr="00FE68B7">
        <w:tc>
          <w:tcPr>
            <w:tcW w:w="1008" w:type="dxa"/>
          </w:tcPr>
          <w:p w:rsidR="005171F5" w:rsidRPr="00FE68B7" w:rsidRDefault="00C35026" w:rsidP="004D2BFF">
            <w:pPr>
              <w:rPr>
                <w:rFonts w:eastAsia="Calibri"/>
                <w:sz w:val="22"/>
                <w:szCs w:val="22"/>
              </w:rPr>
            </w:pPr>
            <w:r w:rsidRPr="00FE68B7">
              <w:rPr>
                <w:rFonts w:eastAsia="Calibri"/>
                <w:sz w:val="22"/>
                <w:szCs w:val="22"/>
              </w:rPr>
              <w:t>20</w:t>
            </w:r>
          </w:p>
        </w:tc>
        <w:tc>
          <w:tcPr>
            <w:tcW w:w="1890" w:type="dxa"/>
          </w:tcPr>
          <w:p w:rsidR="005171F5" w:rsidRPr="00FE68B7" w:rsidRDefault="005171F5" w:rsidP="004D2BFF">
            <w:pPr>
              <w:rPr>
                <w:rFonts w:eastAsia="Calibri"/>
                <w:sz w:val="22"/>
                <w:szCs w:val="22"/>
              </w:rPr>
            </w:pPr>
            <w:r w:rsidRPr="00FE68B7">
              <w:rPr>
                <w:rFonts w:eastAsia="Calibri"/>
                <w:sz w:val="22"/>
                <w:szCs w:val="22"/>
              </w:rPr>
              <w:t>Bujaki and McConomy(2002)</w:t>
            </w:r>
          </w:p>
        </w:tc>
        <w:tc>
          <w:tcPr>
            <w:tcW w:w="2075" w:type="dxa"/>
          </w:tcPr>
          <w:p w:rsidR="005171F5" w:rsidRPr="00FE68B7" w:rsidRDefault="005171F5" w:rsidP="004D2BFF">
            <w:pPr>
              <w:ind w:left="1440" w:hanging="1440"/>
              <w:rPr>
                <w:rFonts w:eastAsia="Calibri"/>
                <w:sz w:val="22"/>
                <w:szCs w:val="22"/>
              </w:rPr>
            </w:pPr>
            <w:r w:rsidRPr="00FE68B7">
              <w:rPr>
                <w:rFonts w:eastAsia="Calibri"/>
                <w:sz w:val="22"/>
                <w:szCs w:val="22"/>
              </w:rPr>
              <w:t xml:space="preserve">Log of Total </w:t>
            </w:r>
          </w:p>
          <w:p w:rsidR="005171F5" w:rsidRPr="00FE68B7" w:rsidRDefault="005171F5" w:rsidP="004D2BFF">
            <w:pPr>
              <w:ind w:left="1440" w:hanging="1440"/>
              <w:rPr>
                <w:rFonts w:eastAsia="Calibri"/>
                <w:sz w:val="22"/>
                <w:szCs w:val="22"/>
              </w:rPr>
            </w:pPr>
            <w:r w:rsidRPr="00FE68B7">
              <w:rPr>
                <w:rFonts w:eastAsia="Calibri"/>
                <w:sz w:val="22"/>
                <w:szCs w:val="22"/>
              </w:rPr>
              <w:t>Assets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vMerge w:val="restart"/>
          </w:tcPr>
          <w:p w:rsidR="005171F5" w:rsidRPr="00FE68B7" w:rsidRDefault="00C35026" w:rsidP="004D2BFF">
            <w:pPr>
              <w:rPr>
                <w:rFonts w:eastAsia="Calibri"/>
                <w:sz w:val="22"/>
                <w:szCs w:val="22"/>
              </w:rPr>
            </w:pPr>
            <w:r w:rsidRPr="00FE68B7">
              <w:rPr>
                <w:rFonts w:eastAsia="Calibri"/>
                <w:sz w:val="22"/>
                <w:szCs w:val="22"/>
              </w:rPr>
              <w:t>21</w:t>
            </w:r>
          </w:p>
        </w:tc>
        <w:tc>
          <w:tcPr>
            <w:tcW w:w="1890" w:type="dxa"/>
            <w:vMerge w:val="restart"/>
          </w:tcPr>
          <w:p w:rsidR="005171F5" w:rsidRPr="00FE68B7" w:rsidRDefault="005171F5" w:rsidP="004D2BFF">
            <w:pPr>
              <w:rPr>
                <w:rFonts w:eastAsia="Calibri"/>
                <w:sz w:val="22"/>
                <w:szCs w:val="22"/>
              </w:rPr>
            </w:pPr>
            <w:r w:rsidRPr="00FE68B7">
              <w:rPr>
                <w:rFonts w:eastAsia="Calibri"/>
                <w:sz w:val="22"/>
                <w:szCs w:val="22"/>
              </w:rPr>
              <w:t>Naser et al(2002)</w:t>
            </w:r>
          </w:p>
        </w:tc>
        <w:tc>
          <w:tcPr>
            <w:tcW w:w="2075" w:type="dxa"/>
          </w:tcPr>
          <w:p w:rsidR="005171F5" w:rsidRPr="00FE68B7" w:rsidRDefault="005171F5" w:rsidP="004D2BFF">
            <w:pPr>
              <w:ind w:left="1440" w:hanging="1440"/>
              <w:rPr>
                <w:rFonts w:eastAsia="Calibri"/>
                <w:sz w:val="22"/>
                <w:szCs w:val="22"/>
              </w:rPr>
            </w:pPr>
            <w:r w:rsidRPr="00FE68B7">
              <w:rPr>
                <w:rFonts w:eastAsia="Calibri"/>
                <w:sz w:val="22"/>
                <w:szCs w:val="22"/>
              </w:rPr>
              <w:t>Total Asset</w:t>
            </w:r>
          </w:p>
          <w:p w:rsidR="005171F5" w:rsidRPr="00FE68B7" w:rsidRDefault="005171F5" w:rsidP="004D2BFF">
            <w:pPr>
              <w:ind w:left="1440" w:hanging="1440"/>
              <w:rPr>
                <w:rFonts w:eastAsia="Calibri"/>
                <w:sz w:val="22"/>
                <w:szCs w:val="22"/>
              </w:rPr>
            </w:pP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FE68B7">
        <w:tc>
          <w:tcPr>
            <w:tcW w:w="1008" w:type="dxa"/>
            <w:vMerge/>
          </w:tcPr>
          <w:p w:rsidR="005171F5" w:rsidRPr="00FE68B7" w:rsidRDefault="005171F5" w:rsidP="004D2BFF">
            <w:pPr>
              <w:rPr>
                <w:rFonts w:eastAsia="Calibri"/>
                <w:sz w:val="22"/>
                <w:szCs w:val="22"/>
              </w:rPr>
            </w:pPr>
          </w:p>
        </w:tc>
        <w:tc>
          <w:tcPr>
            <w:tcW w:w="1890" w:type="dxa"/>
            <w:vMerge/>
          </w:tcPr>
          <w:p w:rsidR="005171F5" w:rsidRPr="00FE68B7" w:rsidRDefault="005171F5" w:rsidP="004D2BFF">
            <w:pPr>
              <w:rPr>
                <w:rFonts w:eastAsia="Calibri"/>
                <w:sz w:val="22"/>
                <w:szCs w:val="22"/>
              </w:rPr>
            </w:pPr>
          </w:p>
        </w:tc>
        <w:tc>
          <w:tcPr>
            <w:tcW w:w="2075" w:type="dxa"/>
          </w:tcPr>
          <w:p w:rsidR="005171F5" w:rsidRPr="00FE68B7" w:rsidRDefault="005171F5" w:rsidP="004D2BFF">
            <w:pPr>
              <w:rPr>
                <w:rFonts w:eastAsia="Calibri"/>
                <w:sz w:val="22"/>
                <w:szCs w:val="22"/>
              </w:rPr>
            </w:pPr>
            <w:r w:rsidRPr="00FE68B7">
              <w:rPr>
                <w:rFonts w:eastAsia="Calibri"/>
                <w:sz w:val="22"/>
                <w:szCs w:val="22"/>
              </w:rPr>
              <w:t>Net Sales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vMerge/>
          </w:tcPr>
          <w:p w:rsidR="005171F5" w:rsidRPr="00FE68B7" w:rsidRDefault="005171F5" w:rsidP="004D2BFF">
            <w:pPr>
              <w:rPr>
                <w:rFonts w:eastAsia="Calibri"/>
                <w:sz w:val="22"/>
                <w:szCs w:val="22"/>
              </w:rPr>
            </w:pPr>
          </w:p>
        </w:tc>
        <w:tc>
          <w:tcPr>
            <w:tcW w:w="1890" w:type="dxa"/>
            <w:vMerge/>
          </w:tcPr>
          <w:p w:rsidR="005171F5" w:rsidRPr="00FE68B7" w:rsidRDefault="005171F5" w:rsidP="004D2BFF">
            <w:pPr>
              <w:rPr>
                <w:rFonts w:eastAsia="Calibri"/>
                <w:sz w:val="22"/>
                <w:szCs w:val="22"/>
              </w:rPr>
            </w:pPr>
          </w:p>
        </w:tc>
        <w:tc>
          <w:tcPr>
            <w:tcW w:w="2075" w:type="dxa"/>
          </w:tcPr>
          <w:p w:rsidR="005171F5" w:rsidRPr="00FE68B7" w:rsidRDefault="005171F5" w:rsidP="004D2BFF">
            <w:pPr>
              <w:rPr>
                <w:rFonts w:eastAsia="Calibri"/>
                <w:sz w:val="22"/>
                <w:szCs w:val="22"/>
              </w:rPr>
            </w:pPr>
            <w:r w:rsidRPr="00FE68B7">
              <w:rPr>
                <w:rFonts w:eastAsia="Calibri"/>
                <w:sz w:val="22"/>
                <w:szCs w:val="22"/>
              </w:rPr>
              <w:t>Number of employees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FE68B7">
        <w:tc>
          <w:tcPr>
            <w:tcW w:w="1008" w:type="dxa"/>
            <w:vMerge/>
          </w:tcPr>
          <w:p w:rsidR="005171F5" w:rsidRPr="00FE68B7" w:rsidRDefault="005171F5" w:rsidP="004D2BFF">
            <w:pPr>
              <w:rPr>
                <w:rFonts w:eastAsia="Calibri"/>
                <w:sz w:val="22"/>
                <w:szCs w:val="22"/>
              </w:rPr>
            </w:pPr>
          </w:p>
        </w:tc>
        <w:tc>
          <w:tcPr>
            <w:tcW w:w="1890" w:type="dxa"/>
            <w:vMerge/>
          </w:tcPr>
          <w:p w:rsidR="005171F5" w:rsidRPr="00FE68B7" w:rsidRDefault="005171F5" w:rsidP="004D2BFF">
            <w:pPr>
              <w:rPr>
                <w:rFonts w:eastAsia="Calibri"/>
                <w:sz w:val="22"/>
                <w:szCs w:val="22"/>
              </w:rPr>
            </w:pPr>
          </w:p>
        </w:tc>
        <w:tc>
          <w:tcPr>
            <w:tcW w:w="2075" w:type="dxa"/>
          </w:tcPr>
          <w:p w:rsidR="005171F5" w:rsidRPr="00FE68B7" w:rsidRDefault="005171F5" w:rsidP="004D2BFF">
            <w:pPr>
              <w:rPr>
                <w:rFonts w:eastAsia="Calibri"/>
                <w:sz w:val="22"/>
                <w:szCs w:val="22"/>
              </w:rPr>
            </w:pPr>
            <w:r w:rsidRPr="00FE68B7">
              <w:rPr>
                <w:rFonts w:eastAsia="Calibri"/>
                <w:sz w:val="22"/>
                <w:szCs w:val="22"/>
              </w:rPr>
              <w:t>Market capitalization</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tcPr>
          <w:p w:rsidR="005171F5" w:rsidRPr="00FE68B7" w:rsidRDefault="00C35026" w:rsidP="004D2BFF">
            <w:pPr>
              <w:rPr>
                <w:rFonts w:eastAsia="Calibri"/>
                <w:sz w:val="22"/>
                <w:szCs w:val="22"/>
              </w:rPr>
            </w:pPr>
            <w:r w:rsidRPr="00FE68B7">
              <w:rPr>
                <w:rFonts w:eastAsia="Calibri"/>
                <w:sz w:val="22"/>
                <w:szCs w:val="22"/>
              </w:rPr>
              <w:t>22</w:t>
            </w:r>
          </w:p>
        </w:tc>
        <w:tc>
          <w:tcPr>
            <w:tcW w:w="1890" w:type="dxa"/>
          </w:tcPr>
          <w:p w:rsidR="005171F5" w:rsidRPr="00FE68B7" w:rsidRDefault="005171F5" w:rsidP="004D2BFF">
            <w:pPr>
              <w:rPr>
                <w:rFonts w:eastAsia="Calibri"/>
                <w:sz w:val="22"/>
                <w:szCs w:val="22"/>
              </w:rPr>
            </w:pPr>
            <w:r w:rsidRPr="00FE68B7">
              <w:rPr>
                <w:rFonts w:eastAsia="Calibri"/>
                <w:sz w:val="22"/>
                <w:szCs w:val="22"/>
              </w:rPr>
              <w:t>Camfferman and Cooke(2002)</w:t>
            </w:r>
          </w:p>
        </w:tc>
        <w:tc>
          <w:tcPr>
            <w:tcW w:w="2075" w:type="dxa"/>
          </w:tcPr>
          <w:p w:rsidR="005171F5" w:rsidRPr="00FE68B7" w:rsidRDefault="005171F5" w:rsidP="004D2BFF">
            <w:pPr>
              <w:rPr>
                <w:rFonts w:eastAsia="Calibri"/>
                <w:sz w:val="22"/>
                <w:szCs w:val="22"/>
              </w:rPr>
            </w:pPr>
            <w:r w:rsidRPr="00FE68B7">
              <w:rPr>
                <w:rFonts w:eastAsia="Calibri"/>
                <w:sz w:val="22"/>
                <w:szCs w:val="22"/>
              </w:rPr>
              <w:t>Total assets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tcPr>
          <w:p w:rsidR="005171F5" w:rsidRPr="00FE68B7" w:rsidRDefault="00C35026" w:rsidP="004D2BFF">
            <w:pPr>
              <w:rPr>
                <w:rFonts w:eastAsia="Calibri"/>
                <w:sz w:val="22"/>
                <w:szCs w:val="22"/>
              </w:rPr>
            </w:pPr>
            <w:r w:rsidRPr="00FE68B7">
              <w:rPr>
                <w:rFonts w:eastAsia="Calibri"/>
                <w:sz w:val="22"/>
                <w:szCs w:val="22"/>
              </w:rPr>
              <w:t>23</w:t>
            </w:r>
          </w:p>
        </w:tc>
        <w:tc>
          <w:tcPr>
            <w:tcW w:w="1890" w:type="dxa"/>
          </w:tcPr>
          <w:p w:rsidR="005171F5" w:rsidRPr="00FE68B7" w:rsidRDefault="005171F5" w:rsidP="004D2BFF">
            <w:pPr>
              <w:rPr>
                <w:rFonts w:eastAsia="Calibri"/>
                <w:sz w:val="22"/>
                <w:szCs w:val="22"/>
              </w:rPr>
            </w:pPr>
            <w:r w:rsidRPr="00FE68B7">
              <w:rPr>
                <w:rFonts w:eastAsia="Calibri"/>
                <w:sz w:val="22"/>
                <w:szCs w:val="22"/>
              </w:rPr>
              <w:t>Chow and Gray(2002)</w:t>
            </w:r>
          </w:p>
        </w:tc>
        <w:tc>
          <w:tcPr>
            <w:tcW w:w="2075" w:type="dxa"/>
          </w:tcPr>
          <w:p w:rsidR="005171F5" w:rsidRPr="00FE68B7" w:rsidRDefault="005171F5" w:rsidP="004D2BFF">
            <w:pPr>
              <w:rPr>
                <w:rFonts w:eastAsia="Calibri"/>
                <w:sz w:val="22"/>
                <w:szCs w:val="22"/>
              </w:rPr>
            </w:pPr>
            <w:r w:rsidRPr="00FE68B7">
              <w:rPr>
                <w:rFonts w:eastAsia="Calibri"/>
                <w:sz w:val="22"/>
                <w:szCs w:val="22"/>
              </w:rPr>
              <w:t>Sales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 moderate)</w:t>
            </w:r>
          </w:p>
        </w:tc>
      </w:tr>
      <w:tr w:rsidR="005171F5" w:rsidRPr="00FE68B7" w:rsidTr="00FE68B7">
        <w:tc>
          <w:tcPr>
            <w:tcW w:w="1008" w:type="dxa"/>
          </w:tcPr>
          <w:p w:rsidR="005171F5" w:rsidRPr="00FE68B7" w:rsidRDefault="00C35026" w:rsidP="004D2BFF">
            <w:pPr>
              <w:tabs>
                <w:tab w:val="left" w:pos="7320"/>
              </w:tabs>
              <w:rPr>
                <w:rFonts w:eastAsia="Calibri"/>
                <w:sz w:val="22"/>
                <w:szCs w:val="22"/>
              </w:rPr>
            </w:pPr>
            <w:r w:rsidRPr="00FE68B7">
              <w:rPr>
                <w:rFonts w:eastAsia="Calibri"/>
                <w:sz w:val="22"/>
                <w:szCs w:val="22"/>
              </w:rPr>
              <w:t>24</w:t>
            </w:r>
          </w:p>
        </w:tc>
        <w:tc>
          <w:tcPr>
            <w:tcW w:w="1890" w:type="dxa"/>
          </w:tcPr>
          <w:p w:rsidR="005171F5" w:rsidRPr="00FE68B7" w:rsidRDefault="005171F5" w:rsidP="004D2BFF">
            <w:pPr>
              <w:tabs>
                <w:tab w:val="left" w:pos="7320"/>
              </w:tabs>
              <w:rPr>
                <w:rFonts w:eastAsia="Calibri"/>
                <w:sz w:val="22"/>
                <w:szCs w:val="22"/>
              </w:rPr>
            </w:pPr>
            <w:r w:rsidRPr="00FE68B7">
              <w:rPr>
                <w:rFonts w:eastAsia="Calibri"/>
                <w:sz w:val="22"/>
                <w:szCs w:val="22"/>
              </w:rPr>
              <w:t>Ferguson, Lam and Lee(2002)</w:t>
            </w:r>
          </w:p>
        </w:tc>
        <w:tc>
          <w:tcPr>
            <w:tcW w:w="2075" w:type="dxa"/>
          </w:tcPr>
          <w:p w:rsidR="005171F5" w:rsidRPr="00FE68B7" w:rsidRDefault="005171F5" w:rsidP="004D2BFF">
            <w:pPr>
              <w:rPr>
                <w:rFonts w:eastAsia="Calibri"/>
                <w:sz w:val="22"/>
                <w:szCs w:val="22"/>
              </w:rPr>
            </w:pPr>
            <w:r w:rsidRPr="00FE68B7">
              <w:rPr>
                <w:rFonts w:eastAsia="Calibri"/>
                <w:sz w:val="22"/>
                <w:szCs w:val="22"/>
              </w:rPr>
              <w:t>Log of total assets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tcPr>
          <w:p w:rsidR="005171F5" w:rsidRPr="00FE68B7" w:rsidRDefault="00C35026" w:rsidP="004D2BFF">
            <w:pPr>
              <w:rPr>
                <w:rFonts w:eastAsia="Calibri"/>
                <w:sz w:val="22"/>
                <w:szCs w:val="22"/>
              </w:rPr>
            </w:pPr>
            <w:r w:rsidRPr="00FE68B7">
              <w:rPr>
                <w:rFonts w:eastAsia="Calibri"/>
                <w:sz w:val="22"/>
                <w:szCs w:val="22"/>
              </w:rPr>
              <w:t>25</w:t>
            </w:r>
          </w:p>
        </w:tc>
        <w:tc>
          <w:tcPr>
            <w:tcW w:w="1890" w:type="dxa"/>
          </w:tcPr>
          <w:p w:rsidR="005171F5" w:rsidRPr="00FE68B7" w:rsidRDefault="005171F5" w:rsidP="004D2BFF">
            <w:pPr>
              <w:tabs>
                <w:tab w:val="left" w:pos="7320"/>
              </w:tabs>
              <w:rPr>
                <w:rFonts w:eastAsia="Calibri"/>
                <w:sz w:val="22"/>
                <w:szCs w:val="22"/>
              </w:rPr>
            </w:pPr>
            <w:r w:rsidRPr="00FE68B7">
              <w:rPr>
                <w:rFonts w:eastAsia="Calibri"/>
                <w:sz w:val="22"/>
                <w:szCs w:val="22"/>
              </w:rPr>
              <w:t>Eng and Mak(2003)</w:t>
            </w:r>
          </w:p>
        </w:tc>
        <w:tc>
          <w:tcPr>
            <w:tcW w:w="2075" w:type="dxa"/>
          </w:tcPr>
          <w:p w:rsidR="005171F5" w:rsidRPr="00FE68B7" w:rsidRDefault="005171F5" w:rsidP="004D2BFF">
            <w:pPr>
              <w:rPr>
                <w:rFonts w:eastAsia="Calibri"/>
                <w:sz w:val="22"/>
                <w:szCs w:val="22"/>
              </w:rPr>
            </w:pPr>
            <w:r w:rsidRPr="00FE68B7">
              <w:rPr>
                <w:rFonts w:eastAsia="Calibri"/>
                <w:sz w:val="22"/>
                <w:szCs w:val="22"/>
              </w:rPr>
              <w:t>Sum of market value of ordinary shares, book value of debt and book value of preference shares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 xml:space="preserve">Sig </w:t>
            </w:r>
          </w:p>
        </w:tc>
      </w:tr>
      <w:tr w:rsidR="005171F5" w:rsidRPr="00FE68B7" w:rsidTr="00FE68B7">
        <w:tc>
          <w:tcPr>
            <w:tcW w:w="1008" w:type="dxa"/>
          </w:tcPr>
          <w:p w:rsidR="005171F5" w:rsidRPr="00FE68B7" w:rsidRDefault="00C35026" w:rsidP="004D2BFF">
            <w:pPr>
              <w:rPr>
                <w:rFonts w:eastAsia="Calibri"/>
                <w:sz w:val="22"/>
                <w:szCs w:val="22"/>
              </w:rPr>
            </w:pPr>
            <w:r w:rsidRPr="00FE68B7">
              <w:rPr>
                <w:rFonts w:eastAsia="Calibri"/>
                <w:sz w:val="22"/>
                <w:szCs w:val="22"/>
              </w:rPr>
              <w:t>26</w:t>
            </w:r>
          </w:p>
        </w:tc>
        <w:tc>
          <w:tcPr>
            <w:tcW w:w="1890" w:type="dxa"/>
          </w:tcPr>
          <w:p w:rsidR="005171F5" w:rsidRPr="00FE68B7" w:rsidRDefault="005171F5" w:rsidP="004D2BFF">
            <w:pPr>
              <w:rPr>
                <w:rFonts w:eastAsia="Calibri"/>
                <w:sz w:val="22"/>
                <w:szCs w:val="22"/>
              </w:rPr>
            </w:pPr>
            <w:r w:rsidRPr="00FE68B7">
              <w:rPr>
                <w:rFonts w:eastAsia="Calibri"/>
                <w:sz w:val="22"/>
                <w:szCs w:val="22"/>
              </w:rPr>
              <w:t>Glaum and Street(2003)</w:t>
            </w:r>
          </w:p>
        </w:tc>
        <w:tc>
          <w:tcPr>
            <w:tcW w:w="2075" w:type="dxa"/>
          </w:tcPr>
          <w:p w:rsidR="005171F5" w:rsidRPr="00FE68B7" w:rsidRDefault="005171F5" w:rsidP="004D2BFF">
            <w:pPr>
              <w:rPr>
                <w:rFonts w:eastAsia="Calibri"/>
                <w:sz w:val="22"/>
                <w:szCs w:val="22"/>
              </w:rPr>
            </w:pPr>
            <w:r w:rsidRPr="00FE68B7">
              <w:rPr>
                <w:rFonts w:eastAsia="Calibri"/>
                <w:sz w:val="22"/>
                <w:szCs w:val="22"/>
              </w:rPr>
              <w:t>Log of Market value of equity + book value of debt</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FE68B7">
        <w:tc>
          <w:tcPr>
            <w:tcW w:w="1008" w:type="dxa"/>
          </w:tcPr>
          <w:p w:rsidR="005171F5" w:rsidRPr="00FE68B7" w:rsidRDefault="00C35026" w:rsidP="004D2BFF">
            <w:pPr>
              <w:rPr>
                <w:rFonts w:eastAsia="Calibri"/>
                <w:sz w:val="22"/>
                <w:szCs w:val="22"/>
              </w:rPr>
            </w:pPr>
            <w:r w:rsidRPr="00FE68B7">
              <w:rPr>
                <w:rFonts w:eastAsia="Calibri"/>
                <w:sz w:val="22"/>
                <w:szCs w:val="22"/>
              </w:rPr>
              <w:t>27</w:t>
            </w:r>
          </w:p>
        </w:tc>
        <w:tc>
          <w:tcPr>
            <w:tcW w:w="1890" w:type="dxa"/>
          </w:tcPr>
          <w:p w:rsidR="005171F5" w:rsidRPr="00FE68B7" w:rsidRDefault="005171F5" w:rsidP="004D2BFF">
            <w:pPr>
              <w:rPr>
                <w:rFonts w:eastAsia="Calibri"/>
                <w:sz w:val="22"/>
                <w:szCs w:val="22"/>
              </w:rPr>
            </w:pPr>
            <w:r w:rsidRPr="00FE68B7">
              <w:rPr>
                <w:rFonts w:eastAsia="Calibri"/>
                <w:sz w:val="22"/>
                <w:szCs w:val="22"/>
              </w:rPr>
              <w:t>Ali et al (2004)</w:t>
            </w:r>
          </w:p>
        </w:tc>
        <w:tc>
          <w:tcPr>
            <w:tcW w:w="2075" w:type="dxa"/>
          </w:tcPr>
          <w:p w:rsidR="005171F5" w:rsidRPr="00FE68B7" w:rsidRDefault="005171F5" w:rsidP="004D2BFF">
            <w:pPr>
              <w:rPr>
                <w:rFonts w:eastAsia="Calibri"/>
                <w:sz w:val="22"/>
                <w:szCs w:val="22"/>
              </w:rPr>
            </w:pPr>
            <w:r w:rsidRPr="00FE68B7">
              <w:rPr>
                <w:rFonts w:eastAsia="Calibri"/>
                <w:sz w:val="22"/>
                <w:szCs w:val="22"/>
              </w:rPr>
              <w:t>Log of total assets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tcPr>
          <w:p w:rsidR="005171F5" w:rsidRPr="00FE68B7" w:rsidRDefault="005171F5" w:rsidP="00C35026">
            <w:pPr>
              <w:rPr>
                <w:rFonts w:eastAsia="Calibri"/>
                <w:sz w:val="22"/>
                <w:szCs w:val="22"/>
              </w:rPr>
            </w:pPr>
            <w:r w:rsidRPr="00FE68B7">
              <w:rPr>
                <w:rFonts w:eastAsia="Calibri"/>
                <w:sz w:val="22"/>
                <w:szCs w:val="22"/>
              </w:rPr>
              <w:t>2</w:t>
            </w:r>
            <w:r w:rsidR="00C35026" w:rsidRPr="00FE68B7">
              <w:rPr>
                <w:rFonts w:eastAsia="Calibri"/>
                <w:sz w:val="22"/>
                <w:szCs w:val="22"/>
              </w:rPr>
              <w:t>8</w:t>
            </w:r>
          </w:p>
        </w:tc>
        <w:tc>
          <w:tcPr>
            <w:tcW w:w="1890" w:type="dxa"/>
          </w:tcPr>
          <w:p w:rsidR="005171F5" w:rsidRPr="00FE68B7" w:rsidRDefault="005171F5" w:rsidP="004D2BFF">
            <w:pPr>
              <w:rPr>
                <w:rFonts w:eastAsia="Calibri"/>
                <w:sz w:val="22"/>
                <w:szCs w:val="22"/>
              </w:rPr>
            </w:pPr>
            <w:r w:rsidRPr="00FE68B7">
              <w:rPr>
                <w:rFonts w:eastAsia="Calibri"/>
                <w:sz w:val="22"/>
                <w:szCs w:val="22"/>
              </w:rPr>
              <w:t>Prencipe(2004)</w:t>
            </w:r>
          </w:p>
        </w:tc>
        <w:tc>
          <w:tcPr>
            <w:tcW w:w="2075" w:type="dxa"/>
          </w:tcPr>
          <w:p w:rsidR="005171F5" w:rsidRPr="00FE68B7" w:rsidRDefault="005171F5" w:rsidP="004D2BFF">
            <w:pPr>
              <w:rPr>
                <w:rFonts w:eastAsia="Calibri"/>
                <w:sz w:val="22"/>
                <w:szCs w:val="22"/>
              </w:rPr>
            </w:pPr>
            <w:r w:rsidRPr="00FE68B7">
              <w:rPr>
                <w:rFonts w:eastAsia="Calibri"/>
                <w:sz w:val="22"/>
                <w:szCs w:val="22"/>
              </w:rPr>
              <w:t>Log of sales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vMerge w:val="restart"/>
          </w:tcPr>
          <w:p w:rsidR="005171F5" w:rsidRPr="00FE68B7" w:rsidRDefault="00C35026" w:rsidP="004D2BFF">
            <w:pPr>
              <w:rPr>
                <w:rFonts w:eastAsia="Calibri"/>
                <w:sz w:val="22"/>
                <w:szCs w:val="22"/>
              </w:rPr>
            </w:pPr>
            <w:r w:rsidRPr="00FE68B7">
              <w:rPr>
                <w:rFonts w:eastAsia="Calibri"/>
                <w:sz w:val="22"/>
                <w:szCs w:val="22"/>
              </w:rPr>
              <w:t>29</w:t>
            </w:r>
          </w:p>
        </w:tc>
        <w:tc>
          <w:tcPr>
            <w:tcW w:w="1890" w:type="dxa"/>
            <w:vMerge w:val="restart"/>
          </w:tcPr>
          <w:p w:rsidR="005171F5" w:rsidRPr="00FE68B7" w:rsidRDefault="005171F5" w:rsidP="004D2BFF">
            <w:pPr>
              <w:rPr>
                <w:rFonts w:eastAsia="Calibri"/>
                <w:sz w:val="22"/>
                <w:szCs w:val="22"/>
              </w:rPr>
            </w:pPr>
            <w:r w:rsidRPr="00FE68B7">
              <w:rPr>
                <w:rFonts w:eastAsia="Calibri"/>
                <w:sz w:val="22"/>
                <w:szCs w:val="22"/>
              </w:rPr>
              <w:t>Akhtaruddin (2005)</w:t>
            </w:r>
          </w:p>
        </w:tc>
        <w:tc>
          <w:tcPr>
            <w:tcW w:w="2075" w:type="dxa"/>
          </w:tcPr>
          <w:p w:rsidR="005171F5" w:rsidRPr="00FE68B7" w:rsidRDefault="005171F5" w:rsidP="004D2BFF">
            <w:pPr>
              <w:rPr>
                <w:rFonts w:eastAsia="Calibri"/>
                <w:sz w:val="22"/>
                <w:szCs w:val="22"/>
              </w:rPr>
            </w:pPr>
            <w:r w:rsidRPr="00FE68B7">
              <w:rPr>
                <w:rFonts w:eastAsia="Calibri"/>
                <w:sz w:val="22"/>
                <w:szCs w:val="22"/>
              </w:rPr>
              <w:t xml:space="preserve">Capital employed </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FE68B7">
        <w:tc>
          <w:tcPr>
            <w:tcW w:w="1008" w:type="dxa"/>
            <w:vMerge/>
          </w:tcPr>
          <w:p w:rsidR="005171F5" w:rsidRPr="00FE68B7" w:rsidRDefault="005171F5" w:rsidP="004D2BFF">
            <w:pPr>
              <w:jc w:val="center"/>
              <w:rPr>
                <w:rFonts w:eastAsia="Calibri"/>
                <w:sz w:val="22"/>
                <w:szCs w:val="22"/>
              </w:rPr>
            </w:pPr>
          </w:p>
        </w:tc>
        <w:tc>
          <w:tcPr>
            <w:tcW w:w="1890" w:type="dxa"/>
            <w:vMerge/>
          </w:tcPr>
          <w:p w:rsidR="005171F5" w:rsidRPr="00FE68B7" w:rsidRDefault="005171F5" w:rsidP="004D2BFF">
            <w:pPr>
              <w:jc w:val="center"/>
              <w:rPr>
                <w:rFonts w:eastAsia="Calibri"/>
                <w:sz w:val="22"/>
                <w:szCs w:val="22"/>
              </w:rPr>
            </w:pPr>
          </w:p>
        </w:tc>
        <w:tc>
          <w:tcPr>
            <w:tcW w:w="2075" w:type="dxa"/>
          </w:tcPr>
          <w:p w:rsidR="005171F5" w:rsidRPr="00FE68B7" w:rsidRDefault="005171F5" w:rsidP="004D2BFF">
            <w:pPr>
              <w:rPr>
                <w:rFonts w:eastAsia="Calibri"/>
                <w:sz w:val="22"/>
                <w:szCs w:val="22"/>
              </w:rPr>
            </w:pPr>
            <w:r w:rsidRPr="00FE68B7">
              <w:rPr>
                <w:rFonts w:eastAsia="Calibri"/>
                <w:sz w:val="22"/>
                <w:szCs w:val="22"/>
              </w:rPr>
              <w:t>Annual sales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tcPr>
          <w:p w:rsidR="005171F5" w:rsidRPr="00FE68B7" w:rsidRDefault="00C35026" w:rsidP="004D2BFF">
            <w:pPr>
              <w:tabs>
                <w:tab w:val="left" w:pos="7320"/>
              </w:tabs>
              <w:rPr>
                <w:rFonts w:eastAsia="Calibri"/>
                <w:sz w:val="22"/>
                <w:szCs w:val="22"/>
              </w:rPr>
            </w:pPr>
            <w:r w:rsidRPr="00FE68B7">
              <w:rPr>
                <w:rFonts w:eastAsia="Calibri"/>
                <w:sz w:val="22"/>
                <w:szCs w:val="22"/>
              </w:rPr>
              <w:t>30</w:t>
            </w:r>
          </w:p>
        </w:tc>
        <w:tc>
          <w:tcPr>
            <w:tcW w:w="1890" w:type="dxa"/>
          </w:tcPr>
          <w:p w:rsidR="005171F5" w:rsidRPr="00FE68B7" w:rsidRDefault="005171F5" w:rsidP="004D2BFF">
            <w:pPr>
              <w:tabs>
                <w:tab w:val="left" w:pos="7320"/>
              </w:tabs>
              <w:rPr>
                <w:rFonts w:eastAsia="Calibri"/>
                <w:sz w:val="22"/>
                <w:szCs w:val="22"/>
              </w:rPr>
            </w:pPr>
            <w:r w:rsidRPr="00FE68B7">
              <w:rPr>
                <w:rFonts w:eastAsia="Calibri"/>
                <w:sz w:val="22"/>
                <w:szCs w:val="22"/>
              </w:rPr>
              <w:t>Al-Shammari(2005)</w:t>
            </w:r>
          </w:p>
        </w:tc>
        <w:tc>
          <w:tcPr>
            <w:tcW w:w="2075" w:type="dxa"/>
          </w:tcPr>
          <w:p w:rsidR="005171F5" w:rsidRPr="00FE68B7" w:rsidRDefault="005171F5" w:rsidP="004D2BFF">
            <w:pPr>
              <w:jc w:val="center"/>
              <w:rPr>
                <w:rFonts w:eastAsia="Calibri"/>
                <w:sz w:val="22"/>
                <w:szCs w:val="22"/>
              </w:rPr>
            </w:pPr>
            <w:r w:rsidRPr="00FE68B7">
              <w:rPr>
                <w:rFonts w:eastAsia="Calibri"/>
                <w:sz w:val="22"/>
                <w:szCs w:val="22"/>
              </w:rPr>
              <w:t>Log( Market value of equity + book value of debt)</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1008" w:type="dxa"/>
          </w:tcPr>
          <w:p w:rsidR="005171F5" w:rsidRPr="00FE68B7" w:rsidRDefault="00C35026" w:rsidP="004D2BFF">
            <w:pPr>
              <w:rPr>
                <w:rFonts w:eastAsia="Calibri"/>
                <w:sz w:val="22"/>
                <w:szCs w:val="22"/>
              </w:rPr>
            </w:pPr>
            <w:r w:rsidRPr="00FE68B7">
              <w:rPr>
                <w:rFonts w:eastAsia="Calibri"/>
                <w:sz w:val="22"/>
                <w:szCs w:val="22"/>
              </w:rPr>
              <w:t>31</w:t>
            </w:r>
          </w:p>
        </w:tc>
        <w:tc>
          <w:tcPr>
            <w:tcW w:w="1890" w:type="dxa"/>
          </w:tcPr>
          <w:p w:rsidR="005171F5" w:rsidRPr="00FE68B7" w:rsidRDefault="005171F5" w:rsidP="004D2BFF">
            <w:pPr>
              <w:rPr>
                <w:rFonts w:eastAsia="Calibri"/>
                <w:sz w:val="22"/>
                <w:szCs w:val="22"/>
              </w:rPr>
            </w:pPr>
            <w:r w:rsidRPr="00FE68B7">
              <w:rPr>
                <w:rFonts w:eastAsia="Calibri"/>
                <w:sz w:val="22"/>
                <w:szCs w:val="22"/>
              </w:rPr>
              <w:t>Barako(2007)</w:t>
            </w:r>
          </w:p>
        </w:tc>
        <w:tc>
          <w:tcPr>
            <w:tcW w:w="2075" w:type="dxa"/>
          </w:tcPr>
          <w:p w:rsidR="005171F5" w:rsidRPr="00FE68B7" w:rsidRDefault="005171F5" w:rsidP="004D2BFF">
            <w:pPr>
              <w:rPr>
                <w:rFonts w:eastAsia="Calibri"/>
                <w:sz w:val="22"/>
                <w:szCs w:val="22"/>
              </w:rPr>
            </w:pPr>
            <w:r w:rsidRPr="00FE68B7">
              <w:rPr>
                <w:rFonts w:eastAsia="Calibri"/>
                <w:sz w:val="22"/>
                <w:szCs w:val="22"/>
              </w:rPr>
              <w:t>Total Assets</w:t>
            </w:r>
          </w:p>
        </w:tc>
        <w:tc>
          <w:tcPr>
            <w:tcW w:w="1322" w:type="dxa"/>
          </w:tcPr>
          <w:p w:rsidR="005171F5" w:rsidRPr="00FE68B7" w:rsidRDefault="005171F5" w:rsidP="004D2BFF">
            <w:pPr>
              <w:jc w:val="center"/>
              <w:rPr>
                <w:rFonts w:eastAsia="Calibri"/>
                <w:sz w:val="22"/>
                <w:szCs w:val="22"/>
              </w:rPr>
            </w:pPr>
            <w:r w:rsidRPr="00FE68B7">
              <w:rPr>
                <w:rFonts w:eastAsia="Calibri"/>
                <w:sz w:val="22"/>
                <w:szCs w:val="22"/>
              </w:rPr>
              <w:t>+ for 4 categories</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 for 4 categories</w:t>
            </w:r>
          </w:p>
        </w:tc>
      </w:tr>
    </w:tbl>
    <w:p w:rsidR="005171F5" w:rsidRPr="00FE68B7" w:rsidRDefault="005171F5" w:rsidP="005171F5">
      <w:pPr>
        <w:jc w:val="center"/>
        <w:rPr>
          <w:sz w:val="22"/>
          <w:szCs w:val="22"/>
        </w:rPr>
      </w:pPr>
      <w:r w:rsidRPr="00FE68B7">
        <w:rPr>
          <w:sz w:val="22"/>
          <w:szCs w:val="22"/>
        </w:rPr>
        <w:tab/>
      </w:r>
    </w:p>
    <w:p w:rsidR="005171F5" w:rsidRPr="00FE68B7" w:rsidRDefault="005171F5" w:rsidP="005171F5">
      <w:pPr>
        <w:jc w:val="center"/>
        <w:rPr>
          <w:b/>
          <w:sz w:val="22"/>
          <w:szCs w:val="22"/>
        </w:rPr>
      </w:pPr>
      <w:r w:rsidRPr="00FE68B7">
        <w:rPr>
          <w:b/>
          <w:sz w:val="22"/>
          <w:szCs w:val="22"/>
        </w:rPr>
        <w:t>Source: Compiled from the literature reviewed by the researcher (2009)</w:t>
      </w:r>
    </w:p>
    <w:p w:rsidR="005171F5" w:rsidRPr="008573C5" w:rsidRDefault="005171F5" w:rsidP="005171F5">
      <w:pPr>
        <w:jc w:val="center"/>
        <w:rPr>
          <w:sz w:val="20"/>
          <w:szCs w:val="20"/>
        </w:rPr>
      </w:pPr>
    </w:p>
    <w:p w:rsidR="005171F5" w:rsidRPr="008573C5" w:rsidRDefault="005171F5" w:rsidP="005171F5">
      <w:pPr>
        <w:jc w:val="center"/>
        <w:rPr>
          <w:sz w:val="20"/>
          <w:szCs w:val="20"/>
        </w:rPr>
      </w:pPr>
    </w:p>
    <w:p w:rsidR="005171F5" w:rsidRPr="008573C5" w:rsidRDefault="005171F5" w:rsidP="005171F5">
      <w:pPr>
        <w:jc w:val="center"/>
        <w:rPr>
          <w:sz w:val="20"/>
          <w:szCs w:val="20"/>
        </w:rPr>
      </w:pPr>
    </w:p>
    <w:p w:rsidR="005171F5" w:rsidRPr="008573C5" w:rsidRDefault="005171F5" w:rsidP="005171F5">
      <w:pPr>
        <w:jc w:val="center"/>
        <w:rPr>
          <w:sz w:val="20"/>
          <w:szCs w:val="20"/>
        </w:rPr>
      </w:pPr>
    </w:p>
    <w:p w:rsidR="005171F5" w:rsidRPr="008573C5" w:rsidRDefault="005171F5" w:rsidP="005171F5">
      <w:pPr>
        <w:jc w:val="center"/>
        <w:rPr>
          <w:sz w:val="20"/>
          <w:szCs w:val="20"/>
        </w:rPr>
      </w:pPr>
    </w:p>
    <w:p w:rsidR="005171F5" w:rsidRPr="008573C5" w:rsidRDefault="005171F5" w:rsidP="005171F5">
      <w:pPr>
        <w:jc w:val="center"/>
        <w:rPr>
          <w:sz w:val="20"/>
          <w:szCs w:val="20"/>
        </w:rPr>
      </w:pPr>
    </w:p>
    <w:p w:rsidR="005171F5" w:rsidRPr="008573C5" w:rsidRDefault="005171F5" w:rsidP="005171F5">
      <w:pPr>
        <w:jc w:val="center"/>
        <w:rPr>
          <w:sz w:val="20"/>
          <w:szCs w:val="20"/>
        </w:rPr>
      </w:pPr>
    </w:p>
    <w:p w:rsidR="005171F5" w:rsidRPr="008573C5" w:rsidRDefault="005171F5" w:rsidP="005171F5">
      <w:pPr>
        <w:jc w:val="center"/>
        <w:rPr>
          <w:sz w:val="20"/>
          <w:szCs w:val="20"/>
        </w:rPr>
      </w:pPr>
    </w:p>
    <w:p w:rsidR="005171F5" w:rsidRPr="008573C5" w:rsidRDefault="005171F5" w:rsidP="005171F5">
      <w:pPr>
        <w:jc w:val="center"/>
        <w:rPr>
          <w:sz w:val="20"/>
          <w:szCs w:val="20"/>
        </w:rPr>
      </w:pPr>
    </w:p>
    <w:p w:rsidR="005171F5" w:rsidRPr="008573C5" w:rsidRDefault="005171F5" w:rsidP="005171F5">
      <w:pPr>
        <w:jc w:val="center"/>
        <w:rPr>
          <w:sz w:val="20"/>
          <w:szCs w:val="20"/>
        </w:rPr>
      </w:pPr>
    </w:p>
    <w:p w:rsidR="005171F5" w:rsidRPr="008573C5" w:rsidRDefault="005171F5" w:rsidP="005171F5">
      <w:pPr>
        <w:jc w:val="center"/>
        <w:rPr>
          <w:sz w:val="20"/>
          <w:szCs w:val="20"/>
        </w:rPr>
      </w:pPr>
    </w:p>
    <w:p w:rsidR="00FE68B7" w:rsidRDefault="00FE68B7" w:rsidP="005171F5">
      <w:pPr>
        <w:jc w:val="center"/>
        <w:rPr>
          <w:b/>
          <w:sz w:val="28"/>
          <w:szCs w:val="28"/>
        </w:rPr>
      </w:pPr>
    </w:p>
    <w:p w:rsidR="00FE68B7" w:rsidRDefault="00FE68B7" w:rsidP="005171F5">
      <w:pPr>
        <w:jc w:val="center"/>
        <w:rPr>
          <w:b/>
          <w:sz w:val="28"/>
          <w:szCs w:val="28"/>
        </w:rPr>
      </w:pPr>
    </w:p>
    <w:p w:rsidR="00FE68B7" w:rsidRDefault="00FE68B7" w:rsidP="005171F5">
      <w:pPr>
        <w:jc w:val="center"/>
        <w:rPr>
          <w:b/>
          <w:sz w:val="28"/>
          <w:szCs w:val="28"/>
        </w:rPr>
      </w:pPr>
    </w:p>
    <w:p w:rsidR="00FE68B7" w:rsidRDefault="00FE68B7" w:rsidP="005171F5">
      <w:pPr>
        <w:jc w:val="center"/>
        <w:rPr>
          <w:b/>
          <w:sz w:val="28"/>
          <w:szCs w:val="28"/>
        </w:rPr>
      </w:pPr>
    </w:p>
    <w:p w:rsidR="00FE68B7" w:rsidRDefault="00FE68B7" w:rsidP="005171F5">
      <w:pPr>
        <w:jc w:val="center"/>
        <w:rPr>
          <w:b/>
          <w:sz w:val="28"/>
          <w:szCs w:val="28"/>
        </w:rPr>
      </w:pPr>
    </w:p>
    <w:p w:rsidR="00FE68B7" w:rsidRDefault="00FE68B7" w:rsidP="005171F5">
      <w:pPr>
        <w:jc w:val="center"/>
        <w:rPr>
          <w:b/>
          <w:sz w:val="28"/>
          <w:szCs w:val="28"/>
        </w:rPr>
      </w:pPr>
    </w:p>
    <w:p w:rsidR="005171F5" w:rsidRPr="008573C5" w:rsidRDefault="005171F5" w:rsidP="005171F5">
      <w:pPr>
        <w:jc w:val="center"/>
        <w:rPr>
          <w:b/>
          <w:sz w:val="28"/>
          <w:szCs w:val="28"/>
        </w:rPr>
      </w:pPr>
      <w:r w:rsidRPr="008573C5">
        <w:rPr>
          <w:b/>
          <w:sz w:val="28"/>
          <w:szCs w:val="28"/>
        </w:rPr>
        <w:t>Table 2.03</w:t>
      </w:r>
    </w:p>
    <w:p w:rsidR="005171F5" w:rsidRPr="008573C5" w:rsidRDefault="005171F5" w:rsidP="005171F5">
      <w:pPr>
        <w:jc w:val="center"/>
        <w:rPr>
          <w:sz w:val="28"/>
          <w:szCs w:val="28"/>
        </w:rPr>
      </w:pPr>
    </w:p>
    <w:p w:rsidR="005171F5" w:rsidRPr="008573C5" w:rsidRDefault="005171F5" w:rsidP="005171F5">
      <w:pPr>
        <w:jc w:val="center"/>
        <w:rPr>
          <w:sz w:val="28"/>
          <w:szCs w:val="28"/>
        </w:rPr>
      </w:pPr>
      <w:r w:rsidRPr="008573C5">
        <w:rPr>
          <w:b/>
          <w:sz w:val="28"/>
          <w:szCs w:val="28"/>
        </w:rPr>
        <w:t xml:space="preserve">Summary of Studies Investigating the Association between Level of Disclosure and Profitability </w:t>
      </w:r>
      <w:r w:rsidRPr="008573C5">
        <w:rPr>
          <w:sz w:val="28"/>
          <w:szCs w:val="28"/>
        </w:rPr>
        <w:t xml:space="preserve"> </w:t>
      </w:r>
    </w:p>
    <w:p w:rsidR="005171F5" w:rsidRPr="008573C5" w:rsidRDefault="005171F5" w:rsidP="005171F5">
      <w:pPr>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7"/>
        <w:gridCol w:w="1976"/>
        <w:gridCol w:w="1602"/>
        <w:gridCol w:w="1320"/>
        <w:gridCol w:w="2230"/>
      </w:tblGrid>
      <w:tr w:rsidR="005171F5" w:rsidRPr="008573C5" w:rsidTr="004D2BFF">
        <w:tc>
          <w:tcPr>
            <w:tcW w:w="1397" w:type="dxa"/>
          </w:tcPr>
          <w:p w:rsidR="005171F5" w:rsidRPr="00FE68B7" w:rsidRDefault="005171F5" w:rsidP="004D2BFF">
            <w:pPr>
              <w:jc w:val="center"/>
              <w:rPr>
                <w:rFonts w:eastAsia="Calibri"/>
                <w:b/>
                <w:sz w:val="22"/>
                <w:szCs w:val="22"/>
              </w:rPr>
            </w:pPr>
            <w:r w:rsidRPr="00FE68B7">
              <w:rPr>
                <w:rFonts w:eastAsia="Calibri"/>
                <w:b/>
                <w:sz w:val="22"/>
                <w:szCs w:val="22"/>
              </w:rPr>
              <w:t>S/N</w:t>
            </w:r>
          </w:p>
        </w:tc>
        <w:tc>
          <w:tcPr>
            <w:tcW w:w="1976" w:type="dxa"/>
          </w:tcPr>
          <w:p w:rsidR="005171F5" w:rsidRPr="00FE68B7" w:rsidRDefault="005171F5" w:rsidP="004D2BFF">
            <w:pPr>
              <w:jc w:val="center"/>
              <w:rPr>
                <w:rFonts w:eastAsia="Calibri"/>
                <w:b/>
                <w:sz w:val="22"/>
                <w:szCs w:val="22"/>
              </w:rPr>
            </w:pPr>
            <w:r w:rsidRPr="00FE68B7">
              <w:rPr>
                <w:rFonts w:eastAsia="Calibri"/>
                <w:b/>
                <w:sz w:val="22"/>
                <w:szCs w:val="22"/>
              </w:rPr>
              <w:t>Author(s)</w:t>
            </w:r>
          </w:p>
        </w:tc>
        <w:tc>
          <w:tcPr>
            <w:tcW w:w="1602" w:type="dxa"/>
          </w:tcPr>
          <w:p w:rsidR="005171F5" w:rsidRPr="00FE68B7" w:rsidRDefault="006365B5" w:rsidP="004D2BFF">
            <w:pPr>
              <w:jc w:val="center"/>
              <w:rPr>
                <w:rFonts w:eastAsia="Calibri"/>
                <w:b/>
                <w:sz w:val="22"/>
                <w:szCs w:val="22"/>
              </w:rPr>
            </w:pPr>
            <w:r w:rsidRPr="00FE68B7">
              <w:rPr>
                <w:rFonts w:eastAsia="Calibri"/>
                <w:b/>
                <w:sz w:val="22"/>
                <w:szCs w:val="22"/>
              </w:rPr>
              <w:t>Proxy</w:t>
            </w:r>
          </w:p>
        </w:tc>
        <w:tc>
          <w:tcPr>
            <w:tcW w:w="1320" w:type="dxa"/>
          </w:tcPr>
          <w:p w:rsidR="005171F5" w:rsidRPr="00FE68B7" w:rsidRDefault="005171F5" w:rsidP="004D2BFF">
            <w:pPr>
              <w:jc w:val="center"/>
              <w:rPr>
                <w:rFonts w:eastAsia="Calibri"/>
                <w:b/>
                <w:sz w:val="22"/>
                <w:szCs w:val="22"/>
              </w:rPr>
            </w:pPr>
            <w:r w:rsidRPr="00FE68B7">
              <w:rPr>
                <w:rFonts w:eastAsia="Calibri"/>
                <w:b/>
                <w:sz w:val="22"/>
                <w:szCs w:val="22"/>
              </w:rPr>
              <w:t>Reported</w:t>
            </w:r>
          </w:p>
          <w:p w:rsidR="005171F5" w:rsidRPr="00FE68B7" w:rsidRDefault="005171F5" w:rsidP="004D2BFF">
            <w:pPr>
              <w:jc w:val="center"/>
              <w:rPr>
                <w:rFonts w:eastAsia="Calibri"/>
                <w:b/>
                <w:sz w:val="22"/>
                <w:szCs w:val="22"/>
              </w:rPr>
            </w:pPr>
            <w:r w:rsidRPr="00FE68B7">
              <w:rPr>
                <w:rFonts w:eastAsia="Calibri"/>
                <w:b/>
                <w:sz w:val="22"/>
                <w:szCs w:val="22"/>
              </w:rPr>
              <w:t>Sign</w:t>
            </w:r>
          </w:p>
        </w:tc>
        <w:tc>
          <w:tcPr>
            <w:tcW w:w="2230" w:type="dxa"/>
          </w:tcPr>
          <w:p w:rsidR="005171F5" w:rsidRPr="00FE68B7" w:rsidRDefault="005171F5" w:rsidP="004D2BFF">
            <w:pPr>
              <w:jc w:val="center"/>
              <w:rPr>
                <w:rFonts w:eastAsia="Calibri"/>
                <w:b/>
                <w:sz w:val="22"/>
                <w:szCs w:val="22"/>
              </w:rPr>
            </w:pPr>
            <w:r w:rsidRPr="00FE68B7">
              <w:rPr>
                <w:rFonts w:eastAsia="Calibri"/>
                <w:b/>
                <w:sz w:val="22"/>
                <w:szCs w:val="22"/>
              </w:rPr>
              <w:t>Significant(Sig)/Non Significant(Nsig)</w:t>
            </w:r>
          </w:p>
        </w:tc>
      </w:tr>
      <w:tr w:rsidR="005171F5" w:rsidRPr="008573C5" w:rsidTr="004D2BFF">
        <w:tc>
          <w:tcPr>
            <w:tcW w:w="1397"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1</w:t>
            </w:r>
          </w:p>
        </w:tc>
        <w:tc>
          <w:tcPr>
            <w:tcW w:w="1976"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Singhvi (1968)</w:t>
            </w:r>
          </w:p>
        </w:tc>
        <w:tc>
          <w:tcPr>
            <w:tcW w:w="1602" w:type="dxa"/>
          </w:tcPr>
          <w:p w:rsidR="005171F5" w:rsidRPr="00FE68B7" w:rsidRDefault="005171F5" w:rsidP="004D2BFF">
            <w:pPr>
              <w:rPr>
                <w:rFonts w:eastAsia="Calibri"/>
                <w:sz w:val="22"/>
                <w:szCs w:val="22"/>
              </w:rPr>
            </w:pPr>
            <w:r w:rsidRPr="00FE68B7">
              <w:rPr>
                <w:rFonts w:eastAsia="Calibri"/>
                <w:sz w:val="22"/>
                <w:szCs w:val="22"/>
              </w:rPr>
              <w:t>Rate of return</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8573C5" w:rsidTr="004D2BFF">
        <w:trPr>
          <w:trHeight w:val="422"/>
        </w:trPr>
        <w:tc>
          <w:tcPr>
            <w:tcW w:w="1397" w:type="dxa"/>
            <w:vMerge w:val="restart"/>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2</w:t>
            </w:r>
          </w:p>
        </w:tc>
        <w:tc>
          <w:tcPr>
            <w:tcW w:w="1976" w:type="dxa"/>
            <w:vMerge w:val="restart"/>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Singhvi and Desai(1971)</w:t>
            </w:r>
          </w:p>
        </w:tc>
        <w:tc>
          <w:tcPr>
            <w:tcW w:w="1602" w:type="dxa"/>
          </w:tcPr>
          <w:p w:rsidR="005171F5" w:rsidRPr="00FE68B7" w:rsidRDefault="005171F5" w:rsidP="004D2BFF">
            <w:pPr>
              <w:rPr>
                <w:rFonts w:eastAsia="Calibri"/>
                <w:sz w:val="22"/>
                <w:szCs w:val="22"/>
              </w:rPr>
            </w:pPr>
            <w:r w:rsidRPr="00FE68B7">
              <w:rPr>
                <w:rFonts w:eastAsia="Calibri"/>
                <w:sz w:val="22"/>
                <w:szCs w:val="22"/>
              </w:rPr>
              <w:t>Rate of return</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8573C5" w:rsidTr="004D2BFF">
        <w:tc>
          <w:tcPr>
            <w:tcW w:w="1397" w:type="dxa"/>
            <w:vMerge/>
          </w:tcPr>
          <w:p w:rsidR="005171F5" w:rsidRPr="00FE68B7" w:rsidRDefault="005171F5" w:rsidP="004D2BFF">
            <w:pPr>
              <w:tabs>
                <w:tab w:val="left" w:pos="7320"/>
              </w:tabs>
              <w:spacing w:before="240"/>
              <w:rPr>
                <w:rFonts w:eastAsia="Calibri"/>
                <w:sz w:val="22"/>
                <w:szCs w:val="22"/>
              </w:rPr>
            </w:pPr>
          </w:p>
        </w:tc>
        <w:tc>
          <w:tcPr>
            <w:tcW w:w="1976" w:type="dxa"/>
            <w:vMerge/>
          </w:tcPr>
          <w:p w:rsidR="005171F5" w:rsidRPr="00FE68B7" w:rsidRDefault="005171F5" w:rsidP="004D2BFF">
            <w:pPr>
              <w:tabs>
                <w:tab w:val="left" w:pos="7320"/>
              </w:tabs>
              <w:spacing w:before="240"/>
              <w:rPr>
                <w:rFonts w:eastAsia="Calibri"/>
                <w:sz w:val="22"/>
                <w:szCs w:val="22"/>
              </w:rPr>
            </w:pPr>
          </w:p>
        </w:tc>
        <w:tc>
          <w:tcPr>
            <w:tcW w:w="1602" w:type="dxa"/>
          </w:tcPr>
          <w:p w:rsidR="005171F5" w:rsidRPr="00FE68B7" w:rsidRDefault="005171F5" w:rsidP="004D2BFF">
            <w:pPr>
              <w:rPr>
                <w:rFonts w:eastAsia="Calibri"/>
                <w:sz w:val="22"/>
                <w:szCs w:val="22"/>
              </w:rPr>
            </w:pPr>
            <w:r w:rsidRPr="00FE68B7">
              <w:rPr>
                <w:rFonts w:eastAsia="Calibri"/>
                <w:sz w:val="22"/>
                <w:szCs w:val="22"/>
              </w:rPr>
              <w:t>Earnings margin</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8573C5" w:rsidTr="004D2BFF">
        <w:tc>
          <w:tcPr>
            <w:tcW w:w="1397"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3</w:t>
            </w:r>
          </w:p>
        </w:tc>
        <w:tc>
          <w:tcPr>
            <w:tcW w:w="1976"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McNally et al (1982)</w:t>
            </w:r>
          </w:p>
        </w:tc>
        <w:tc>
          <w:tcPr>
            <w:tcW w:w="1602" w:type="dxa"/>
          </w:tcPr>
          <w:p w:rsidR="005171F5" w:rsidRPr="00FE68B7" w:rsidRDefault="005171F5" w:rsidP="004D2BFF">
            <w:pPr>
              <w:rPr>
                <w:rFonts w:eastAsia="Calibri"/>
                <w:sz w:val="22"/>
                <w:szCs w:val="22"/>
              </w:rPr>
            </w:pPr>
            <w:r w:rsidRPr="00FE68B7">
              <w:rPr>
                <w:rFonts w:eastAsia="Calibri"/>
                <w:sz w:val="22"/>
                <w:szCs w:val="22"/>
              </w:rPr>
              <w:t>Ratio of net income to total assets</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8573C5" w:rsidTr="004D2BFF">
        <w:tc>
          <w:tcPr>
            <w:tcW w:w="1397"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4</w:t>
            </w:r>
          </w:p>
        </w:tc>
        <w:tc>
          <w:tcPr>
            <w:tcW w:w="1976"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Malone et al(1993)</w:t>
            </w:r>
          </w:p>
        </w:tc>
        <w:tc>
          <w:tcPr>
            <w:tcW w:w="1602" w:type="dxa"/>
          </w:tcPr>
          <w:p w:rsidR="005171F5" w:rsidRPr="00FE68B7" w:rsidRDefault="005171F5" w:rsidP="004D2BFF">
            <w:pPr>
              <w:rPr>
                <w:rFonts w:eastAsia="Calibri"/>
                <w:sz w:val="22"/>
                <w:szCs w:val="22"/>
              </w:rPr>
            </w:pPr>
            <w:r w:rsidRPr="00FE68B7">
              <w:rPr>
                <w:rFonts w:eastAsia="Calibri"/>
                <w:sz w:val="22"/>
                <w:szCs w:val="22"/>
              </w:rPr>
              <w:t>Net income to net sales</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8573C5" w:rsidTr="004D2BFF">
        <w:tc>
          <w:tcPr>
            <w:tcW w:w="1397"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5</w:t>
            </w:r>
          </w:p>
        </w:tc>
        <w:tc>
          <w:tcPr>
            <w:tcW w:w="1976"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Wallace et al(1994)</w:t>
            </w:r>
          </w:p>
        </w:tc>
        <w:tc>
          <w:tcPr>
            <w:tcW w:w="1602" w:type="dxa"/>
          </w:tcPr>
          <w:p w:rsidR="005171F5" w:rsidRPr="00FE68B7" w:rsidRDefault="005171F5" w:rsidP="004D2BFF">
            <w:pPr>
              <w:rPr>
                <w:rFonts w:eastAsia="Calibri"/>
                <w:sz w:val="22"/>
                <w:szCs w:val="22"/>
              </w:rPr>
            </w:pPr>
            <w:r w:rsidRPr="00FE68B7">
              <w:rPr>
                <w:rFonts w:eastAsia="Calibri"/>
                <w:sz w:val="22"/>
                <w:szCs w:val="22"/>
              </w:rPr>
              <w:t>Earning to sales</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8573C5" w:rsidTr="004D2BFF">
        <w:tc>
          <w:tcPr>
            <w:tcW w:w="1397"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6</w:t>
            </w:r>
          </w:p>
        </w:tc>
        <w:tc>
          <w:tcPr>
            <w:tcW w:w="1976" w:type="dxa"/>
          </w:tcPr>
          <w:p w:rsidR="005171F5" w:rsidRPr="00FE68B7" w:rsidRDefault="005171F5" w:rsidP="004D2BFF">
            <w:pPr>
              <w:tabs>
                <w:tab w:val="left" w:pos="7320"/>
              </w:tabs>
              <w:spacing w:before="240"/>
              <w:jc w:val="center"/>
              <w:rPr>
                <w:rFonts w:eastAsia="Calibri"/>
                <w:sz w:val="22"/>
                <w:szCs w:val="22"/>
              </w:rPr>
            </w:pPr>
            <w:r w:rsidRPr="00FE68B7">
              <w:rPr>
                <w:rFonts w:eastAsia="Calibri"/>
                <w:sz w:val="22"/>
                <w:szCs w:val="22"/>
              </w:rPr>
              <w:t>Meek et al (1995)</w:t>
            </w:r>
          </w:p>
        </w:tc>
        <w:tc>
          <w:tcPr>
            <w:tcW w:w="1602" w:type="dxa"/>
          </w:tcPr>
          <w:p w:rsidR="005171F5" w:rsidRPr="00FE68B7" w:rsidRDefault="005171F5" w:rsidP="004D2BFF">
            <w:pPr>
              <w:rPr>
                <w:rFonts w:eastAsia="Calibri"/>
                <w:sz w:val="22"/>
                <w:szCs w:val="22"/>
              </w:rPr>
            </w:pPr>
            <w:r w:rsidRPr="00FE68B7">
              <w:rPr>
                <w:rFonts w:eastAsia="Calibri"/>
                <w:sz w:val="22"/>
                <w:szCs w:val="22"/>
              </w:rPr>
              <w:t>Return on Assets</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8573C5" w:rsidTr="004D2BFF">
        <w:tc>
          <w:tcPr>
            <w:tcW w:w="1397"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7</w:t>
            </w:r>
          </w:p>
        </w:tc>
        <w:tc>
          <w:tcPr>
            <w:tcW w:w="1976"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Raffournier(1995)</w:t>
            </w:r>
          </w:p>
        </w:tc>
        <w:tc>
          <w:tcPr>
            <w:tcW w:w="1602" w:type="dxa"/>
          </w:tcPr>
          <w:p w:rsidR="005171F5" w:rsidRPr="00FE68B7" w:rsidRDefault="005171F5" w:rsidP="004D2BFF">
            <w:pPr>
              <w:rPr>
                <w:rFonts w:eastAsia="Calibri"/>
                <w:sz w:val="22"/>
                <w:szCs w:val="22"/>
              </w:rPr>
            </w:pPr>
            <w:r w:rsidRPr="00FE68B7">
              <w:rPr>
                <w:rFonts w:eastAsia="Calibri"/>
                <w:sz w:val="22"/>
                <w:szCs w:val="22"/>
              </w:rPr>
              <w:t>Net income * 100/net worth</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Sig(moderate)</w:t>
            </w:r>
          </w:p>
        </w:tc>
      </w:tr>
      <w:tr w:rsidR="005171F5" w:rsidRPr="008573C5" w:rsidTr="004D2BFF">
        <w:tc>
          <w:tcPr>
            <w:tcW w:w="1397" w:type="dxa"/>
          </w:tcPr>
          <w:p w:rsidR="005171F5" w:rsidRPr="00FE68B7" w:rsidRDefault="00B36150" w:rsidP="004D2BFF">
            <w:pPr>
              <w:tabs>
                <w:tab w:val="left" w:pos="7320"/>
              </w:tabs>
              <w:spacing w:before="240"/>
              <w:rPr>
                <w:rFonts w:eastAsia="Calibri"/>
                <w:sz w:val="22"/>
                <w:szCs w:val="22"/>
              </w:rPr>
            </w:pPr>
            <w:r w:rsidRPr="00FE68B7">
              <w:rPr>
                <w:rFonts w:eastAsia="Calibri"/>
                <w:sz w:val="22"/>
                <w:szCs w:val="22"/>
              </w:rPr>
              <w:t>8</w:t>
            </w:r>
          </w:p>
        </w:tc>
        <w:tc>
          <w:tcPr>
            <w:tcW w:w="1976"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Wallace and Naser(1995)</w:t>
            </w:r>
          </w:p>
        </w:tc>
        <w:tc>
          <w:tcPr>
            <w:tcW w:w="1602" w:type="dxa"/>
          </w:tcPr>
          <w:p w:rsidR="005171F5" w:rsidRPr="00FE68B7" w:rsidRDefault="005171F5" w:rsidP="004D2BFF">
            <w:pPr>
              <w:rPr>
                <w:rFonts w:eastAsia="Calibri"/>
                <w:sz w:val="22"/>
                <w:szCs w:val="22"/>
              </w:rPr>
            </w:pPr>
            <w:r w:rsidRPr="00FE68B7">
              <w:rPr>
                <w:rFonts w:eastAsia="Calibri"/>
                <w:sz w:val="22"/>
                <w:szCs w:val="22"/>
              </w:rPr>
              <w:t>Profit margin</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8573C5" w:rsidTr="004D2BFF">
        <w:tc>
          <w:tcPr>
            <w:tcW w:w="1397" w:type="dxa"/>
            <w:vMerge w:val="restart"/>
          </w:tcPr>
          <w:p w:rsidR="005171F5" w:rsidRPr="00FE68B7" w:rsidRDefault="00B36150" w:rsidP="004D2BFF">
            <w:pPr>
              <w:tabs>
                <w:tab w:val="left" w:pos="7320"/>
              </w:tabs>
              <w:spacing w:before="240"/>
              <w:rPr>
                <w:rFonts w:eastAsia="Calibri"/>
                <w:sz w:val="22"/>
                <w:szCs w:val="22"/>
              </w:rPr>
            </w:pPr>
            <w:r w:rsidRPr="00FE68B7">
              <w:rPr>
                <w:rFonts w:eastAsia="Calibri"/>
                <w:sz w:val="22"/>
                <w:szCs w:val="22"/>
              </w:rPr>
              <w:t>9</w:t>
            </w:r>
          </w:p>
        </w:tc>
        <w:tc>
          <w:tcPr>
            <w:tcW w:w="1976" w:type="dxa"/>
            <w:vMerge w:val="restart"/>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Inchausti(1997)</w:t>
            </w:r>
          </w:p>
        </w:tc>
        <w:tc>
          <w:tcPr>
            <w:tcW w:w="1602" w:type="dxa"/>
          </w:tcPr>
          <w:p w:rsidR="005171F5" w:rsidRPr="00FE68B7" w:rsidRDefault="005171F5" w:rsidP="004D2BFF">
            <w:pPr>
              <w:rPr>
                <w:rFonts w:eastAsia="Calibri"/>
                <w:sz w:val="22"/>
                <w:szCs w:val="22"/>
              </w:rPr>
            </w:pPr>
            <w:r w:rsidRPr="00FE68B7">
              <w:rPr>
                <w:rFonts w:eastAsia="Calibri"/>
                <w:sz w:val="22"/>
                <w:szCs w:val="22"/>
              </w:rPr>
              <w:t>Operating profit/total assets</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8573C5" w:rsidTr="004D2BFF">
        <w:tc>
          <w:tcPr>
            <w:tcW w:w="1397" w:type="dxa"/>
            <w:vMerge/>
          </w:tcPr>
          <w:p w:rsidR="005171F5" w:rsidRPr="00FE68B7" w:rsidRDefault="005171F5" w:rsidP="004D2BFF">
            <w:pPr>
              <w:rPr>
                <w:rFonts w:eastAsia="Calibri"/>
                <w:sz w:val="22"/>
                <w:szCs w:val="22"/>
              </w:rPr>
            </w:pPr>
          </w:p>
        </w:tc>
        <w:tc>
          <w:tcPr>
            <w:tcW w:w="1976" w:type="dxa"/>
            <w:vMerge/>
          </w:tcPr>
          <w:p w:rsidR="005171F5" w:rsidRPr="00FE68B7" w:rsidRDefault="005171F5" w:rsidP="004D2BFF">
            <w:pPr>
              <w:rPr>
                <w:rFonts w:eastAsia="Calibri"/>
                <w:sz w:val="22"/>
                <w:szCs w:val="22"/>
              </w:rPr>
            </w:pPr>
          </w:p>
        </w:tc>
        <w:tc>
          <w:tcPr>
            <w:tcW w:w="1602" w:type="dxa"/>
          </w:tcPr>
          <w:p w:rsidR="005171F5" w:rsidRPr="00FE68B7" w:rsidRDefault="005171F5" w:rsidP="004D2BFF">
            <w:pPr>
              <w:rPr>
                <w:rFonts w:eastAsia="Calibri"/>
                <w:sz w:val="22"/>
                <w:szCs w:val="22"/>
              </w:rPr>
            </w:pPr>
            <w:r w:rsidRPr="00FE68B7">
              <w:rPr>
                <w:rFonts w:eastAsia="Calibri"/>
                <w:sz w:val="22"/>
                <w:szCs w:val="22"/>
              </w:rPr>
              <w:t>Net income/equity</w:t>
            </w:r>
          </w:p>
        </w:tc>
        <w:tc>
          <w:tcPr>
            <w:tcW w:w="1320" w:type="dxa"/>
          </w:tcPr>
          <w:p w:rsidR="005171F5" w:rsidRPr="00FE68B7" w:rsidRDefault="005171F5" w:rsidP="004D2BFF">
            <w:pPr>
              <w:jc w:val="center"/>
              <w:rPr>
                <w:rFonts w:eastAsia="Calibri"/>
                <w:sz w:val="22"/>
                <w:szCs w:val="22"/>
              </w:rPr>
            </w:pP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Not tested</w:t>
            </w:r>
          </w:p>
        </w:tc>
      </w:tr>
      <w:tr w:rsidR="005171F5" w:rsidRPr="008573C5" w:rsidTr="004D2BFF">
        <w:tc>
          <w:tcPr>
            <w:tcW w:w="1397" w:type="dxa"/>
          </w:tcPr>
          <w:p w:rsidR="005171F5" w:rsidRPr="00FE68B7" w:rsidRDefault="00B36150" w:rsidP="004D2BFF">
            <w:pPr>
              <w:rPr>
                <w:rFonts w:eastAsia="Calibri"/>
                <w:sz w:val="22"/>
                <w:szCs w:val="22"/>
              </w:rPr>
            </w:pPr>
            <w:r w:rsidRPr="00FE68B7">
              <w:rPr>
                <w:rFonts w:eastAsia="Calibri"/>
                <w:sz w:val="22"/>
                <w:szCs w:val="22"/>
              </w:rPr>
              <w:t>10</w:t>
            </w:r>
          </w:p>
        </w:tc>
        <w:tc>
          <w:tcPr>
            <w:tcW w:w="1976" w:type="dxa"/>
          </w:tcPr>
          <w:p w:rsidR="005171F5" w:rsidRPr="00FE68B7" w:rsidRDefault="005171F5" w:rsidP="004D2BFF">
            <w:pPr>
              <w:rPr>
                <w:rFonts w:eastAsia="Calibri"/>
                <w:sz w:val="22"/>
                <w:szCs w:val="22"/>
              </w:rPr>
            </w:pPr>
            <w:r w:rsidRPr="00FE68B7">
              <w:rPr>
                <w:rFonts w:eastAsia="Calibri"/>
                <w:sz w:val="22"/>
                <w:szCs w:val="22"/>
              </w:rPr>
              <w:t>Owusu-Ansah (1998)</w:t>
            </w:r>
          </w:p>
        </w:tc>
        <w:tc>
          <w:tcPr>
            <w:tcW w:w="1602" w:type="dxa"/>
          </w:tcPr>
          <w:p w:rsidR="005171F5" w:rsidRPr="00FE68B7" w:rsidRDefault="005171F5" w:rsidP="004D2BFF">
            <w:pPr>
              <w:rPr>
                <w:rFonts w:eastAsia="Calibri"/>
                <w:sz w:val="22"/>
                <w:szCs w:val="22"/>
              </w:rPr>
            </w:pPr>
            <w:r w:rsidRPr="00FE68B7">
              <w:rPr>
                <w:rFonts w:eastAsia="Calibri"/>
                <w:sz w:val="22"/>
                <w:szCs w:val="22"/>
              </w:rPr>
              <w:t>Returns on capital employed</w:t>
            </w:r>
          </w:p>
        </w:tc>
        <w:tc>
          <w:tcPr>
            <w:tcW w:w="1320" w:type="dxa"/>
          </w:tcPr>
          <w:p w:rsidR="005171F5" w:rsidRPr="00FE68B7" w:rsidRDefault="005171F5" w:rsidP="004D2BFF">
            <w:pPr>
              <w:jc w:val="center"/>
              <w:rPr>
                <w:rFonts w:eastAsia="Calibri"/>
                <w:sz w:val="22"/>
                <w:szCs w:val="22"/>
                <w:vertAlign w:val="subscript"/>
              </w:rPr>
            </w:pPr>
            <w:r w:rsidRPr="00FE68B7">
              <w:rPr>
                <w:rFonts w:eastAsia="Calibri"/>
                <w:sz w:val="22"/>
                <w:szCs w:val="22"/>
                <w:vertAlign w:val="subscript"/>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8573C5" w:rsidTr="004D2BFF">
        <w:tc>
          <w:tcPr>
            <w:tcW w:w="1397" w:type="dxa"/>
          </w:tcPr>
          <w:p w:rsidR="005171F5" w:rsidRPr="00FE68B7" w:rsidRDefault="005171F5" w:rsidP="004D2BFF">
            <w:pPr>
              <w:rPr>
                <w:rFonts w:eastAsia="Calibri"/>
                <w:sz w:val="22"/>
                <w:szCs w:val="22"/>
              </w:rPr>
            </w:pPr>
            <w:r w:rsidRPr="00FE68B7">
              <w:rPr>
                <w:rFonts w:eastAsia="Calibri"/>
                <w:sz w:val="22"/>
                <w:szCs w:val="22"/>
              </w:rPr>
              <w:t>1</w:t>
            </w:r>
            <w:r w:rsidR="00B36150" w:rsidRPr="00FE68B7">
              <w:rPr>
                <w:rFonts w:eastAsia="Calibri"/>
                <w:sz w:val="22"/>
                <w:szCs w:val="22"/>
              </w:rPr>
              <w:t>1</w:t>
            </w:r>
          </w:p>
        </w:tc>
        <w:tc>
          <w:tcPr>
            <w:tcW w:w="1976" w:type="dxa"/>
          </w:tcPr>
          <w:p w:rsidR="005171F5" w:rsidRPr="00FE68B7" w:rsidRDefault="005171F5" w:rsidP="004D2BFF">
            <w:pPr>
              <w:rPr>
                <w:rFonts w:eastAsia="Calibri"/>
                <w:sz w:val="22"/>
                <w:szCs w:val="22"/>
              </w:rPr>
            </w:pPr>
            <w:r w:rsidRPr="00FE68B7">
              <w:rPr>
                <w:rFonts w:eastAsia="Calibri"/>
                <w:sz w:val="22"/>
                <w:szCs w:val="22"/>
              </w:rPr>
              <w:t>Tower et al (1999)</w:t>
            </w:r>
          </w:p>
        </w:tc>
        <w:tc>
          <w:tcPr>
            <w:tcW w:w="1602" w:type="dxa"/>
          </w:tcPr>
          <w:p w:rsidR="005171F5" w:rsidRPr="00FE68B7" w:rsidRDefault="005171F5" w:rsidP="004D2BFF">
            <w:pPr>
              <w:rPr>
                <w:rFonts w:eastAsia="Calibri"/>
                <w:sz w:val="22"/>
                <w:szCs w:val="22"/>
              </w:rPr>
            </w:pPr>
            <w:r w:rsidRPr="00FE68B7">
              <w:rPr>
                <w:rFonts w:eastAsia="Calibri"/>
                <w:sz w:val="22"/>
                <w:szCs w:val="22"/>
              </w:rPr>
              <w:t>Ratio of Profit/Total Assets</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8573C5" w:rsidTr="004D2BFF">
        <w:tc>
          <w:tcPr>
            <w:tcW w:w="1397" w:type="dxa"/>
          </w:tcPr>
          <w:p w:rsidR="005171F5" w:rsidRPr="00FE68B7" w:rsidRDefault="005171F5" w:rsidP="004D2BFF">
            <w:pPr>
              <w:rPr>
                <w:rFonts w:eastAsia="Calibri"/>
                <w:sz w:val="22"/>
                <w:szCs w:val="22"/>
              </w:rPr>
            </w:pPr>
            <w:r w:rsidRPr="00FE68B7">
              <w:rPr>
                <w:rFonts w:eastAsia="Calibri"/>
                <w:sz w:val="22"/>
                <w:szCs w:val="22"/>
              </w:rPr>
              <w:t>1</w:t>
            </w:r>
            <w:r w:rsidR="00B36150" w:rsidRPr="00FE68B7">
              <w:rPr>
                <w:rFonts w:eastAsia="Calibri"/>
                <w:sz w:val="22"/>
                <w:szCs w:val="22"/>
              </w:rPr>
              <w:t>2</w:t>
            </w:r>
          </w:p>
        </w:tc>
        <w:tc>
          <w:tcPr>
            <w:tcW w:w="1976" w:type="dxa"/>
          </w:tcPr>
          <w:p w:rsidR="005171F5" w:rsidRPr="00FE68B7" w:rsidRDefault="005171F5" w:rsidP="004D2BFF">
            <w:pPr>
              <w:rPr>
                <w:rFonts w:eastAsia="Calibri"/>
                <w:sz w:val="22"/>
                <w:szCs w:val="22"/>
              </w:rPr>
            </w:pPr>
            <w:r w:rsidRPr="00FE68B7">
              <w:rPr>
                <w:rFonts w:eastAsia="Calibri"/>
                <w:sz w:val="22"/>
                <w:szCs w:val="22"/>
              </w:rPr>
              <w:t>Haniffa and Cooke (2002)</w:t>
            </w:r>
          </w:p>
        </w:tc>
        <w:tc>
          <w:tcPr>
            <w:tcW w:w="1602" w:type="dxa"/>
          </w:tcPr>
          <w:p w:rsidR="005171F5" w:rsidRPr="00FE68B7" w:rsidRDefault="005171F5" w:rsidP="004D2BFF">
            <w:pPr>
              <w:jc w:val="both"/>
              <w:rPr>
                <w:rFonts w:eastAsia="Calibri"/>
                <w:sz w:val="22"/>
                <w:szCs w:val="22"/>
              </w:rPr>
            </w:pPr>
            <w:r w:rsidRPr="00FE68B7">
              <w:rPr>
                <w:rFonts w:eastAsia="Calibri"/>
                <w:sz w:val="22"/>
                <w:szCs w:val="22"/>
              </w:rPr>
              <w:t>Return on Equity i.e net income to total owners equity</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 xml:space="preserve">Sig </w:t>
            </w:r>
          </w:p>
        </w:tc>
      </w:tr>
      <w:tr w:rsidR="005171F5" w:rsidRPr="008573C5" w:rsidTr="004D2BFF">
        <w:tc>
          <w:tcPr>
            <w:tcW w:w="1397" w:type="dxa"/>
            <w:vMerge w:val="restart"/>
          </w:tcPr>
          <w:p w:rsidR="005171F5" w:rsidRPr="00FE68B7" w:rsidRDefault="005171F5" w:rsidP="004D2BFF">
            <w:pPr>
              <w:rPr>
                <w:rFonts w:eastAsia="Calibri"/>
                <w:sz w:val="22"/>
                <w:szCs w:val="22"/>
              </w:rPr>
            </w:pPr>
            <w:r w:rsidRPr="00FE68B7">
              <w:rPr>
                <w:rFonts w:eastAsia="Calibri"/>
                <w:sz w:val="22"/>
                <w:szCs w:val="22"/>
              </w:rPr>
              <w:t>1</w:t>
            </w:r>
            <w:r w:rsidR="00B36150" w:rsidRPr="00FE68B7">
              <w:rPr>
                <w:rFonts w:eastAsia="Calibri"/>
                <w:sz w:val="22"/>
                <w:szCs w:val="22"/>
              </w:rPr>
              <w:t>3</w:t>
            </w:r>
          </w:p>
        </w:tc>
        <w:tc>
          <w:tcPr>
            <w:tcW w:w="1976" w:type="dxa"/>
            <w:vMerge w:val="restart"/>
          </w:tcPr>
          <w:p w:rsidR="005171F5" w:rsidRPr="00FE68B7" w:rsidRDefault="005171F5" w:rsidP="004D2BFF">
            <w:pPr>
              <w:rPr>
                <w:rFonts w:eastAsia="Calibri"/>
                <w:sz w:val="22"/>
                <w:szCs w:val="22"/>
              </w:rPr>
            </w:pPr>
            <w:r w:rsidRPr="00FE68B7">
              <w:rPr>
                <w:rFonts w:eastAsia="Calibri"/>
                <w:sz w:val="22"/>
                <w:szCs w:val="22"/>
              </w:rPr>
              <w:t>Naser et al(2002)</w:t>
            </w:r>
          </w:p>
        </w:tc>
        <w:tc>
          <w:tcPr>
            <w:tcW w:w="1602" w:type="dxa"/>
          </w:tcPr>
          <w:p w:rsidR="005171F5" w:rsidRPr="00FE68B7" w:rsidRDefault="005171F5" w:rsidP="004D2BFF">
            <w:pPr>
              <w:rPr>
                <w:rFonts w:eastAsia="Calibri"/>
                <w:sz w:val="22"/>
                <w:szCs w:val="22"/>
              </w:rPr>
            </w:pPr>
            <w:r w:rsidRPr="00FE68B7">
              <w:rPr>
                <w:rFonts w:eastAsia="Calibri"/>
                <w:sz w:val="22"/>
                <w:szCs w:val="22"/>
              </w:rPr>
              <w:t>Return on Equity</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8573C5" w:rsidTr="004D2BFF">
        <w:tc>
          <w:tcPr>
            <w:tcW w:w="1397" w:type="dxa"/>
            <w:vMerge/>
          </w:tcPr>
          <w:p w:rsidR="005171F5" w:rsidRPr="00FE68B7" w:rsidRDefault="005171F5" w:rsidP="004D2BFF">
            <w:pPr>
              <w:rPr>
                <w:rFonts w:eastAsia="Calibri"/>
                <w:sz w:val="22"/>
                <w:szCs w:val="22"/>
              </w:rPr>
            </w:pPr>
          </w:p>
        </w:tc>
        <w:tc>
          <w:tcPr>
            <w:tcW w:w="1976" w:type="dxa"/>
            <w:vMerge/>
          </w:tcPr>
          <w:p w:rsidR="005171F5" w:rsidRPr="00FE68B7" w:rsidRDefault="005171F5" w:rsidP="004D2BFF">
            <w:pPr>
              <w:rPr>
                <w:rFonts w:eastAsia="Calibri"/>
                <w:sz w:val="22"/>
                <w:szCs w:val="22"/>
              </w:rPr>
            </w:pPr>
          </w:p>
        </w:tc>
        <w:tc>
          <w:tcPr>
            <w:tcW w:w="1602" w:type="dxa"/>
          </w:tcPr>
          <w:p w:rsidR="005171F5" w:rsidRPr="00FE68B7" w:rsidRDefault="005171F5" w:rsidP="004D2BFF">
            <w:pPr>
              <w:rPr>
                <w:rFonts w:eastAsia="Calibri"/>
                <w:sz w:val="22"/>
                <w:szCs w:val="22"/>
              </w:rPr>
            </w:pPr>
            <w:r w:rsidRPr="00FE68B7">
              <w:rPr>
                <w:rFonts w:eastAsia="Calibri"/>
                <w:sz w:val="22"/>
                <w:szCs w:val="22"/>
              </w:rPr>
              <w:t>Profit margin</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8573C5" w:rsidTr="004D2BFF">
        <w:tc>
          <w:tcPr>
            <w:tcW w:w="1397" w:type="dxa"/>
            <w:vMerge w:val="restart"/>
          </w:tcPr>
          <w:p w:rsidR="005171F5" w:rsidRPr="00FE68B7" w:rsidRDefault="00B36150" w:rsidP="004D2BFF">
            <w:pPr>
              <w:rPr>
                <w:rFonts w:eastAsia="Calibri"/>
                <w:sz w:val="22"/>
                <w:szCs w:val="22"/>
              </w:rPr>
            </w:pPr>
            <w:r w:rsidRPr="00FE68B7">
              <w:rPr>
                <w:rFonts w:eastAsia="Calibri"/>
                <w:sz w:val="22"/>
                <w:szCs w:val="22"/>
              </w:rPr>
              <w:t>14</w:t>
            </w:r>
          </w:p>
          <w:p w:rsidR="005171F5" w:rsidRPr="00FE68B7" w:rsidRDefault="005171F5" w:rsidP="004D2BFF">
            <w:pPr>
              <w:rPr>
                <w:rFonts w:eastAsia="Calibri"/>
                <w:sz w:val="22"/>
                <w:szCs w:val="22"/>
              </w:rPr>
            </w:pPr>
          </w:p>
          <w:p w:rsidR="005171F5" w:rsidRPr="00FE68B7" w:rsidRDefault="005171F5" w:rsidP="004D2BFF">
            <w:pPr>
              <w:rPr>
                <w:rFonts w:eastAsia="Calibri"/>
                <w:sz w:val="22"/>
                <w:szCs w:val="22"/>
              </w:rPr>
            </w:pPr>
          </w:p>
        </w:tc>
        <w:tc>
          <w:tcPr>
            <w:tcW w:w="1976" w:type="dxa"/>
            <w:vMerge w:val="restart"/>
          </w:tcPr>
          <w:p w:rsidR="005171F5" w:rsidRPr="00FE68B7" w:rsidRDefault="005171F5" w:rsidP="004D2BFF">
            <w:pPr>
              <w:rPr>
                <w:rFonts w:eastAsia="Calibri"/>
                <w:sz w:val="22"/>
                <w:szCs w:val="22"/>
              </w:rPr>
            </w:pPr>
          </w:p>
          <w:p w:rsidR="005171F5" w:rsidRPr="00FE68B7" w:rsidRDefault="005171F5" w:rsidP="004D2BFF">
            <w:pPr>
              <w:rPr>
                <w:rFonts w:eastAsia="Calibri"/>
                <w:sz w:val="22"/>
                <w:szCs w:val="22"/>
              </w:rPr>
            </w:pPr>
          </w:p>
          <w:p w:rsidR="005171F5" w:rsidRPr="00FE68B7" w:rsidRDefault="005171F5" w:rsidP="004D2BFF">
            <w:pPr>
              <w:rPr>
                <w:rFonts w:eastAsia="Calibri"/>
                <w:sz w:val="22"/>
                <w:szCs w:val="22"/>
              </w:rPr>
            </w:pPr>
            <w:r w:rsidRPr="00FE68B7">
              <w:rPr>
                <w:rFonts w:eastAsia="Calibri"/>
                <w:sz w:val="22"/>
                <w:szCs w:val="22"/>
              </w:rPr>
              <w:t>Camfferman and Cooke(2002)</w:t>
            </w:r>
          </w:p>
        </w:tc>
        <w:tc>
          <w:tcPr>
            <w:tcW w:w="1602" w:type="dxa"/>
          </w:tcPr>
          <w:p w:rsidR="005171F5" w:rsidRPr="00FE68B7" w:rsidRDefault="005171F5" w:rsidP="004D2BFF">
            <w:pPr>
              <w:rPr>
                <w:rFonts w:eastAsia="Calibri"/>
                <w:sz w:val="22"/>
                <w:szCs w:val="22"/>
              </w:rPr>
            </w:pPr>
          </w:p>
          <w:p w:rsidR="005171F5" w:rsidRPr="00FE68B7" w:rsidRDefault="005171F5" w:rsidP="004D2BFF">
            <w:pPr>
              <w:rPr>
                <w:rFonts w:eastAsia="Calibri"/>
                <w:sz w:val="22"/>
                <w:szCs w:val="22"/>
              </w:rPr>
            </w:pPr>
          </w:p>
          <w:p w:rsidR="005171F5" w:rsidRPr="00FE68B7" w:rsidRDefault="005171F5" w:rsidP="004D2BFF">
            <w:pPr>
              <w:rPr>
                <w:rFonts w:eastAsia="Calibri"/>
                <w:sz w:val="22"/>
                <w:szCs w:val="22"/>
              </w:rPr>
            </w:pPr>
            <w:r w:rsidRPr="00FE68B7">
              <w:rPr>
                <w:rFonts w:eastAsia="Calibri"/>
                <w:sz w:val="22"/>
                <w:szCs w:val="22"/>
              </w:rPr>
              <w:t>Net Income margin</w:t>
            </w:r>
          </w:p>
        </w:tc>
        <w:tc>
          <w:tcPr>
            <w:tcW w:w="1320" w:type="dxa"/>
          </w:tcPr>
          <w:p w:rsidR="005171F5" w:rsidRPr="00FE68B7" w:rsidRDefault="005171F5" w:rsidP="004D2BFF">
            <w:pPr>
              <w:jc w:val="center"/>
              <w:rPr>
                <w:rFonts w:eastAsia="Calibri"/>
                <w:sz w:val="22"/>
                <w:szCs w:val="22"/>
              </w:rPr>
            </w:pPr>
          </w:p>
          <w:p w:rsidR="005171F5" w:rsidRPr="00FE68B7" w:rsidRDefault="005171F5" w:rsidP="004D2BFF">
            <w:pPr>
              <w:jc w:val="center"/>
              <w:rPr>
                <w:rFonts w:eastAsia="Calibri"/>
                <w:sz w:val="22"/>
                <w:szCs w:val="22"/>
              </w:rPr>
            </w:pPr>
          </w:p>
          <w:p w:rsidR="005171F5" w:rsidRPr="00FE68B7" w:rsidRDefault="005171F5" w:rsidP="004D2BFF">
            <w:pPr>
              <w:jc w:val="center"/>
              <w:rPr>
                <w:rFonts w:eastAsia="Calibri"/>
                <w:sz w:val="22"/>
                <w:szCs w:val="22"/>
              </w:rPr>
            </w:pPr>
            <w:r w:rsidRPr="00FE68B7">
              <w:rPr>
                <w:rFonts w:eastAsia="Calibri"/>
                <w:sz w:val="22"/>
                <w:szCs w:val="22"/>
              </w:rPr>
              <w:t>+ for 1 st category and – for 2</w:t>
            </w:r>
            <w:r w:rsidRPr="00FE68B7">
              <w:rPr>
                <w:rFonts w:eastAsia="Calibri"/>
                <w:sz w:val="22"/>
                <w:szCs w:val="22"/>
                <w:vertAlign w:val="superscript"/>
              </w:rPr>
              <w:t>nd</w:t>
            </w:r>
            <w:r w:rsidRPr="00FE68B7">
              <w:rPr>
                <w:rFonts w:eastAsia="Calibri"/>
                <w:sz w:val="22"/>
                <w:szCs w:val="22"/>
              </w:rPr>
              <w:t xml:space="preserve"> category</w:t>
            </w:r>
          </w:p>
        </w:tc>
        <w:tc>
          <w:tcPr>
            <w:tcW w:w="2230" w:type="dxa"/>
          </w:tcPr>
          <w:p w:rsidR="005171F5" w:rsidRPr="00FE68B7" w:rsidRDefault="005171F5" w:rsidP="004D2BFF">
            <w:pPr>
              <w:jc w:val="center"/>
              <w:rPr>
                <w:rFonts w:eastAsia="Calibri"/>
                <w:sz w:val="22"/>
                <w:szCs w:val="22"/>
              </w:rPr>
            </w:pPr>
          </w:p>
          <w:p w:rsidR="005171F5" w:rsidRPr="00FE68B7" w:rsidRDefault="005171F5" w:rsidP="004D2BFF">
            <w:pPr>
              <w:jc w:val="center"/>
              <w:rPr>
                <w:rFonts w:eastAsia="Calibri"/>
                <w:sz w:val="22"/>
                <w:szCs w:val="22"/>
              </w:rPr>
            </w:pPr>
          </w:p>
          <w:p w:rsidR="005171F5" w:rsidRPr="00FE68B7" w:rsidRDefault="005171F5" w:rsidP="004D2BFF">
            <w:pPr>
              <w:jc w:val="center"/>
              <w:rPr>
                <w:rFonts w:eastAsia="Calibri"/>
                <w:sz w:val="22"/>
                <w:szCs w:val="22"/>
              </w:rPr>
            </w:pPr>
            <w:r w:rsidRPr="00FE68B7">
              <w:rPr>
                <w:rFonts w:eastAsia="Calibri"/>
                <w:sz w:val="22"/>
                <w:szCs w:val="22"/>
              </w:rPr>
              <w:t>Sig for 1 category and Nsig for 1 category</w:t>
            </w:r>
          </w:p>
        </w:tc>
      </w:tr>
      <w:tr w:rsidR="005171F5" w:rsidRPr="008573C5" w:rsidTr="004D2BFF">
        <w:tc>
          <w:tcPr>
            <w:tcW w:w="1397" w:type="dxa"/>
            <w:vMerge/>
          </w:tcPr>
          <w:p w:rsidR="005171F5" w:rsidRPr="00FE68B7" w:rsidRDefault="005171F5" w:rsidP="004D2BFF">
            <w:pPr>
              <w:rPr>
                <w:rFonts w:eastAsia="Calibri"/>
                <w:sz w:val="22"/>
                <w:szCs w:val="22"/>
              </w:rPr>
            </w:pPr>
          </w:p>
        </w:tc>
        <w:tc>
          <w:tcPr>
            <w:tcW w:w="1976" w:type="dxa"/>
            <w:vMerge/>
          </w:tcPr>
          <w:p w:rsidR="005171F5" w:rsidRPr="00FE68B7" w:rsidRDefault="005171F5" w:rsidP="004D2BFF">
            <w:pPr>
              <w:rPr>
                <w:rFonts w:eastAsia="Calibri"/>
                <w:sz w:val="22"/>
                <w:szCs w:val="22"/>
              </w:rPr>
            </w:pPr>
          </w:p>
        </w:tc>
        <w:tc>
          <w:tcPr>
            <w:tcW w:w="1602" w:type="dxa"/>
          </w:tcPr>
          <w:p w:rsidR="005171F5" w:rsidRPr="00FE68B7" w:rsidRDefault="005171F5" w:rsidP="004D2BFF">
            <w:pPr>
              <w:rPr>
                <w:rFonts w:eastAsia="Calibri"/>
                <w:sz w:val="22"/>
                <w:szCs w:val="22"/>
              </w:rPr>
            </w:pPr>
            <w:r w:rsidRPr="00FE68B7">
              <w:rPr>
                <w:rFonts w:eastAsia="Calibri"/>
                <w:sz w:val="22"/>
                <w:szCs w:val="22"/>
              </w:rPr>
              <w:t>Return on equity</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8573C5" w:rsidTr="004D2BFF">
        <w:tc>
          <w:tcPr>
            <w:tcW w:w="1397" w:type="dxa"/>
          </w:tcPr>
          <w:p w:rsidR="005171F5" w:rsidRPr="00FE68B7" w:rsidRDefault="005171F5" w:rsidP="00B36150">
            <w:pPr>
              <w:rPr>
                <w:rFonts w:eastAsia="Calibri"/>
                <w:sz w:val="22"/>
                <w:szCs w:val="22"/>
              </w:rPr>
            </w:pPr>
            <w:r w:rsidRPr="00FE68B7">
              <w:rPr>
                <w:rFonts w:eastAsia="Calibri"/>
                <w:sz w:val="22"/>
                <w:szCs w:val="22"/>
              </w:rPr>
              <w:t>1</w:t>
            </w:r>
            <w:r w:rsidR="00B36150" w:rsidRPr="00FE68B7">
              <w:rPr>
                <w:rFonts w:eastAsia="Calibri"/>
                <w:sz w:val="22"/>
                <w:szCs w:val="22"/>
              </w:rPr>
              <w:t>5</w:t>
            </w:r>
          </w:p>
        </w:tc>
        <w:tc>
          <w:tcPr>
            <w:tcW w:w="1976" w:type="dxa"/>
          </w:tcPr>
          <w:p w:rsidR="005171F5" w:rsidRPr="00FE68B7" w:rsidRDefault="005171F5" w:rsidP="004D2BFF">
            <w:pPr>
              <w:rPr>
                <w:rFonts w:eastAsia="Calibri"/>
                <w:sz w:val="22"/>
                <w:szCs w:val="22"/>
              </w:rPr>
            </w:pPr>
            <w:r w:rsidRPr="00FE68B7">
              <w:rPr>
                <w:rFonts w:eastAsia="Calibri"/>
                <w:sz w:val="22"/>
                <w:szCs w:val="22"/>
              </w:rPr>
              <w:t>Chow and Gray(2002)</w:t>
            </w:r>
          </w:p>
        </w:tc>
        <w:tc>
          <w:tcPr>
            <w:tcW w:w="1602" w:type="dxa"/>
          </w:tcPr>
          <w:p w:rsidR="005171F5" w:rsidRPr="00FE68B7" w:rsidRDefault="005171F5" w:rsidP="004D2BFF">
            <w:pPr>
              <w:rPr>
                <w:rFonts w:eastAsia="Calibri"/>
                <w:sz w:val="22"/>
                <w:szCs w:val="22"/>
              </w:rPr>
            </w:pP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8573C5" w:rsidTr="004D2BFF">
        <w:tc>
          <w:tcPr>
            <w:tcW w:w="1397" w:type="dxa"/>
          </w:tcPr>
          <w:p w:rsidR="005171F5" w:rsidRPr="00FE68B7" w:rsidRDefault="005171F5" w:rsidP="004D2BFF">
            <w:pPr>
              <w:rPr>
                <w:rFonts w:eastAsia="Calibri"/>
                <w:sz w:val="22"/>
                <w:szCs w:val="22"/>
              </w:rPr>
            </w:pPr>
            <w:r w:rsidRPr="00FE68B7">
              <w:rPr>
                <w:rFonts w:eastAsia="Calibri"/>
                <w:sz w:val="22"/>
                <w:szCs w:val="22"/>
              </w:rPr>
              <w:t>1</w:t>
            </w:r>
            <w:r w:rsidR="00B36150" w:rsidRPr="00FE68B7">
              <w:rPr>
                <w:rFonts w:eastAsia="Calibri"/>
                <w:sz w:val="22"/>
                <w:szCs w:val="22"/>
              </w:rPr>
              <w:t>6</w:t>
            </w:r>
          </w:p>
        </w:tc>
        <w:tc>
          <w:tcPr>
            <w:tcW w:w="1976" w:type="dxa"/>
          </w:tcPr>
          <w:p w:rsidR="005171F5" w:rsidRPr="00FE68B7" w:rsidRDefault="005171F5" w:rsidP="004D2BFF">
            <w:pPr>
              <w:rPr>
                <w:rFonts w:eastAsia="Calibri"/>
                <w:sz w:val="22"/>
                <w:szCs w:val="22"/>
              </w:rPr>
            </w:pPr>
            <w:r w:rsidRPr="00FE68B7">
              <w:rPr>
                <w:rFonts w:eastAsia="Calibri"/>
                <w:sz w:val="22"/>
                <w:szCs w:val="22"/>
              </w:rPr>
              <w:t>Glaum and Street(2003)</w:t>
            </w:r>
          </w:p>
        </w:tc>
        <w:tc>
          <w:tcPr>
            <w:tcW w:w="1602" w:type="dxa"/>
          </w:tcPr>
          <w:p w:rsidR="005171F5" w:rsidRPr="00FE68B7" w:rsidRDefault="005171F5" w:rsidP="004D2BFF">
            <w:pPr>
              <w:rPr>
                <w:rFonts w:eastAsia="Calibri"/>
                <w:sz w:val="22"/>
                <w:szCs w:val="22"/>
              </w:rPr>
            </w:pPr>
            <w:r w:rsidRPr="00FE68B7">
              <w:rPr>
                <w:rFonts w:eastAsia="Calibri"/>
                <w:sz w:val="22"/>
                <w:szCs w:val="22"/>
              </w:rPr>
              <w:t>Net income before tax to shareholders’ equity</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8573C5" w:rsidTr="004D2BFF">
        <w:tc>
          <w:tcPr>
            <w:tcW w:w="1397" w:type="dxa"/>
          </w:tcPr>
          <w:p w:rsidR="005171F5" w:rsidRPr="00FE68B7" w:rsidRDefault="005171F5" w:rsidP="004D2BFF">
            <w:pPr>
              <w:rPr>
                <w:rFonts w:eastAsia="Calibri"/>
                <w:sz w:val="22"/>
                <w:szCs w:val="22"/>
              </w:rPr>
            </w:pPr>
            <w:r w:rsidRPr="00FE68B7">
              <w:rPr>
                <w:rFonts w:eastAsia="Calibri"/>
                <w:sz w:val="22"/>
                <w:szCs w:val="22"/>
              </w:rPr>
              <w:t>1</w:t>
            </w:r>
            <w:r w:rsidR="00B36150" w:rsidRPr="00FE68B7">
              <w:rPr>
                <w:rFonts w:eastAsia="Calibri"/>
                <w:sz w:val="22"/>
                <w:szCs w:val="22"/>
              </w:rPr>
              <w:t>7</w:t>
            </w:r>
          </w:p>
        </w:tc>
        <w:tc>
          <w:tcPr>
            <w:tcW w:w="1976" w:type="dxa"/>
          </w:tcPr>
          <w:p w:rsidR="005171F5" w:rsidRPr="00FE68B7" w:rsidRDefault="005171F5" w:rsidP="004D2BFF">
            <w:pPr>
              <w:rPr>
                <w:rFonts w:eastAsia="Calibri"/>
                <w:sz w:val="22"/>
                <w:szCs w:val="22"/>
              </w:rPr>
            </w:pPr>
            <w:r w:rsidRPr="00FE68B7">
              <w:rPr>
                <w:rFonts w:eastAsia="Calibri"/>
                <w:sz w:val="22"/>
                <w:szCs w:val="22"/>
              </w:rPr>
              <w:t>Ali et al (2004)</w:t>
            </w:r>
          </w:p>
        </w:tc>
        <w:tc>
          <w:tcPr>
            <w:tcW w:w="1602" w:type="dxa"/>
          </w:tcPr>
          <w:p w:rsidR="005171F5" w:rsidRPr="00FE68B7" w:rsidRDefault="005171F5" w:rsidP="004D2BFF">
            <w:pPr>
              <w:rPr>
                <w:rFonts w:eastAsia="Calibri"/>
                <w:sz w:val="22"/>
                <w:szCs w:val="22"/>
              </w:rPr>
            </w:pPr>
            <w:r w:rsidRPr="00FE68B7">
              <w:rPr>
                <w:rFonts w:eastAsia="Calibri"/>
                <w:sz w:val="22"/>
                <w:szCs w:val="22"/>
              </w:rPr>
              <w:t>Return on total assets</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8573C5" w:rsidTr="004D2BFF">
        <w:tc>
          <w:tcPr>
            <w:tcW w:w="1397" w:type="dxa"/>
          </w:tcPr>
          <w:p w:rsidR="005171F5" w:rsidRPr="00FE68B7" w:rsidRDefault="005171F5" w:rsidP="004D2BFF">
            <w:pPr>
              <w:rPr>
                <w:rFonts w:eastAsia="Calibri"/>
                <w:sz w:val="22"/>
                <w:szCs w:val="22"/>
              </w:rPr>
            </w:pPr>
            <w:r w:rsidRPr="00FE68B7">
              <w:rPr>
                <w:rFonts w:eastAsia="Calibri"/>
                <w:sz w:val="22"/>
                <w:szCs w:val="22"/>
              </w:rPr>
              <w:t>1</w:t>
            </w:r>
            <w:r w:rsidR="00B36150" w:rsidRPr="00FE68B7">
              <w:rPr>
                <w:rFonts w:eastAsia="Calibri"/>
                <w:sz w:val="22"/>
                <w:szCs w:val="22"/>
              </w:rPr>
              <w:t>8</w:t>
            </w:r>
          </w:p>
        </w:tc>
        <w:tc>
          <w:tcPr>
            <w:tcW w:w="1976" w:type="dxa"/>
          </w:tcPr>
          <w:p w:rsidR="005171F5" w:rsidRPr="00FE68B7" w:rsidRDefault="005171F5" w:rsidP="004D2BFF">
            <w:pPr>
              <w:rPr>
                <w:rFonts w:eastAsia="Calibri"/>
                <w:sz w:val="22"/>
                <w:szCs w:val="22"/>
              </w:rPr>
            </w:pPr>
            <w:r w:rsidRPr="00FE68B7">
              <w:rPr>
                <w:sz w:val="22"/>
                <w:szCs w:val="22"/>
              </w:rPr>
              <w:t>Prencipe(2004)</w:t>
            </w:r>
          </w:p>
        </w:tc>
        <w:tc>
          <w:tcPr>
            <w:tcW w:w="1602" w:type="dxa"/>
          </w:tcPr>
          <w:p w:rsidR="005171F5" w:rsidRPr="00FE68B7" w:rsidRDefault="005171F5" w:rsidP="004D2BFF">
            <w:pPr>
              <w:rPr>
                <w:rFonts w:eastAsia="Calibri"/>
                <w:sz w:val="22"/>
                <w:szCs w:val="22"/>
              </w:rPr>
            </w:pPr>
            <w:r w:rsidRPr="00FE68B7">
              <w:rPr>
                <w:rFonts w:eastAsia="Calibri"/>
                <w:sz w:val="22"/>
                <w:szCs w:val="22"/>
              </w:rPr>
              <w:t>Operating income/ total assets</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8573C5" w:rsidTr="004D2BFF">
        <w:tc>
          <w:tcPr>
            <w:tcW w:w="1397" w:type="dxa"/>
            <w:vMerge w:val="restart"/>
          </w:tcPr>
          <w:p w:rsidR="005171F5" w:rsidRPr="00FE68B7" w:rsidRDefault="005171F5" w:rsidP="004D2BFF">
            <w:pPr>
              <w:rPr>
                <w:rFonts w:eastAsia="Calibri"/>
                <w:sz w:val="22"/>
                <w:szCs w:val="22"/>
              </w:rPr>
            </w:pPr>
            <w:r w:rsidRPr="00FE68B7">
              <w:rPr>
                <w:rFonts w:eastAsia="Calibri"/>
                <w:sz w:val="22"/>
                <w:szCs w:val="22"/>
              </w:rPr>
              <w:t>1</w:t>
            </w:r>
            <w:r w:rsidR="00B36150" w:rsidRPr="00FE68B7">
              <w:rPr>
                <w:rFonts w:eastAsia="Calibri"/>
                <w:sz w:val="22"/>
                <w:szCs w:val="22"/>
              </w:rPr>
              <w:t>9</w:t>
            </w:r>
          </w:p>
        </w:tc>
        <w:tc>
          <w:tcPr>
            <w:tcW w:w="1976" w:type="dxa"/>
            <w:vMerge w:val="restart"/>
          </w:tcPr>
          <w:p w:rsidR="005171F5" w:rsidRPr="00FE68B7" w:rsidRDefault="005171F5" w:rsidP="004D2BFF">
            <w:pPr>
              <w:rPr>
                <w:rFonts w:eastAsia="Calibri"/>
                <w:sz w:val="22"/>
                <w:szCs w:val="22"/>
              </w:rPr>
            </w:pPr>
            <w:r w:rsidRPr="00FE68B7">
              <w:rPr>
                <w:rFonts w:eastAsia="Calibri"/>
                <w:sz w:val="22"/>
                <w:szCs w:val="22"/>
              </w:rPr>
              <w:t>Akhtaruddin (2005)</w:t>
            </w:r>
          </w:p>
        </w:tc>
        <w:tc>
          <w:tcPr>
            <w:tcW w:w="1602" w:type="dxa"/>
          </w:tcPr>
          <w:p w:rsidR="005171F5" w:rsidRPr="00FE68B7" w:rsidRDefault="005171F5" w:rsidP="004D2BFF">
            <w:pPr>
              <w:rPr>
                <w:rFonts w:eastAsia="Calibri"/>
                <w:sz w:val="22"/>
                <w:szCs w:val="22"/>
              </w:rPr>
            </w:pPr>
            <w:r w:rsidRPr="00FE68B7">
              <w:rPr>
                <w:rFonts w:eastAsia="Calibri"/>
                <w:sz w:val="22"/>
                <w:szCs w:val="22"/>
              </w:rPr>
              <w:t xml:space="preserve">Net profit on capital employed </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 marginally)</w:t>
            </w:r>
          </w:p>
        </w:tc>
      </w:tr>
      <w:tr w:rsidR="005171F5" w:rsidRPr="008573C5" w:rsidTr="004D2BFF">
        <w:tc>
          <w:tcPr>
            <w:tcW w:w="1397" w:type="dxa"/>
            <w:vMerge/>
          </w:tcPr>
          <w:p w:rsidR="005171F5" w:rsidRPr="00FE68B7" w:rsidRDefault="005171F5" w:rsidP="004D2BFF">
            <w:pPr>
              <w:jc w:val="center"/>
              <w:rPr>
                <w:rFonts w:eastAsia="Calibri"/>
                <w:sz w:val="22"/>
                <w:szCs w:val="22"/>
              </w:rPr>
            </w:pPr>
          </w:p>
        </w:tc>
        <w:tc>
          <w:tcPr>
            <w:tcW w:w="1976" w:type="dxa"/>
            <w:vMerge/>
          </w:tcPr>
          <w:p w:rsidR="005171F5" w:rsidRPr="00FE68B7" w:rsidRDefault="005171F5" w:rsidP="004D2BFF">
            <w:pPr>
              <w:jc w:val="center"/>
              <w:rPr>
                <w:rFonts w:eastAsia="Calibri"/>
                <w:sz w:val="22"/>
                <w:szCs w:val="22"/>
              </w:rPr>
            </w:pPr>
          </w:p>
        </w:tc>
        <w:tc>
          <w:tcPr>
            <w:tcW w:w="1602" w:type="dxa"/>
          </w:tcPr>
          <w:p w:rsidR="005171F5" w:rsidRPr="00FE68B7" w:rsidRDefault="005171F5" w:rsidP="004D2BFF">
            <w:pPr>
              <w:rPr>
                <w:rFonts w:eastAsia="Calibri"/>
                <w:sz w:val="22"/>
                <w:szCs w:val="22"/>
              </w:rPr>
            </w:pPr>
            <w:r w:rsidRPr="00FE68B7">
              <w:rPr>
                <w:rFonts w:eastAsia="Calibri"/>
                <w:sz w:val="22"/>
                <w:szCs w:val="22"/>
              </w:rPr>
              <w:t>Net profit on sales</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 (marginally)</w:t>
            </w:r>
          </w:p>
        </w:tc>
      </w:tr>
      <w:tr w:rsidR="005171F5" w:rsidRPr="008573C5" w:rsidTr="004D2BFF">
        <w:tc>
          <w:tcPr>
            <w:tcW w:w="1397" w:type="dxa"/>
          </w:tcPr>
          <w:p w:rsidR="005171F5" w:rsidRPr="00FE68B7" w:rsidRDefault="00B36150" w:rsidP="004D2BFF">
            <w:pPr>
              <w:tabs>
                <w:tab w:val="left" w:pos="7320"/>
              </w:tabs>
              <w:rPr>
                <w:rFonts w:eastAsia="Calibri"/>
                <w:sz w:val="22"/>
                <w:szCs w:val="22"/>
              </w:rPr>
            </w:pPr>
            <w:r w:rsidRPr="00FE68B7">
              <w:rPr>
                <w:rFonts w:eastAsia="Calibri"/>
                <w:sz w:val="22"/>
                <w:szCs w:val="22"/>
              </w:rPr>
              <w:t>20</w:t>
            </w:r>
          </w:p>
        </w:tc>
        <w:tc>
          <w:tcPr>
            <w:tcW w:w="1976" w:type="dxa"/>
          </w:tcPr>
          <w:p w:rsidR="005171F5" w:rsidRPr="00FE68B7" w:rsidRDefault="005171F5" w:rsidP="004D2BFF">
            <w:pPr>
              <w:tabs>
                <w:tab w:val="left" w:pos="7320"/>
              </w:tabs>
              <w:rPr>
                <w:rFonts w:eastAsia="Calibri"/>
                <w:sz w:val="22"/>
                <w:szCs w:val="22"/>
              </w:rPr>
            </w:pPr>
            <w:r w:rsidRPr="00FE68B7">
              <w:rPr>
                <w:rFonts w:eastAsia="Calibri"/>
                <w:sz w:val="22"/>
                <w:szCs w:val="22"/>
              </w:rPr>
              <w:t>Al-Shammari(2005)</w:t>
            </w:r>
          </w:p>
        </w:tc>
        <w:tc>
          <w:tcPr>
            <w:tcW w:w="1602" w:type="dxa"/>
          </w:tcPr>
          <w:p w:rsidR="005171F5" w:rsidRPr="00FE68B7" w:rsidRDefault="005171F5" w:rsidP="004D2BFF">
            <w:pPr>
              <w:jc w:val="center"/>
              <w:rPr>
                <w:rFonts w:eastAsia="Calibri"/>
                <w:sz w:val="22"/>
                <w:szCs w:val="22"/>
              </w:rPr>
            </w:pPr>
            <w:r w:rsidRPr="00FE68B7">
              <w:rPr>
                <w:rFonts w:eastAsia="Calibri"/>
                <w:sz w:val="22"/>
                <w:szCs w:val="22"/>
              </w:rPr>
              <w:t>Return on equity = earnings b4 tax/ shareholders’ equity</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8573C5" w:rsidTr="004D2BFF">
        <w:tc>
          <w:tcPr>
            <w:tcW w:w="1397" w:type="dxa"/>
          </w:tcPr>
          <w:p w:rsidR="005171F5" w:rsidRPr="00FE68B7" w:rsidRDefault="005171F5" w:rsidP="004D2BFF">
            <w:pPr>
              <w:rPr>
                <w:rFonts w:eastAsia="Calibri"/>
                <w:sz w:val="22"/>
                <w:szCs w:val="22"/>
              </w:rPr>
            </w:pPr>
            <w:r w:rsidRPr="00FE68B7">
              <w:rPr>
                <w:rFonts w:eastAsia="Calibri"/>
                <w:sz w:val="22"/>
                <w:szCs w:val="22"/>
              </w:rPr>
              <w:t>2</w:t>
            </w:r>
            <w:r w:rsidR="00B36150" w:rsidRPr="00FE68B7">
              <w:rPr>
                <w:rFonts w:eastAsia="Calibri"/>
                <w:sz w:val="22"/>
                <w:szCs w:val="22"/>
              </w:rPr>
              <w:t>1</w:t>
            </w:r>
          </w:p>
        </w:tc>
        <w:tc>
          <w:tcPr>
            <w:tcW w:w="1976" w:type="dxa"/>
          </w:tcPr>
          <w:p w:rsidR="005171F5" w:rsidRPr="00FE68B7" w:rsidRDefault="005171F5" w:rsidP="004D2BFF">
            <w:pPr>
              <w:rPr>
                <w:rFonts w:eastAsia="Calibri"/>
                <w:sz w:val="22"/>
                <w:szCs w:val="22"/>
              </w:rPr>
            </w:pPr>
            <w:r w:rsidRPr="00FE68B7">
              <w:rPr>
                <w:rFonts w:eastAsia="Calibri"/>
                <w:sz w:val="22"/>
                <w:szCs w:val="22"/>
              </w:rPr>
              <w:t>Barako(2007)</w:t>
            </w:r>
          </w:p>
        </w:tc>
        <w:tc>
          <w:tcPr>
            <w:tcW w:w="1602" w:type="dxa"/>
          </w:tcPr>
          <w:p w:rsidR="005171F5" w:rsidRPr="00FE68B7" w:rsidRDefault="005171F5" w:rsidP="004D2BFF">
            <w:pPr>
              <w:rPr>
                <w:rFonts w:eastAsia="Calibri"/>
                <w:sz w:val="22"/>
                <w:szCs w:val="22"/>
              </w:rPr>
            </w:pPr>
            <w:r w:rsidRPr="00FE68B7">
              <w:rPr>
                <w:rFonts w:eastAsia="Calibri"/>
                <w:sz w:val="22"/>
                <w:szCs w:val="22"/>
              </w:rPr>
              <w:t>Return on equity:  Net profit to total shareholders’ fund.</w:t>
            </w:r>
          </w:p>
        </w:tc>
        <w:tc>
          <w:tcPr>
            <w:tcW w:w="1320" w:type="dxa"/>
          </w:tcPr>
          <w:p w:rsidR="005171F5" w:rsidRPr="00FE68B7" w:rsidRDefault="005171F5" w:rsidP="004D2BFF">
            <w:pPr>
              <w:jc w:val="center"/>
              <w:rPr>
                <w:rFonts w:eastAsia="Calibri"/>
                <w:sz w:val="22"/>
                <w:szCs w:val="22"/>
              </w:rPr>
            </w:pPr>
            <w:r w:rsidRPr="00FE68B7">
              <w:rPr>
                <w:rFonts w:eastAsia="Calibri"/>
                <w:sz w:val="22"/>
                <w:szCs w:val="22"/>
              </w:rPr>
              <w:t>+ for 4 categories</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 for 2 categories, Nsig for 2 categories</w:t>
            </w:r>
          </w:p>
        </w:tc>
      </w:tr>
    </w:tbl>
    <w:p w:rsidR="005171F5" w:rsidRPr="008573C5" w:rsidRDefault="005171F5" w:rsidP="005171F5">
      <w:pPr>
        <w:jc w:val="center"/>
        <w:rPr>
          <w:b/>
          <w:sz w:val="20"/>
          <w:szCs w:val="20"/>
        </w:rPr>
      </w:pPr>
    </w:p>
    <w:p w:rsidR="005171F5" w:rsidRPr="00FE68B7" w:rsidRDefault="005171F5" w:rsidP="005171F5">
      <w:pPr>
        <w:jc w:val="center"/>
        <w:rPr>
          <w:b/>
          <w:sz w:val="22"/>
          <w:szCs w:val="22"/>
        </w:rPr>
      </w:pPr>
      <w:r w:rsidRPr="00FE68B7">
        <w:rPr>
          <w:b/>
          <w:sz w:val="22"/>
          <w:szCs w:val="22"/>
        </w:rPr>
        <w:t>Source: Compiled from the literature reviewed by the researcher (2009)</w:t>
      </w:r>
    </w:p>
    <w:p w:rsidR="005171F5" w:rsidRPr="00FE68B7" w:rsidRDefault="005171F5" w:rsidP="005171F5">
      <w:pPr>
        <w:jc w:val="center"/>
        <w:rPr>
          <w:sz w:val="22"/>
          <w:szCs w:val="22"/>
        </w:rPr>
      </w:pPr>
    </w:p>
    <w:p w:rsidR="005171F5" w:rsidRPr="00FE68B7" w:rsidRDefault="005171F5" w:rsidP="005171F5">
      <w:pPr>
        <w:jc w:val="center"/>
        <w:rPr>
          <w:b/>
          <w:sz w:val="22"/>
          <w:szCs w:val="22"/>
        </w:rPr>
      </w:pPr>
    </w:p>
    <w:p w:rsidR="005171F5" w:rsidRPr="00FE68B7" w:rsidRDefault="005171F5" w:rsidP="005171F5">
      <w:pPr>
        <w:jc w:val="center"/>
        <w:rPr>
          <w:b/>
          <w:sz w:val="22"/>
          <w:szCs w:val="22"/>
        </w:rPr>
      </w:pPr>
    </w:p>
    <w:p w:rsidR="005171F5" w:rsidRPr="00FE68B7" w:rsidRDefault="005171F5" w:rsidP="005171F5">
      <w:pPr>
        <w:jc w:val="center"/>
        <w:rPr>
          <w:b/>
          <w:sz w:val="22"/>
          <w:szCs w:val="22"/>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8"/>
          <w:szCs w:val="28"/>
        </w:rPr>
      </w:pPr>
      <w:r w:rsidRPr="008573C5">
        <w:rPr>
          <w:b/>
          <w:sz w:val="28"/>
          <w:szCs w:val="28"/>
        </w:rPr>
        <w:t>Table 2.04</w:t>
      </w:r>
    </w:p>
    <w:p w:rsidR="005171F5" w:rsidRPr="008573C5" w:rsidRDefault="005171F5" w:rsidP="005171F5">
      <w:pPr>
        <w:jc w:val="center"/>
        <w:rPr>
          <w:sz w:val="28"/>
          <w:szCs w:val="28"/>
        </w:rPr>
      </w:pPr>
      <w:r w:rsidRPr="008573C5">
        <w:rPr>
          <w:b/>
          <w:sz w:val="28"/>
          <w:szCs w:val="28"/>
        </w:rPr>
        <w:t xml:space="preserve">Summary of Studies Investigating the Association between Level of Disclosure and Leverage </w:t>
      </w:r>
      <w:r w:rsidRPr="008573C5">
        <w:rPr>
          <w:sz w:val="28"/>
          <w:szCs w:val="28"/>
        </w:rPr>
        <w:t xml:space="preserve"> </w:t>
      </w:r>
    </w:p>
    <w:p w:rsidR="005171F5" w:rsidRPr="008573C5" w:rsidRDefault="005171F5" w:rsidP="005171F5">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2070"/>
        <w:gridCol w:w="1969"/>
        <w:gridCol w:w="1338"/>
        <w:gridCol w:w="2230"/>
      </w:tblGrid>
      <w:tr w:rsidR="005171F5" w:rsidRPr="00FE68B7" w:rsidTr="00FE68B7">
        <w:tc>
          <w:tcPr>
            <w:tcW w:w="918" w:type="dxa"/>
          </w:tcPr>
          <w:p w:rsidR="005171F5" w:rsidRPr="00FE68B7" w:rsidRDefault="005171F5" w:rsidP="004D2BFF">
            <w:pPr>
              <w:jc w:val="center"/>
              <w:rPr>
                <w:rFonts w:eastAsia="Calibri"/>
                <w:b/>
                <w:sz w:val="22"/>
                <w:szCs w:val="22"/>
              </w:rPr>
            </w:pPr>
            <w:r w:rsidRPr="00FE68B7">
              <w:rPr>
                <w:rFonts w:eastAsia="Calibri"/>
                <w:b/>
                <w:sz w:val="22"/>
                <w:szCs w:val="22"/>
              </w:rPr>
              <w:t>S/N</w:t>
            </w:r>
          </w:p>
        </w:tc>
        <w:tc>
          <w:tcPr>
            <w:tcW w:w="2070" w:type="dxa"/>
          </w:tcPr>
          <w:p w:rsidR="005171F5" w:rsidRPr="00FE68B7" w:rsidRDefault="005171F5" w:rsidP="004D2BFF">
            <w:pPr>
              <w:jc w:val="center"/>
              <w:rPr>
                <w:rFonts w:eastAsia="Calibri"/>
                <w:b/>
                <w:sz w:val="22"/>
                <w:szCs w:val="22"/>
              </w:rPr>
            </w:pPr>
            <w:r w:rsidRPr="00FE68B7">
              <w:rPr>
                <w:rFonts w:eastAsia="Calibri"/>
                <w:b/>
                <w:sz w:val="22"/>
                <w:szCs w:val="22"/>
              </w:rPr>
              <w:t>Author(s)</w:t>
            </w:r>
          </w:p>
        </w:tc>
        <w:tc>
          <w:tcPr>
            <w:tcW w:w="1969" w:type="dxa"/>
          </w:tcPr>
          <w:p w:rsidR="005171F5" w:rsidRPr="00FE68B7" w:rsidRDefault="006365B5" w:rsidP="004D2BFF">
            <w:pPr>
              <w:jc w:val="center"/>
              <w:rPr>
                <w:rFonts w:eastAsia="Calibri"/>
                <w:b/>
                <w:sz w:val="22"/>
                <w:szCs w:val="22"/>
              </w:rPr>
            </w:pPr>
            <w:r w:rsidRPr="00FE68B7">
              <w:rPr>
                <w:rFonts w:eastAsia="Calibri"/>
                <w:b/>
                <w:sz w:val="22"/>
                <w:szCs w:val="22"/>
              </w:rPr>
              <w:t>Proxy</w:t>
            </w:r>
          </w:p>
        </w:tc>
        <w:tc>
          <w:tcPr>
            <w:tcW w:w="1338" w:type="dxa"/>
          </w:tcPr>
          <w:p w:rsidR="005171F5" w:rsidRPr="00FE68B7" w:rsidRDefault="005171F5" w:rsidP="004D2BFF">
            <w:pPr>
              <w:jc w:val="center"/>
              <w:rPr>
                <w:rFonts w:eastAsia="Calibri"/>
                <w:b/>
                <w:sz w:val="22"/>
                <w:szCs w:val="22"/>
              </w:rPr>
            </w:pPr>
            <w:r w:rsidRPr="00FE68B7">
              <w:rPr>
                <w:rFonts w:eastAsia="Calibri"/>
                <w:b/>
                <w:sz w:val="22"/>
                <w:szCs w:val="22"/>
              </w:rPr>
              <w:t>Reported</w:t>
            </w:r>
          </w:p>
          <w:p w:rsidR="005171F5" w:rsidRPr="00FE68B7" w:rsidRDefault="005171F5" w:rsidP="004D2BFF">
            <w:pPr>
              <w:jc w:val="center"/>
              <w:rPr>
                <w:rFonts w:eastAsia="Calibri"/>
                <w:b/>
                <w:sz w:val="22"/>
                <w:szCs w:val="22"/>
              </w:rPr>
            </w:pPr>
            <w:r w:rsidRPr="00FE68B7">
              <w:rPr>
                <w:rFonts w:eastAsia="Calibri"/>
                <w:b/>
                <w:sz w:val="22"/>
                <w:szCs w:val="22"/>
              </w:rPr>
              <w:t>Sign</w:t>
            </w:r>
          </w:p>
        </w:tc>
        <w:tc>
          <w:tcPr>
            <w:tcW w:w="2230" w:type="dxa"/>
          </w:tcPr>
          <w:p w:rsidR="005171F5" w:rsidRPr="00FE68B7" w:rsidRDefault="005171F5" w:rsidP="004D2BFF">
            <w:pPr>
              <w:jc w:val="center"/>
              <w:rPr>
                <w:rFonts w:eastAsia="Calibri"/>
                <w:b/>
                <w:sz w:val="22"/>
                <w:szCs w:val="22"/>
              </w:rPr>
            </w:pPr>
            <w:r w:rsidRPr="00FE68B7">
              <w:rPr>
                <w:rFonts w:eastAsia="Calibri"/>
                <w:b/>
                <w:sz w:val="22"/>
                <w:szCs w:val="22"/>
              </w:rPr>
              <w:t>Significant(Sig)/Non Significant(Nsig)</w:t>
            </w:r>
          </w:p>
        </w:tc>
      </w:tr>
      <w:tr w:rsidR="005171F5" w:rsidRPr="00FE68B7" w:rsidTr="00FE68B7">
        <w:tc>
          <w:tcPr>
            <w:tcW w:w="918" w:type="dxa"/>
          </w:tcPr>
          <w:p w:rsidR="005171F5" w:rsidRPr="00FE68B7" w:rsidRDefault="005171F5" w:rsidP="004D2BFF">
            <w:pPr>
              <w:rPr>
                <w:rFonts w:eastAsia="Calibri"/>
                <w:sz w:val="22"/>
                <w:szCs w:val="22"/>
              </w:rPr>
            </w:pPr>
            <w:r w:rsidRPr="00FE68B7">
              <w:rPr>
                <w:rFonts w:eastAsia="Calibri"/>
                <w:sz w:val="22"/>
                <w:szCs w:val="22"/>
              </w:rPr>
              <w:t>1</w:t>
            </w:r>
          </w:p>
        </w:tc>
        <w:tc>
          <w:tcPr>
            <w:tcW w:w="2070" w:type="dxa"/>
          </w:tcPr>
          <w:p w:rsidR="005171F5" w:rsidRPr="00FE68B7" w:rsidRDefault="005171F5" w:rsidP="004D2BFF">
            <w:pPr>
              <w:rPr>
                <w:rFonts w:eastAsia="Calibri"/>
                <w:sz w:val="22"/>
                <w:szCs w:val="22"/>
              </w:rPr>
            </w:pPr>
            <w:r w:rsidRPr="00FE68B7">
              <w:rPr>
                <w:rFonts w:eastAsia="Calibri"/>
                <w:sz w:val="22"/>
                <w:szCs w:val="22"/>
              </w:rPr>
              <w:t>Chow and Wang-Boren(1987)</w:t>
            </w:r>
          </w:p>
        </w:tc>
        <w:tc>
          <w:tcPr>
            <w:tcW w:w="1969" w:type="dxa"/>
          </w:tcPr>
          <w:p w:rsidR="005171F5" w:rsidRPr="00FE68B7" w:rsidRDefault="005171F5" w:rsidP="004D2BFF">
            <w:pPr>
              <w:rPr>
                <w:rFonts w:eastAsia="Calibri"/>
                <w:sz w:val="22"/>
                <w:szCs w:val="22"/>
              </w:rPr>
            </w:pPr>
            <w:r w:rsidRPr="00FE68B7">
              <w:rPr>
                <w:rFonts w:eastAsia="Calibri"/>
                <w:sz w:val="22"/>
                <w:szCs w:val="22"/>
              </w:rPr>
              <w:t>Book value of debt divided by size.</w:t>
            </w:r>
          </w:p>
        </w:tc>
        <w:tc>
          <w:tcPr>
            <w:tcW w:w="1338"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FE68B7">
        <w:tc>
          <w:tcPr>
            <w:tcW w:w="918"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2</w:t>
            </w:r>
          </w:p>
        </w:tc>
        <w:tc>
          <w:tcPr>
            <w:tcW w:w="2070"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Malone et al(1993)</w:t>
            </w:r>
          </w:p>
        </w:tc>
        <w:tc>
          <w:tcPr>
            <w:tcW w:w="1969" w:type="dxa"/>
          </w:tcPr>
          <w:p w:rsidR="005171F5" w:rsidRPr="00FE68B7" w:rsidRDefault="005171F5" w:rsidP="004D2BFF">
            <w:pPr>
              <w:rPr>
                <w:rFonts w:eastAsia="Calibri"/>
                <w:sz w:val="22"/>
                <w:szCs w:val="22"/>
              </w:rPr>
            </w:pPr>
            <w:r w:rsidRPr="00FE68B7">
              <w:rPr>
                <w:rFonts w:eastAsia="Calibri"/>
                <w:sz w:val="22"/>
                <w:szCs w:val="22"/>
              </w:rPr>
              <w:t>Ratio of debt to equity</w:t>
            </w:r>
          </w:p>
        </w:tc>
        <w:tc>
          <w:tcPr>
            <w:tcW w:w="1338"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918"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3</w:t>
            </w:r>
          </w:p>
        </w:tc>
        <w:tc>
          <w:tcPr>
            <w:tcW w:w="2070"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Wallace et al(1994)</w:t>
            </w:r>
          </w:p>
        </w:tc>
        <w:tc>
          <w:tcPr>
            <w:tcW w:w="1969" w:type="dxa"/>
          </w:tcPr>
          <w:p w:rsidR="005171F5" w:rsidRPr="00FE68B7" w:rsidRDefault="005171F5" w:rsidP="004D2BFF">
            <w:pPr>
              <w:rPr>
                <w:rFonts w:eastAsia="Calibri"/>
                <w:sz w:val="22"/>
                <w:szCs w:val="22"/>
              </w:rPr>
            </w:pPr>
            <w:r w:rsidRPr="00FE68B7">
              <w:rPr>
                <w:rFonts w:eastAsia="Calibri"/>
                <w:sz w:val="22"/>
                <w:szCs w:val="22"/>
              </w:rPr>
              <w:t>Debt/equity</w:t>
            </w:r>
          </w:p>
        </w:tc>
        <w:tc>
          <w:tcPr>
            <w:tcW w:w="1338"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FE68B7">
        <w:tc>
          <w:tcPr>
            <w:tcW w:w="918"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4</w:t>
            </w:r>
          </w:p>
        </w:tc>
        <w:tc>
          <w:tcPr>
            <w:tcW w:w="2070"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Meek et al(1995)</w:t>
            </w:r>
          </w:p>
        </w:tc>
        <w:tc>
          <w:tcPr>
            <w:tcW w:w="1969" w:type="dxa"/>
          </w:tcPr>
          <w:p w:rsidR="005171F5" w:rsidRPr="00FE68B7" w:rsidRDefault="005171F5" w:rsidP="004D2BFF">
            <w:pPr>
              <w:rPr>
                <w:rFonts w:eastAsia="Calibri"/>
                <w:sz w:val="22"/>
                <w:szCs w:val="22"/>
              </w:rPr>
            </w:pPr>
            <w:r w:rsidRPr="00FE68B7">
              <w:rPr>
                <w:rFonts w:eastAsia="Calibri"/>
                <w:sz w:val="22"/>
                <w:szCs w:val="22"/>
              </w:rPr>
              <w:t>Debt/equity</w:t>
            </w:r>
          </w:p>
        </w:tc>
        <w:tc>
          <w:tcPr>
            <w:tcW w:w="1338"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FE68B7">
        <w:tc>
          <w:tcPr>
            <w:tcW w:w="918"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5</w:t>
            </w:r>
          </w:p>
        </w:tc>
        <w:tc>
          <w:tcPr>
            <w:tcW w:w="2070"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Raffournier(1995)</w:t>
            </w:r>
          </w:p>
        </w:tc>
        <w:tc>
          <w:tcPr>
            <w:tcW w:w="1969" w:type="dxa"/>
          </w:tcPr>
          <w:p w:rsidR="005171F5" w:rsidRPr="00FE68B7" w:rsidRDefault="005171F5" w:rsidP="004D2BFF">
            <w:pPr>
              <w:rPr>
                <w:rFonts w:eastAsia="Calibri"/>
                <w:sz w:val="22"/>
                <w:szCs w:val="22"/>
              </w:rPr>
            </w:pPr>
            <w:r w:rsidRPr="00FE68B7">
              <w:rPr>
                <w:rFonts w:eastAsia="Calibri"/>
                <w:sz w:val="22"/>
                <w:szCs w:val="22"/>
              </w:rPr>
              <w:t>Debt * 100/Total assets</w:t>
            </w:r>
          </w:p>
        </w:tc>
        <w:tc>
          <w:tcPr>
            <w:tcW w:w="1338"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FE68B7">
        <w:tc>
          <w:tcPr>
            <w:tcW w:w="918"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6</w:t>
            </w:r>
          </w:p>
        </w:tc>
        <w:tc>
          <w:tcPr>
            <w:tcW w:w="2070"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Inchausti(1997)</w:t>
            </w:r>
          </w:p>
        </w:tc>
        <w:tc>
          <w:tcPr>
            <w:tcW w:w="1969" w:type="dxa"/>
          </w:tcPr>
          <w:p w:rsidR="005171F5" w:rsidRPr="00FE68B7" w:rsidRDefault="005171F5" w:rsidP="004D2BFF">
            <w:pPr>
              <w:rPr>
                <w:rFonts w:eastAsia="Calibri"/>
                <w:sz w:val="22"/>
                <w:szCs w:val="22"/>
              </w:rPr>
            </w:pPr>
            <w:r w:rsidRPr="00FE68B7">
              <w:rPr>
                <w:rFonts w:eastAsia="Calibri"/>
                <w:sz w:val="22"/>
                <w:szCs w:val="22"/>
              </w:rPr>
              <w:t>Total liability/equity</w:t>
            </w:r>
          </w:p>
        </w:tc>
        <w:tc>
          <w:tcPr>
            <w:tcW w:w="1338"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FE68B7">
        <w:tc>
          <w:tcPr>
            <w:tcW w:w="918" w:type="dxa"/>
          </w:tcPr>
          <w:p w:rsidR="005171F5" w:rsidRPr="00FE68B7" w:rsidRDefault="005171F5" w:rsidP="004D2BFF">
            <w:pPr>
              <w:rPr>
                <w:rFonts w:eastAsia="Calibri"/>
                <w:sz w:val="22"/>
                <w:szCs w:val="22"/>
              </w:rPr>
            </w:pPr>
            <w:r w:rsidRPr="00FE68B7">
              <w:rPr>
                <w:rFonts w:eastAsia="Calibri"/>
                <w:sz w:val="22"/>
                <w:szCs w:val="22"/>
              </w:rPr>
              <w:t>7</w:t>
            </w:r>
          </w:p>
        </w:tc>
        <w:tc>
          <w:tcPr>
            <w:tcW w:w="2070" w:type="dxa"/>
          </w:tcPr>
          <w:p w:rsidR="005171F5" w:rsidRPr="00FE68B7" w:rsidRDefault="005171F5" w:rsidP="004D2BFF">
            <w:pPr>
              <w:rPr>
                <w:rFonts w:eastAsia="Calibri"/>
                <w:sz w:val="22"/>
                <w:szCs w:val="22"/>
              </w:rPr>
            </w:pPr>
            <w:r w:rsidRPr="00FE68B7">
              <w:rPr>
                <w:rFonts w:eastAsia="Calibri"/>
                <w:sz w:val="22"/>
                <w:szCs w:val="22"/>
              </w:rPr>
              <w:t>Tower et al (1999)</w:t>
            </w:r>
          </w:p>
        </w:tc>
        <w:tc>
          <w:tcPr>
            <w:tcW w:w="1969" w:type="dxa"/>
          </w:tcPr>
          <w:p w:rsidR="005171F5" w:rsidRPr="00FE68B7" w:rsidRDefault="005171F5" w:rsidP="004D2BFF">
            <w:pPr>
              <w:rPr>
                <w:rFonts w:eastAsia="Calibri"/>
                <w:sz w:val="22"/>
                <w:szCs w:val="22"/>
              </w:rPr>
            </w:pPr>
            <w:r w:rsidRPr="00FE68B7">
              <w:rPr>
                <w:rFonts w:eastAsia="Calibri"/>
                <w:sz w:val="22"/>
                <w:szCs w:val="22"/>
              </w:rPr>
              <w:t>Ratio of Long term debt to Total Equity</w:t>
            </w:r>
          </w:p>
        </w:tc>
        <w:tc>
          <w:tcPr>
            <w:tcW w:w="1338"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FE68B7">
        <w:tc>
          <w:tcPr>
            <w:tcW w:w="918" w:type="dxa"/>
          </w:tcPr>
          <w:p w:rsidR="005171F5" w:rsidRPr="00FE68B7" w:rsidRDefault="005171F5" w:rsidP="004D2BFF">
            <w:pPr>
              <w:rPr>
                <w:rFonts w:eastAsia="Calibri"/>
                <w:sz w:val="22"/>
                <w:szCs w:val="22"/>
              </w:rPr>
            </w:pPr>
            <w:r w:rsidRPr="00FE68B7">
              <w:rPr>
                <w:rFonts w:eastAsia="Calibri"/>
                <w:sz w:val="22"/>
                <w:szCs w:val="22"/>
              </w:rPr>
              <w:t>8</w:t>
            </w:r>
          </w:p>
        </w:tc>
        <w:tc>
          <w:tcPr>
            <w:tcW w:w="2070" w:type="dxa"/>
          </w:tcPr>
          <w:p w:rsidR="005171F5" w:rsidRPr="00FE68B7" w:rsidRDefault="005171F5" w:rsidP="004D2BFF">
            <w:pPr>
              <w:rPr>
                <w:rFonts w:eastAsia="Calibri"/>
                <w:sz w:val="22"/>
                <w:szCs w:val="22"/>
              </w:rPr>
            </w:pPr>
            <w:r w:rsidRPr="00FE68B7">
              <w:rPr>
                <w:rFonts w:eastAsia="Calibri"/>
                <w:sz w:val="22"/>
                <w:szCs w:val="22"/>
              </w:rPr>
              <w:t>Depoers (2000)</w:t>
            </w:r>
          </w:p>
        </w:tc>
        <w:tc>
          <w:tcPr>
            <w:tcW w:w="1969" w:type="dxa"/>
          </w:tcPr>
          <w:p w:rsidR="005171F5" w:rsidRPr="00FE68B7" w:rsidRDefault="005171F5" w:rsidP="004D2BFF">
            <w:pPr>
              <w:jc w:val="both"/>
              <w:rPr>
                <w:rFonts w:eastAsia="Calibri"/>
                <w:sz w:val="22"/>
                <w:szCs w:val="22"/>
              </w:rPr>
            </w:pPr>
            <w:r w:rsidRPr="00FE68B7">
              <w:rPr>
                <w:rFonts w:eastAsia="Calibri"/>
                <w:sz w:val="22"/>
                <w:szCs w:val="22"/>
              </w:rPr>
              <w:t>Debt to total assets</w:t>
            </w:r>
          </w:p>
        </w:tc>
        <w:tc>
          <w:tcPr>
            <w:tcW w:w="1338"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FE68B7">
        <w:tc>
          <w:tcPr>
            <w:tcW w:w="918" w:type="dxa"/>
          </w:tcPr>
          <w:p w:rsidR="005171F5" w:rsidRPr="00FE68B7" w:rsidRDefault="005171F5" w:rsidP="004D2BFF">
            <w:pPr>
              <w:rPr>
                <w:rFonts w:eastAsia="Calibri"/>
                <w:sz w:val="22"/>
                <w:szCs w:val="22"/>
              </w:rPr>
            </w:pPr>
            <w:r w:rsidRPr="00FE68B7">
              <w:rPr>
                <w:rFonts w:eastAsia="Calibri"/>
                <w:sz w:val="22"/>
                <w:szCs w:val="22"/>
              </w:rPr>
              <w:t>9</w:t>
            </w:r>
          </w:p>
        </w:tc>
        <w:tc>
          <w:tcPr>
            <w:tcW w:w="2070" w:type="dxa"/>
          </w:tcPr>
          <w:p w:rsidR="005171F5" w:rsidRPr="00FE68B7" w:rsidRDefault="005171F5" w:rsidP="004D2BFF">
            <w:pPr>
              <w:rPr>
                <w:rFonts w:eastAsia="Calibri"/>
                <w:sz w:val="22"/>
                <w:szCs w:val="22"/>
              </w:rPr>
            </w:pPr>
            <w:r w:rsidRPr="00FE68B7">
              <w:rPr>
                <w:rFonts w:eastAsia="Calibri"/>
                <w:sz w:val="22"/>
                <w:szCs w:val="22"/>
              </w:rPr>
              <w:t>Haniffa and Cooke (2001)</w:t>
            </w:r>
          </w:p>
        </w:tc>
        <w:tc>
          <w:tcPr>
            <w:tcW w:w="1969" w:type="dxa"/>
          </w:tcPr>
          <w:p w:rsidR="005171F5" w:rsidRPr="00FE68B7" w:rsidRDefault="005171F5" w:rsidP="004D2BFF">
            <w:pPr>
              <w:jc w:val="both"/>
              <w:rPr>
                <w:rFonts w:eastAsia="Calibri"/>
                <w:sz w:val="22"/>
                <w:szCs w:val="22"/>
              </w:rPr>
            </w:pPr>
            <w:r w:rsidRPr="00FE68B7">
              <w:rPr>
                <w:rFonts w:eastAsia="Calibri"/>
                <w:sz w:val="22"/>
                <w:szCs w:val="22"/>
              </w:rPr>
              <w:t>Debt ratio : Total debt to Total assets</w:t>
            </w:r>
          </w:p>
        </w:tc>
        <w:tc>
          <w:tcPr>
            <w:tcW w:w="1338"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FE68B7">
        <w:tc>
          <w:tcPr>
            <w:tcW w:w="918" w:type="dxa"/>
          </w:tcPr>
          <w:p w:rsidR="005171F5" w:rsidRPr="00FE68B7" w:rsidRDefault="00B36150" w:rsidP="004D2BFF">
            <w:pPr>
              <w:rPr>
                <w:rFonts w:eastAsia="Calibri"/>
                <w:sz w:val="22"/>
                <w:szCs w:val="22"/>
              </w:rPr>
            </w:pPr>
            <w:r w:rsidRPr="00FE68B7">
              <w:rPr>
                <w:rFonts w:eastAsia="Calibri"/>
                <w:sz w:val="22"/>
                <w:szCs w:val="22"/>
              </w:rPr>
              <w:t>10</w:t>
            </w:r>
          </w:p>
        </w:tc>
        <w:tc>
          <w:tcPr>
            <w:tcW w:w="2070" w:type="dxa"/>
          </w:tcPr>
          <w:p w:rsidR="005171F5" w:rsidRPr="00FE68B7" w:rsidRDefault="005171F5" w:rsidP="004D2BFF">
            <w:pPr>
              <w:rPr>
                <w:rFonts w:eastAsia="Calibri"/>
                <w:sz w:val="22"/>
                <w:szCs w:val="22"/>
              </w:rPr>
            </w:pPr>
            <w:r w:rsidRPr="00FE68B7">
              <w:rPr>
                <w:rFonts w:eastAsia="Calibri"/>
                <w:sz w:val="22"/>
                <w:szCs w:val="22"/>
              </w:rPr>
              <w:t>Bujaki and McConomy</w:t>
            </w:r>
            <w:r w:rsidR="006365B5" w:rsidRPr="00FE68B7">
              <w:rPr>
                <w:rFonts w:eastAsia="Calibri"/>
                <w:sz w:val="22"/>
                <w:szCs w:val="22"/>
              </w:rPr>
              <w:t xml:space="preserve"> </w:t>
            </w:r>
            <w:r w:rsidRPr="00FE68B7">
              <w:rPr>
                <w:rFonts w:eastAsia="Calibri"/>
                <w:sz w:val="22"/>
                <w:szCs w:val="22"/>
              </w:rPr>
              <w:t>(2002)</w:t>
            </w:r>
          </w:p>
        </w:tc>
        <w:tc>
          <w:tcPr>
            <w:tcW w:w="1969" w:type="dxa"/>
          </w:tcPr>
          <w:p w:rsidR="005171F5" w:rsidRPr="00FE68B7" w:rsidRDefault="005171F5" w:rsidP="004D2BFF">
            <w:pPr>
              <w:rPr>
                <w:rFonts w:eastAsia="Calibri"/>
                <w:sz w:val="22"/>
                <w:szCs w:val="22"/>
              </w:rPr>
            </w:pPr>
            <w:r w:rsidRPr="00FE68B7">
              <w:rPr>
                <w:rFonts w:eastAsia="Calibri"/>
                <w:sz w:val="22"/>
                <w:szCs w:val="22"/>
              </w:rPr>
              <w:t>Total liability/ Total assets</w:t>
            </w:r>
          </w:p>
        </w:tc>
        <w:tc>
          <w:tcPr>
            <w:tcW w:w="1338"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918" w:type="dxa"/>
          </w:tcPr>
          <w:p w:rsidR="005171F5" w:rsidRPr="00FE68B7" w:rsidRDefault="005171F5" w:rsidP="004D2BFF">
            <w:pPr>
              <w:rPr>
                <w:rFonts w:eastAsia="Calibri"/>
                <w:sz w:val="22"/>
                <w:szCs w:val="22"/>
              </w:rPr>
            </w:pPr>
            <w:r w:rsidRPr="00FE68B7">
              <w:rPr>
                <w:rFonts w:eastAsia="Calibri"/>
                <w:sz w:val="22"/>
                <w:szCs w:val="22"/>
              </w:rPr>
              <w:t>1</w:t>
            </w:r>
            <w:r w:rsidR="00B36150" w:rsidRPr="00FE68B7">
              <w:rPr>
                <w:rFonts w:eastAsia="Calibri"/>
                <w:sz w:val="22"/>
                <w:szCs w:val="22"/>
              </w:rPr>
              <w:t>1</w:t>
            </w:r>
          </w:p>
        </w:tc>
        <w:tc>
          <w:tcPr>
            <w:tcW w:w="2070" w:type="dxa"/>
          </w:tcPr>
          <w:p w:rsidR="005171F5" w:rsidRPr="00FE68B7" w:rsidRDefault="005171F5" w:rsidP="004D2BFF">
            <w:pPr>
              <w:rPr>
                <w:rFonts w:eastAsia="Calibri"/>
                <w:sz w:val="22"/>
                <w:szCs w:val="22"/>
              </w:rPr>
            </w:pPr>
            <w:r w:rsidRPr="00FE68B7">
              <w:rPr>
                <w:rFonts w:eastAsia="Calibri"/>
                <w:sz w:val="22"/>
                <w:szCs w:val="22"/>
              </w:rPr>
              <w:t>Camfferman and Cooke</w:t>
            </w:r>
            <w:r w:rsidR="006365B5" w:rsidRPr="00FE68B7">
              <w:rPr>
                <w:rFonts w:eastAsia="Calibri"/>
                <w:sz w:val="22"/>
                <w:szCs w:val="22"/>
              </w:rPr>
              <w:t xml:space="preserve"> </w:t>
            </w:r>
            <w:r w:rsidRPr="00FE68B7">
              <w:rPr>
                <w:rFonts w:eastAsia="Calibri"/>
                <w:sz w:val="22"/>
                <w:szCs w:val="22"/>
              </w:rPr>
              <w:t>(2002)</w:t>
            </w:r>
          </w:p>
        </w:tc>
        <w:tc>
          <w:tcPr>
            <w:tcW w:w="1969" w:type="dxa"/>
          </w:tcPr>
          <w:p w:rsidR="005171F5" w:rsidRPr="00FE68B7" w:rsidRDefault="005171F5" w:rsidP="004D2BFF">
            <w:pPr>
              <w:rPr>
                <w:rFonts w:eastAsia="Calibri"/>
                <w:sz w:val="22"/>
                <w:szCs w:val="22"/>
              </w:rPr>
            </w:pPr>
            <w:r w:rsidRPr="00FE68B7">
              <w:rPr>
                <w:rFonts w:eastAsia="Calibri"/>
                <w:sz w:val="22"/>
                <w:szCs w:val="22"/>
              </w:rPr>
              <w:t>Debt to common equity</w:t>
            </w:r>
          </w:p>
        </w:tc>
        <w:tc>
          <w:tcPr>
            <w:tcW w:w="1338" w:type="dxa"/>
          </w:tcPr>
          <w:p w:rsidR="005171F5" w:rsidRPr="00FE68B7" w:rsidRDefault="005171F5" w:rsidP="004D2BFF">
            <w:pPr>
              <w:jc w:val="center"/>
              <w:rPr>
                <w:rFonts w:eastAsia="Calibri"/>
                <w:sz w:val="22"/>
                <w:szCs w:val="22"/>
              </w:rPr>
            </w:pPr>
            <w:r w:rsidRPr="00FE68B7">
              <w:rPr>
                <w:rFonts w:eastAsia="Calibri"/>
                <w:sz w:val="22"/>
                <w:szCs w:val="22"/>
              </w:rPr>
              <w:t>+ for 1</w:t>
            </w:r>
            <w:r w:rsidRPr="00FE68B7">
              <w:rPr>
                <w:rFonts w:eastAsia="Calibri"/>
                <w:sz w:val="22"/>
                <w:szCs w:val="22"/>
                <w:vertAlign w:val="superscript"/>
              </w:rPr>
              <w:t>st</w:t>
            </w:r>
            <w:r w:rsidRPr="00FE68B7">
              <w:rPr>
                <w:rFonts w:eastAsia="Calibri"/>
                <w:sz w:val="22"/>
                <w:szCs w:val="22"/>
              </w:rPr>
              <w:t xml:space="preserve"> category and – for 2</w:t>
            </w:r>
            <w:r w:rsidRPr="00FE68B7">
              <w:rPr>
                <w:rFonts w:eastAsia="Calibri"/>
                <w:sz w:val="22"/>
                <w:szCs w:val="22"/>
                <w:vertAlign w:val="superscript"/>
              </w:rPr>
              <w:t>nd</w:t>
            </w:r>
            <w:r w:rsidRPr="00FE68B7">
              <w:rPr>
                <w:rFonts w:eastAsia="Calibri"/>
                <w:sz w:val="22"/>
                <w:szCs w:val="22"/>
              </w:rPr>
              <w:t xml:space="preserve"> category</w:t>
            </w:r>
          </w:p>
        </w:tc>
        <w:tc>
          <w:tcPr>
            <w:tcW w:w="2230" w:type="dxa"/>
          </w:tcPr>
          <w:p w:rsidR="005171F5" w:rsidRPr="00FE68B7" w:rsidRDefault="005171F5" w:rsidP="004D2BFF">
            <w:pPr>
              <w:rPr>
                <w:rFonts w:eastAsia="Calibri"/>
                <w:sz w:val="22"/>
                <w:szCs w:val="22"/>
              </w:rPr>
            </w:pPr>
            <w:r w:rsidRPr="00FE68B7">
              <w:rPr>
                <w:rFonts w:eastAsia="Calibri"/>
                <w:sz w:val="22"/>
                <w:szCs w:val="22"/>
              </w:rPr>
              <w:t>Sig for 1 category and Nsig for 1 category</w:t>
            </w:r>
          </w:p>
        </w:tc>
      </w:tr>
      <w:tr w:rsidR="005171F5" w:rsidRPr="00FE68B7" w:rsidTr="00FE68B7">
        <w:tc>
          <w:tcPr>
            <w:tcW w:w="918" w:type="dxa"/>
          </w:tcPr>
          <w:p w:rsidR="005171F5" w:rsidRPr="00FE68B7" w:rsidRDefault="005171F5" w:rsidP="004D2BFF">
            <w:pPr>
              <w:tabs>
                <w:tab w:val="left" w:pos="7320"/>
              </w:tabs>
              <w:rPr>
                <w:rFonts w:eastAsia="Calibri"/>
                <w:sz w:val="22"/>
                <w:szCs w:val="22"/>
              </w:rPr>
            </w:pPr>
            <w:r w:rsidRPr="00FE68B7">
              <w:rPr>
                <w:rFonts w:eastAsia="Calibri"/>
                <w:sz w:val="22"/>
                <w:szCs w:val="22"/>
              </w:rPr>
              <w:t>1</w:t>
            </w:r>
            <w:r w:rsidR="006365B5" w:rsidRPr="00FE68B7">
              <w:rPr>
                <w:rFonts w:eastAsia="Calibri"/>
                <w:sz w:val="22"/>
                <w:szCs w:val="22"/>
              </w:rPr>
              <w:t>2</w:t>
            </w:r>
          </w:p>
        </w:tc>
        <w:tc>
          <w:tcPr>
            <w:tcW w:w="2070" w:type="dxa"/>
          </w:tcPr>
          <w:p w:rsidR="005171F5" w:rsidRPr="00FE68B7" w:rsidRDefault="005171F5" w:rsidP="004D2BFF">
            <w:pPr>
              <w:tabs>
                <w:tab w:val="left" w:pos="7320"/>
              </w:tabs>
              <w:rPr>
                <w:rFonts w:eastAsia="Calibri"/>
                <w:sz w:val="22"/>
                <w:szCs w:val="22"/>
              </w:rPr>
            </w:pPr>
            <w:r w:rsidRPr="00FE68B7">
              <w:rPr>
                <w:rFonts w:eastAsia="Calibri"/>
                <w:sz w:val="22"/>
                <w:szCs w:val="22"/>
              </w:rPr>
              <w:t>Ferguson, Lam and Lee(2002)</w:t>
            </w:r>
          </w:p>
        </w:tc>
        <w:tc>
          <w:tcPr>
            <w:tcW w:w="1969" w:type="dxa"/>
          </w:tcPr>
          <w:p w:rsidR="005171F5" w:rsidRPr="00FE68B7" w:rsidRDefault="005171F5" w:rsidP="004D2BFF">
            <w:pPr>
              <w:rPr>
                <w:rFonts w:eastAsia="Calibri"/>
                <w:sz w:val="22"/>
                <w:szCs w:val="22"/>
              </w:rPr>
            </w:pPr>
            <w:r w:rsidRPr="00FE68B7">
              <w:rPr>
                <w:rFonts w:eastAsia="Calibri"/>
                <w:sz w:val="22"/>
                <w:szCs w:val="22"/>
              </w:rPr>
              <w:t>Long term liability to book value of shareholders’ equity</w:t>
            </w:r>
          </w:p>
        </w:tc>
        <w:tc>
          <w:tcPr>
            <w:tcW w:w="1338"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Sig(only for financial information)</w:t>
            </w:r>
          </w:p>
        </w:tc>
      </w:tr>
      <w:tr w:rsidR="005171F5" w:rsidRPr="00FE68B7" w:rsidTr="00FE68B7">
        <w:tc>
          <w:tcPr>
            <w:tcW w:w="918" w:type="dxa"/>
          </w:tcPr>
          <w:p w:rsidR="005171F5" w:rsidRPr="00FE68B7" w:rsidRDefault="005171F5" w:rsidP="004D2BFF">
            <w:pPr>
              <w:rPr>
                <w:rFonts w:eastAsia="Calibri"/>
                <w:sz w:val="22"/>
                <w:szCs w:val="22"/>
              </w:rPr>
            </w:pPr>
            <w:r w:rsidRPr="00FE68B7">
              <w:rPr>
                <w:rFonts w:eastAsia="Calibri"/>
                <w:sz w:val="22"/>
                <w:szCs w:val="22"/>
              </w:rPr>
              <w:t>1</w:t>
            </w:r>
            <w:r w:rsidR="006365B5" w:rsidRPr="00FE68B7">
              <w:rPr>
                <w:rFonts w:eastAsia="Calibri"/>
                <w:sz w:val="22"/>
                <w:szCs w:val="22"/>
              </w:rPr>
              <w:t>3</w:t>
            </w:r>
          </w:p>
        </w:tc>
        <w:tc>
          <w:tcPr>
            <w:tcW w:w="2070" w:type="dxa"/>
          </w:tcPr>
          <w:p w:rsidR="005171F5" w:rsidRPr="00FE68B7" w:rsidRDefault="005171F5" w:rsidP="004D2BFF">
            <w:pPr>
              <w:rPr>
                <w:rFonts w:eastAsia="Calibri"/>
                <w:sz w:val="22"/>
                <w:szCs w:val="22"/>
              </w:rPr>
            </w:pPr>
            <w:r w:rsidRPr="00FE68B7">
              <w:rPr>
                <w:rFonts w:eastAsia="Calibri"/>
                <w:sz w:val="22"/>
                <w:szCs w:val="22"/>
              </w:rPr>
              <w:t>Naser et al</w:t>
            </w:r>
            <w:r w:rsidR="006365B5" w:rsidRPr="00FE68B7">
              <w:rPr>
                <w:rFonts w:eastAsia="Calibri"/>
                <w:sz w:val="22"/>
                <w:szCs w:val="22"/>
              </w:rPr>
              <w:t xml:space="preserve">. </w:t>
            </w:r>
            <w:r w:rsidRPr="00FE68B7">
              <w:rPr>
                <w:rFonts w:eastAsia="Calibri"/>
                <w:sz w:val="22"/>
                <w:szCs w:val="22"/>
              </w:rPr>
              <w:t>(2002)</w:t>
            </w:r>
          </w:p>
        </w:tc>
        <w:tc>
          <w:tcPr>
            <w:tcW w:w="1969" w:type="dxa"/>
          </w:tcPr>
          <w:p w:rsidR="005171F5" w:rsidRPr="00FE68B7" w:rsidRDefault="005171F5" w:rsidP="004D2BFF">
            <w:pPr>
              <w:rPr>
                <w:rFonts w:eastAsia="Calibri"/>
                <w:sz w:val="22"/>
                <w:szCs w:val="22"/>
              </w:rPr>
            </w:pPr>
            <w:r w:rsidRPr="00FE68B7">
              <w:rPr>
                <w:rFonts w:eastAsia="Calibri"/>
                <w:sz w:val="22"/>
                <w:szCs w:val="22"/>
              </w:rPr>
              <w:t>Equity ratio</w:t>
            </w:r>
          </w:p>
        </w:tc>
        <w:tc>
          <w:tcPr>
            <w:tcW w:w="1338"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918" w:type="dxa"/>
          </w:tcPr>
          <w:p w:rsidR="005171F5" w:rsidRPr="00FE68B7" w:rsidRDefault="00B36150" w:rsidP="004D2BFF">
            <w:pPr>
              <w:rPr>
                <w:rFonts w:eastAsia="Calibri"/>
                <w:sz w:val="22"/>
                <w:szCs w:val="22"/>
              </w:rPr>
            </w:pPr>
            <w:r w:rsidRPr="00FE68B7">
              <w:rPr>
                <w:rFonts w:eastAsia="Calibri"/>
                <w:sz w:val="22"/>
                <w:szCs w:val="22"/>
              </w:rPr>
              <w:t>1</w:t>
            </w:r>
            <w:r w:rsidR="006365B5" w:rsidRPr="00FE68B7">
              <w:rPr>
                <w:rFonts w:eastAsia="Calibri"/>
                <w:sz w:val="22"/>
                <w:szCs w:val="22"/>
              </w:rPr>
              <w:t>4</w:t>
            </w:r>
          </w:p>
        </w:tc>
        <w:tc>
          <w:tcPr>
            <w:tcW w:w="2070" w:type="dxa"/>
          </w:tcPr>
          <w:p w:rsidR="005171F5" w:rsidRPr="00FE68B7" w:rsidRDefault="005171F5" w:rsidP="004D2BFF">
            <w:pPr>
              <w:tabs>
                <w:tab w:val="left" w:pos="7320"/>
              </w:tabs>
              <w:rPr>
                <w:rFonts w:eastAsia="Calibri"/>
                <w:sz w:val="22"/>
                <w:szCs w:val="22"/>
              </w:rPr>
            </w:pPr>
            <w:r w:rsidRPr="00FE68B7">
              <w:rPr>
                <w:rFonts w:eastAsia="Calibri"/>
                <w:sz w:val="22"/>
                <w:szCs w:val="22"/>
              </w:rPr>
              <w:t>Eng and Mak</w:t>
            </w:r>
            <w:r w:rsidR="006365B5" w:rsidRPr="00FE68B7">
              <w:rPr>
                <w:rFonts w:eastAsia="Calibri"/>
                <w:sz w:val="22"/>
                <w:szCs w:val="22"/>
              </w:rPr>
              <w:t xml:space="preserve"> </w:t>
            </w:r>
            <w:r w:rsidRPr="00FE68B7">
              <w:rPr>
                <w:rFonts w:eastAsia="Calibri"/>
                <w:sz w:val="22"/>
                <w:szCs w:val="22"/>
              </w:rPr>
              <w:t>(2003)</w:t>
            </w:r>
          </w:p>
        </w:tc>
        <w:tc>
          <w:tcPr>
            <w:tcW w:w="1969" w:type="dxa"/>
          </w:tcPr>
          <w:p w:rsidR="005171F5" w:rsidRPr="00FE68B7" w:rsidRDefault="005171F5" w:rsidP="004D2BFF">
            <w:pPr>
              <w:rPr>
                <w:rFonts w:eastAsia="Calibri"/>
                <w:sz w:val="22"/>
                <w:szCs w:val="22"/>
              </w:rPr>
            </w:pPr>
            <w:r w:rsidRPr="00FE68B7">
              <w:rPr>
                <w:rFonts w:eastAsia="Calibri"/>
                <w:sz w:val="22"/>
                <w:szCs w:val="22"/>
              </w:rPr>
              <w:t>Debt ratio</w:t>
            </w:r>
          </w:p>
        </w:tc>
        <w:tc>
          <w:tcPr>
            <w:tcW w:w="1338"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918" w:type="dxa"/>
          </w:tcPr>
          <w:p w:rsidR="005171F5" w:rsidRPr="00FE68B7" w:rsidRDefault="005171F5" w:rsidP="004D2BFF">
            <w:pPr>
              <w:rPr>
                <w:rFonts w:eastAsia="Calibri"/>
                <w:sz w:val="22"/>
                <w:szCs w:val="22"/>
              </w:rPr>
            </w:pPr>
            <w:r w:rsidRPr="00FE68B7">
              <w:rPr>
                <w:rFonts w:eastAsia="Calibri"/>
                <w:sz w:val="22"/>
                <w:szCs w:val="22"/>
              </w:rPr>
              <w:t>1</w:t>
            </w:r>
            <w:r w:rsidR="006365B5" w:rsidRPr="00FE68B7">
              <w:rPr>
                <w:rFonts w:eastAsia="Calibri"/>
                <w:sz w:val="22"/>
                <w:szCs w:val="22"/>
              </w:rPr>
              <w:t>5</w:t>
            </w:r>
          </w:p>
        </w:tc>
        <w:tc>
          <w:tcPr>
            <w:tcW w:w="2070" w:type="dxa"/>
          </w:tcPr>
          <w:p w:rsidR="005171F5" w:rsidRPr="00FE68B7" w:rsidRDefault="005171F5" w:rsidP="004D2BFF">
            <w:pPr>
              <w:rPr>
                <w:rFonts w:eastAsia="Calibri"/>
                <w:sz w:val="22"/>
                <w:szCs w:val="22"/>
              </w:rPr>
            </w:pPr>
            <w:r w:rsidRPr="00FE68B7">
              <w:rPr>
                <w:rFonts w:eastAsia="Calibri"/>
                <w:sz w:val="22"/>
                <w:szCs w:val="22"/>
              </w:rPr>
              <w:t>Ali et al(2004)</w:t>
            </w:r>
          </w:p>
        </w:tc>
        <w:tc>
          <w:tcPr>
            <w:tcW w:w="1969" w:type="dxa"/>
          </w:tcPr>
          <w:p w:rsidR="005171F5" w:rsidRPr="00FE68B7" w:rsidRDefault="005171F5" w:rsidP="004D2BFF">
            <w:pPr>
              <w:rPr>
                <w:rFonts w:eastAsia="Calibri"/>
                <w:sz w:val="22"/>
                <w:szCs w:val="22"/>
              </w:rPr>
            </w:pPr>
            <w:r w:rsidRPr="00FE68B7">
              <w:rPr>
                <w:rFonts w:eastAsia="Calibri"/>
                <w:sz w:val="22"/>
                <w:szCs w:val="22"/>
              </w:rPr>
              <w:t xml:space="preserve">Total debt to total tangible asset </w:t>
            </w:r>
          </w:p>
          <w:p w:rsidR="005171F5" w:rsidRPr="00FE68B7" w:rsidRDefault="005171F5" w:rsidP="004D2BFF">
            <w:pPr>
              <w:rPr>
                <w:rFonts w:eastAsia="Calibri"/>
                <w:sz w:val="22"/>
                <w:szCs w:val="22"/>
              </w:rPr>
            </w:pPr>
          </w:p>
        </w:tc>
        <w:tc>
          <w:tcPr>
            <w:tcW w:w="1338"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FE68B7">
        <w:tc>
          <w:tcPr>
            <w:tcW w:w="918" w:type="dxa"/>
          </w:tcPr>
          <w:p w:rsidR="005171F5" w:rsidRPr="00FE68B7" w:rsidRDefault="00B36150" w:rsidP="004D2BFF">
            <w:pPr>
              <w:rPr>
                <w:rFonts w:eastAsia="Calibri"/>
                <w:sz w:val="22"/>
                <w:szCs w:val="22"/>
              </w:rPr>
            </w:pPr>
            <w:r w:rsidRPr="00FE68B7">
              <w:rPr>
                <w:rFonts w:eastAsia="Calibri"/>
                <w:sz w:val="22"/>
                <w:szCs w:val="22"/>
              </w:rPr>
              <w:t>1</w:t>
            </w:r>
            <w:r w:rsidR="006365B5" w:rsidRPr="00FE68B7">
              <w:rPr>
                <w:rFonts w:eastAsia="Calibri"/>
                <w:sz w:val="22"/>
                <w:szCs w:val="22"/>
              </w:rPr>
              <w:t>6</w:t>
            </w:r>
          </w:p>
        </w:tc>
        <w:tc>
          <w:tcPr>
            <w:tcW w:w="2070" w:type="dxa"/>
          </w:tcPr>
          <w:p w:rsidR="005171F5" w:rsidRPr="00FE68B7" w:rsidRDefault="005171F5" w:rsidP="004D2BFF">
            <w:pPr>
              <w:rPr>
                <w:rFonts w:eastAsia="Calibri"/>
                <w:sz w:val="22"/>
                <w:szCs w:val="22"/>
              </w:rPr>
            </w:pPr>
            <w:r w:rsidRPr="00FE68B7">
              <w:rPr>
                <w:sz w:val="22"/>
                <w:szCs w:val="22"/>
              </w:rPr>
              <w:t>Prencipe</w:t>
            </w:r>
            <w:r w:rsidR="006365B5" w:rsidRPr="00FE68B7">
              <w:rPr>
                <w:sz w:val="22"/>
                <w:szCs w:val="22"/>
              </w:rPr>
              <w:t xml:space="preserve"> </w:t>
            </w:r>
            <w:r w:rsidRPr="00FE68B7">
              <w:rPr>
                <w:sz w:val="22"/>
                <w:szCs w:val="22"/>
              </w:rPr>
              <w:t>(2004)</w:t>
            </w:r>
          </w:p>
        </w:tc>
        <w:tc>
          <w:tcPr>
            <w:tcW w:w="1969" w:type="dxa"/>
          </w:tcPr>
          <w:p w:rsidR="005171F5" w:rsidRPr="00FE68B7" w:rsidRDefault="005171F5" w:rsidP="004D2BFF">
            <w:pPr>
              <w:rPr>
                <w:rFonts w:eastAsia="Calibri"/>
                <w:sz w:val="22"/>
                <w:szCs w:val="22"/>
              </w:rPr>
            </w:pPr>
            <w:r w:rsidRPr="00FE68B7">
              <w:rPr>
                <w:rFonts w:eastAsia="Calibri"/>
                <w:sz w:val="22"/>
                <w:szCs w:val="22"/>
              </w:rPr>
              <w:t>Financial liabilities/ total assets</w:t>
            </w:r>
          </w:p>
        </w:tc>
        <w:tc>
          <w:tcPr>
            <w:tcW w:w="1338"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918" w:type="dxa"/>
          </w:tcPr>
          <w:p w:rsidR="005171F5" w:rsidRPr="00FE68B7" w:rsidRDefault="005171F5" w:rsidP="004D2BFF">
            <w:pPr>
              <w:rPr>
                <w:rFonts w:eastAsia="Calibri"/>
                <w:sz w:val="22"/>
                <w:szCs w:val="22"/>
              </w:rPr>
            </w:pPr>
            <w:r w:rsidRPr="00FE68B7">
              <w:rPr>
                <w:rFonts w:eastAsia="Calibri"/>
                <w:sz w:val="22"/>
                <w:szCs w:val="22"/>
              </w:rPr>
              <w:t>1</w:t>
            </w:r>
            <w:r w:rsidR="006365B5" w:rsidRPr="00FE68B7">
              <w:rPr>
                <w:rFonts w:eastAsia="Calibri"/>
                <w:sz w:val="22"/>
                <w:szCs w:val="22"/>
              </w:rPr>
              <w:t>7</w:t>
            </w:r>
          </w:p>
        </w:tc>
        <w:tc>
          <w:tcPr>
            <w:tcW w:w="2070" w:type="dxa"/>
          </w:tcPr>
          <w:p w:rsidR="005171F5" w:rsidRPr="00FE68B7" w:rsidRDefault="005171F5" w:rsidP="004D2BFF">
            <w:pPr>
              <w:rPr>
                <w:rFonts w:eastAsia="Calibri"/>
                <w:sz w:val="22"/>
                <w:szCs w:val="22"/>
              </w:rPr>
            </w:pPr>
            <w:r w:rsidRPr="00FE68B7">
              <w:rPr>
                <w:rFonts w:eastAsia="Calibri"/>
                <w:sz w:val="22"/>
                <w:szCs w:val="22"/>
              </w:rPr>
              <w:t>Al-Shammari</w:t>
            </w:r>
            <w:r w:rsidR="006365B5" w:rsidRPr="00FE68B7">
              <w:rPr>
                <w:rFonts w:eastAsia="Calibri"/>
                <w:sz w:val="22"/>
                <w:szCs w:val="22"/>
              </w:rPr>
              <w:t xml:space="preserve"> </w:t>
            </w:r>
            <w:r w:rsidRPr="00FE68B7">
              <w:rPr>
                <w:rFonts w:eastAsia="Calibri"/>
                <w:sz w:val="22"/>
                <w:szCs w:val="22"/>
              </w:rPr>
              <w:t>(2005)</w:t>
            </w:r>
          </w:p>
        </w:tc>
        <w:tc>
          <w:tcPr>
            <w:tcW w:w="1969" w:type="dxa"/>
          </w:tcPr>
          <w:p w:rsidR="005171F5" w:rsidRPr="00FE68B7" w:rsidRDefault="005171F5" w:rsidP="004D2BFF">
            <w:pPr>
              <w:rPr>
                <w:rFonts w:eastAsia="Calibri"/>
                <w:sz w:val="22"/>
                <w:szCs w:val="22"/>
              </w:rPr>
            </w:pPr>
            <w:r w:rsidRPr="00FE68B7">
              <w:rPr>
                <w:rFonts w:eastAsia="Calibri"/>
                <w:sz w:val="22"/>
                <w:szCs w:val="22"/>
              </w:rPr>
              <w:t>Book value of debt/(Mkt value of equity + book value of debt)</w:t>
            </w:r>
          </w:p>
        </w:tc>
        <w:tc>
          <w:tcPr>
            <w:tcW w:w="1338"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FE68B7">
        <w:tc>
          <w:tcPr>
            <w:tcW w:w="918" w:type="dxa"/>
          </w:tcPr>
          <w:p w:rsidR="005171F5" w:rsidRPr="00FE68B7" w:rsidRDefault="005171F5" w:rsidP="004D2BFF">
            <w:pPr>
              <w:rPr>
                <w:rFonts w:eastAsia="Calibri"/>
                <w:sz w:val="22"/>
                <w:szCs w:val="22"/>
              </w:rPr>
            </w:pPr>
            <w:r w:rsidRPr="00FE68B7">
              <w:rPr>
                <w:rFonts w:eastAsia="Calibri"/>
                <w:sz w:val="22"/>
                <w:szCs w:val="22"/>
              </w:rPr>
              <w:t>1</w:t>
            </w:r>
            <w:r w:rsidR="006365B5" w:rsidRPr="00FE68B7">
              <w:rPr>
                <w:rFonts w:eastAsia="Calibri"/>
                <w:sz w:val="22"/>
                <w:szCs w:val="22"/>
              </w:rPr>
              <w:t>8</w:t>
            </w:r>
          </w:p>
        </w:tc>
        <w:tc>
          <w:tcPr>
            <w:tcW w:w="2070" w:type="dxa"/>
          </w:tcPr>
          <w:p w:rsidR="005171F5" w:rsidRPr="00FE68B7" w:rsidRDefault="005171F5" w:rsidP="004D2BFF">
            <w:pPr>
              <w:rPr>
                <w:rFonts w:eastAsia="Calibri"/>
                <w:sz w:val="22"/>
                <w:szCs w:val="22"/>
              </w:rPr>
            </w:pPr>
            <w:r w:rsidRPr="00FE68B7">
              <w:rPr>
                <w:rFonts w:eastAsia="Calibri"/>
                <w:sz w:val="22"/>
                <w:szCs w:val="22"/>
              </w:rPr>
              <w:t>Barako</w:t>
            </w:r>
            <w:r w:rsidR="006365B5" w:rsidRPr="00FE68B7">
              <w:rPr>
                <w:rFonts w:eastAsia="Calibri"/>
                <w:sz w:val="22"/>
                <w:szCs w:val="22"/>
              </w:rPr>
              <w:t xml:space="preserve"> </w:t>
            </w:r>
            <w:r w:rsidRPr="00FE68B7">
              <w:rPr>
                <w:rFonts w:eastAsia="Calibri"/>
                <w:sz w:val="22"/>
                <w:szCs w:val="22"/>
              </w:rPr>
              <w:t>(2007)</w:t>
            </w:r>
          </w:p>
        </w:tc>
        <w:tc>
          <w:tcPr>
            <w:tcW w:w="1969" w:type="dxa"/>
          </w:tcPr>
          <w:p w:rsidR="005171F5" w:rsidRPr="00FE68B7" w:rsidRDefault="005171F5" w:rsidP="004D2BFF">
            <w:pPr>
              <w:rPr>
                <w:rFonts w:eastAsia="Calibri"/>
                <w:sz w:val="22"/>
                <w:szCs w:val="22"/>
              </w:rPr>
            </w:pPr>
            <w:r w:rsidRPr="00FE68B7">
              <w:rPr>
                <w:rFonts w:eastAsia="Calibri"/>
                <w:sz w:val="22"/>
                <w:szCs w:val="22"/>
              </w:rPr>
              <w:t>Debt ratio :Total debt to Total Asset</w:t>
            </w:r>
          </w:p>
        </w:tc>
        <w:tc>
          <w:tcPr>
            <w:tcW w:w="1338" w:type="dxa"/>
          </w:tcPr>
          <w:p w:rsidR="005171F5" w:rsidRPr="00FE68B7" w:rsidRDefault="005171F5" w:rsidP="004D2BFF">
            <w:pPr>
              <w:rPr>
                <w:rFonts w:eastAsia="Calibri"/>
                <w:sz w:val="22"/>
                <w:szCs w:val="22"/>
              </w:rPr>
            </w:pPr>
            <w:r w:rsidRPr="00FE68B7">
              <w:rPr>
                <w:rFonts w:eastAsia="Calibri"/>
                <w:sz w:val="22"/>
                <w:szCs w:val="22"/>
              </w:rPr>
              <w:t>+ for 3 categories, - for 1 category</w:t>
            </w:r>
          </w:p>
        </w:tc>
        <w:tc>
          <w:tcPr>
            <w:tcW w:w="2230" w:type="dxa"/>
          </w:tcPr>
          <w:p w:rsidR="005171F5" w:rsidRPr="00FE68B7" w:rsidRDefault="005171F5" w:rsidP="004D2BFF">
            <w:pPr>
              <w:rPr>
                <w:rFonts w:eastAsia="Calibri"/>
                <w:sz w:val="22"/>
                <w:szCs w:val="22"/>
              </w:rPr>
            </w:pPr>
            <w:r w:rsidRPr="00FE68B7">
              <w:rPr>
                <w:rFonts w:eastAsia="Calibri"/>
                <w:sz w:val="22"/>
                <w:szCs w:val="22"/>
              </w:rPr>
              <w:t>Sig for 1 category, Nsig for 3 categories</w:t>
            </w:r>
          </w:p>
        </w:tc>
      </w:tr>
    </w:tbl>
    <w:p w:rsidR="005171F5" w:rsidRPr="00FE68B7" w:rsidRDefault="005171F5" w:rsidP="005171F5">
      <w:pPr>
        <w:jc w:val="center"/>
        <w:rPr>
          <w:b/>
          <w:sz w:val="22"/>
          <w:szCs w:val="22"/>
        </w:rPr>
      </w:pPr>
    </w:p>
    <w:p w:rsidR="005171F5" w:rsidRPr="00FE68B7" w:rsidRDefault="005171F5" w:rsidP="005171F5">
      <w:pPr>
        <w:jc w:val="center"/>
        <w:rPr>
          <w:b/>
          <w:sz w:val="22"/>
          <w:szCs w:val="22"/>
        </w:rPr>
      </w:pPr>
      <w:r w:rsidRPr="00FE68B7">
        <w:rPr>
          <w:b/>
          <w:sz w:val="22"/>
          <w:szCs w:val="22"/>
        </w:rPr>
        <w:t>Source: Compiled from the literature reviewed by the researcher (2009)</w:t>
      </w:r>
    </w:p>
    <w:p w:rsidR="005171F5" w:rsidRPr="008573C5" w:rsidRDefault="005171F5" w:rsidP="005171F5">
      <w:pPr>
        <w:jc w:val="center"/>
        <w:rPr>
          <w:sz w:val="20"/>
          <w:szCs w:val="20"/>
        </w:rPr>
      </w:pPr>
    </w:p>
    <w:p w:rsidR="005171F5" w:rsidRPr="008573C5" w:rsidRDefault="005171F5" w:rsidP="005171F5">
      <w:pPr>
        <w:jc w:val="center"/>
        <w:rPr>
          <w:b/>
          <w:sz w:val="28"/>
          <w:szCs w:val="28"/>
        </w:rPr>
      </w:pPr>
      <w:r w:rsidRPr="008573C5">
        <w:rPr>
          <w:b/>
          <w:sz w:val="28"/>
          <w:szCs w:val="28"/>
        </w:rPr>
        <w:t>Table 2.05</w:t>
      </w:r>
    </w:p>
    <w:p w:rsidR="005171F5" w:rsidRPr="008573C5" w:rsidRDefault="005171F5" w:rsidP="005171F5">
      <w:pPr>
        <w:jc w:val="center"/>
        <w:rPr>
          <w:sz w:val="28"/>
          <w:szCs w:val="28"/>
        </w:rPr>
      </w:pPr>
      <w:r w:rsidRPr="008573C5">
        <w:rPr>
          <w:b/>
          <w:sz w:val="28"/>
          <w:szCs w:val="28"/>
        </w:rPr>
        <w:t>Summary of Studies Investigating the Association between Level of Disclosure and Company Listing Age</w:t>
      </w:r>
      <w:r w:rsidRPr="008573C5">
        <w:rPr>
          <w:sz w:val="28"/>
          <w:szCs w:val="28"/>
        </w:rPr>
        <w:t xml:space="preserve"> </w:t>
      </w:r>
    </w:p>
    <w:p w:rsidR="005171F5" w:rsidRPr="008573C5" w:rsidRDefault="005171F5" w:rsidP="005171F5">
      <w:pPr>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5"/>
        <w:gridCol w:w="1976"/>
        <w:gridCol w:w="1923"/>
        <w:gridCol w:w="1151"/>
        <w:gridCol w:w="2230"/>
      </w:tblGrid>
      <w:tr w:rsidR="005171F5" w:rsidRPr="00FE68B7" w:rsidTr="004D2BFF">
        <w:tc>
          <w:tcPr>
            <w:tcW w:w="1245" w:type="dxa"/>
          </w:tcPr>
          <w:p w:rsidR="005171F5" w:rsidRPr="00FE68B7" w:rsidRDefault="005171F5" w:rsidP="004D2BFF">
            <w:pPr>
              <w:rPr>
                <w:rFonts w:eastAsia="Calibri"/>
                <w:b/>
                <w:sz w:val="22"/>
                <w:szCs w:val="22"/>
              </w:rPr>
            </w:pPr>
            <w:r w:rsidRPr="00FE68B7">
              <w:rPr>
                <w:rFonts w:eastAsia="Calibri"/>
                <w:b/>
                <w:sz w:val="22"/>
                <w:szCs w:val="22"/>
              </w:rPr>
              <w:t>S/N</w:t>
            </w:r>
          </w:p>
        </w:tc>
        <w:tc>
          <w:tcPr>
            <w:tcW w:w="1976" w:type="dxa"/>
          </w:tcPr>
          <w:p w:rsidR="005171F5" w:rsidRPr="00FE68B7" w:rsidRDefault="005171F5" w:rsidP="004D2BFF">
            <w:pPr>
              <w:rPr>
                <w:rFonts w:eastAsia="Calibri"/>
                <w:b/>
                <w:sz w:val="22"/>
                <w:szCs w:val="22"/>
              </w:rPr>
            </w:pPr>
            <w:r w:rsidRPr="00FE68B7">
              <w:rPr>
                <w:rFonts w:eastAsia="Calibri"/>
                <w:b/>
                <w:sz w:val="22"/>
                <w:szCs w:val="22"/>
              </w:rPr>
              <w:t>Author(s)</w:t>
            </w:r>
          </w:p>
        </w:tc>
        <w:tc>
          <w:tcPr>
            <w:tcW w:w="1923" w:type="dxa"/>
          </w:tcPr>
          <w:p w:rsidR="005171F5" w:rsidRPr="00FE68B7" w:rsidRDefault="006365B5" w:rsidP="004D2BFF">
            <w:pPr>
              <w:rPr>
                <w:rFonts w:eastAsia="Calibri"/>
                <w:b/>
                <w:sz w:val="22"/>
                <w:szCs w:val="22"/>
              </w:rPr>
            </w:pPr>
            <w:r w:rsidRPr="00FE68B7">
              <w:rPr>
                <w:rFonts w:eastAsia="Calibri"/>
                <w:b/>
                <w:sz w:val="22"/>
                <w:szCs w:val="22"/>
              </w:rPr>
              <w:t>Proxy</w:t>
            </w:r>
          </w:p>
        </w:tc>
        <w:tc>
          <w:tcPr>
            <w:tcW w:w="1151" w:type="dxa"/>
          </w:tcPr>
          <w:p w:rsidR="005171F5" w:rsidRPr="00FE68B7" w:rsidRDefault="005171F5" w:rsidP="004D2BFF">
            <w:pPr>
              <w:jc w:val="center"/>
              <w:rPr>
                <w:rFonts w:eastAsia="Calibri"/>
                <w:b/>
                <w:sz w:val="22"/>
                <w:szCs w:val="22"/>
              </w:rPr>
            </w:pPr>
            <w:r w:rsidRPr="00FE68B7">
              <w:rPr>
                <w:rFonts w:eastAsia="Calibri"/>
                <w:b/>
                <w:sz w:val="22"/>
                <w:szCs w:val="22"/>
              </w:rPr>
              <w:t>Reported</w:t>
            </w:r>
          </w:p>
          <w:p w:rsidR="005171F5" w:rsidRPr="00FE68B7" w:rsidRDefault="005171F5" w:rsidP="004D2BFF">
            <w:pPr>
              <w:jc w:val="center"/>
              <w:rPr>
                <w:rFonts w:eastAsia="Calibri"/>
                <w:b/>
                <w:sz w:val="22"/>
                <w:szCs w:val="22"/>
              </w:rPr>
            </w:pPr>
            <w:r w:rsidRPr="00FE68B7">
              <w:rPr>
                <w:rFonts w:eastAsia="Calibri"/>
                <w:b/>
                <w:sz w:val="22"/>
                <w:szCs w:val="22"/>
              </w:rPr>
              <w:t>Sign</w:t>
            </w:r>
          </w:p>
        </w:tc>
        <w:tc>
          <w:tcPr>
            <w:tcW w:w="2230" w:type="dxa"/>
          </w:tcPr>
          <w:p w:rsidR="005171F5" w:rsidRPr="00FE68B7" w:rsidRDefault="005171F5" w:rsidP="004D2BFF">
            <w:pPr>
              <w:jc w:val="center"/>
              <w:rPr>
                <w:rFonts w:eastAsia="Calibri"/>
                <w:b/>
                <w:sz w:val="22"/>
                <w:szCs w:val="22"/>
              </w:rPr>
            </w:pPr>
            <w:r w:rsidRPr="00FE68B7">
              <w:rPr>
                <w:rFonts w:eastAsia="Calibri"/>
                <w:b/>
                <w:sz w:val="22"/>
                <w:szCs w:val="22"/>
              </w:rPr>
              <w:t>Significant(Sig)/Non Significant(Nsig)</w:t>
            </w:r>
          </w:p>
        </w:tc>
      </w:tr>
      <w:tr w:rsidR="005171F5" w:rsidRPr="00FE68B7" w:rsidTr="004D2BFF">
        <w:tc>
          <w:tcPr>
            <w:tcW w:w="1245" w:type="dxa"/>
          </w:tcPr>
          <w:p w:rsidR="005171F5" w:rsidRPr="00FE68B7" w:rsidRDefault="005171F5" w:rsidP="004D2BFF">
            <w:pPr>
              <w:rPr>
                <w:rFonts w:eastAsia="Calibri"/>
                <w:sz w:val="22"/>
                <w:szCs w:val="22"/>
              </w:rPr>
            </w:pPr>
            <w:r w:rsidRPr="00FE68B7">
              <w:rPr>
                <w:rFonts w:eastAsia="Calibri"/>
                <w:sz w:val="22"/>
                <w:szCs w:val="22"/>
              </w:rPr>
              <w:t>1</w:t>
            </w:r>
          </w:p>
        </w:tc>
        <w:tc>
          <w:tcPr>
            <w:tcW w:w="1976" w:type="dxa"/>
          </w:tcPr>
          <w:p w:rsidR="005171F5" w:rsidRPr="00FE68B7" w:rsidRDefault="005171F5" w:rsidP="004D2BFF">
            <w:pPr>
              <w:rPr>
                <w:sz w:val="22"/>
                <w:szCs w:val="22"/>
              </w:rPr>
            </w:pPr>
            <w:r w:rsidRPr="00FE68B7">
              <w:rPr>
                <w:sz w:val="22"/>
                <w:szCs w:val="22"/>
              </w:rPr>
              <w:t>Owusu Ansah (1998)</w:t>
            </w:r>
          </w:p>
          <w:p w:rsidR="005171F5" w:rsidRPr="00FE68B7" w:rsidRDefault="005171F5" w:rsidP="004D2BFF">
            <w:pPr>
              <w:rPr>
                <w:rFonts w:eastAsia="Calibri"/>
                <w:sz w:val="22"/>
                <w:szCs w:val="22"/>
              </w:rPr>
            </w:pPr>
          </w:p>
        </w:tc>
        <w:tc>
          <w:tcPr>
            <w:tcW w:w="1923" w:type="dxa"/>
          </w:tcPr>
          <w:p w:rsidR="005171F5" w:rsidRPr="00FE68B7" w:rsidRDefault="005171F5" w:rsidP="004D2BFF">
            <w:pPr>
              <w:autoSpaceDE w:val="0"/>
              <w:autoSpaceDN w:val="0"/>
              <w:adjustRightInd w:val="0"/>
              <w:rPr>
                <w:sz w:val="22"/>
                <w:szCs w:val="22"/>
              </w:rPr>
            </w:pPr>
            <w:r w:rsidRPr="00FE68B7">
              <w:rPr>
                <w:sz w:val="22"/>
                <w:szCs w:val="22"/>
              </w:rPr>
              <w:t>Half-yearly since flotation date</w:t>
            </w:r>
          </w:p>
          <w:p w:rsidR="005171F5" w:rsidRPr="00FE68B7" w:rsidRDefault="005171F5" w:rsidP="004D2BFF">
            <w:pPr>
              <w:rPr>
                <w:rFonts w:eastAsia="Calibri"/>
                <w:sz w:val="22"/>
                <w:szCs w:val="22"/>
              </w:rPr>
            </w:pPr>
            <w:r w:rsidRPr="00FE68B7">
              <w:rPr>
                <w:sz w:val="22"/>
                <w:szCs w:val="22"/>
              </w:rPr>
              <w:t>to December 1994</w:t>
            </w:r>
          </w:p>
        </w:tc>
        <w:tc>
          <w:tcPr>
            <w:tcW w:w="1151"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4D2BFF">
        <w:tc>
          <w:tcPr>
            <w:tcW w:w="1245" w:type="dxa"/>
          </w:tcPr>
          <w:p w:rsidR="005171F5" w:rsidRPr="00FE68B7" w:rsidRDefault="005171F5" w:rsidP="004D2BFF">
            <w:pPr>
              <w:rPr>
                <w:rFonts w:eastAsia="Calibri"/>
                <w:sz w:val="22"/>
                <w:szCs w:val="22"/>
              </w:rPr>
            </w:pPr>
            <w:r w:rsidRPr="00FE68B7">
              <w:rPr>
                <w:rFonts w:eastAsia="Calibri"/>
                <w:sz w:val="22"/>
                <w:szCs w:val="22"/>
              </w:rPr>
              <w:t>2</w:t>
            </w:r>
          </w:p>
        </w:tc>
        <w:tc>
          <w:tcPr>
            <w:tcW w:w="1976" w:type="dxa"/>
          </w:tcPr>
          <w:p w:rsidR="005171F5" w:rsidRPr="00FE68B7" w:rsidRDefault="005171F5" w:rsidP="004D2BFF">
            <w:pPr>
              <w:rPr>
                <w:rFonts w:eastAsia="Calibri"/>
                <w:sz w:val="22"/>
                <w:szCs w:val="22"/>
              </w:rPr>
            </w:pPr>
            <w:r w:rsidRPr="00FE68B7">
              <w:rPr>
                <w:rFonts w:eastAsia="Calibri"/>
                <w:sz w:val="22"/>
                <w:szCs w:val="22"/>
              </w:rPr>
              <w:t>Haniffa and Cooke(2002)</w:t>
            </w:r>
          </w:p>
        </w:tc>
        <w:tc>
          <w:tcPr>
            <w:tcW w:w="1923" w:type="dxa"/>
          </w:tcPr>
          <w:p w:rsidR="005171F5" w:rsidRPr="00FE68B7" w:rsidRDefault="005171F5" w:rsidP="004D2BFF">
            <w:pPr>
              <w:rPr>
                <w:rFonts w:eastAsia="Calibri"/>
                <w:sz w:val="22"/>
                <w:szCs w:val="22"/>
              </w:rPr>
            </w:pPr>
            <w:r w:rsidRPr="00FE68B7">
              <w:rPr>
                <w:rFonts w:eastAsia="Calibri"/>
                <w:sz w:val="22"/>
                <w:szCs w:val="22"/>
              </w:rPr>
              <w:t>Actual length of listing</w:t>
            </w:r>
          </w:p>
        </w:tc>
        <w:tc>
          <w:tcPr>
            <w:tcW w:w="1151" w:type="dxa"/>
          </w:tcPr>
          <w:p w:rsidR="005171F5" w:rsidRPr="00FE68B7" w:rsidRDefault="005171F5" w:rsidP="004D2BFF">
            <w:pPr>
              <w:jc w:val="center"/>
              <w:rPr>
                <w:rFonts w:eastAsia="Calibri"/>
                <w:b/>
                <w:sz w:val="22"/>
                <w:szCs w:val="22"/>
              </w:rPr>
            </w:pPr>
            <w:r w:rsidRPr="00FE68B7">
              <w:rPr>
                <w:rFonts w:eastAsia="Calibri"/>
                <w:b/>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4D2BFF">
        <w:tc>
          <w:tcPr>
            <w:tcW w:w="1245" w:type="dxa"/>
          </w:tcPr>
          <w:p w:rsidR="005171F5" w:rsidRPr="00FE68B7" w:rsidRDefault="005171F5" w:rsidP="004D2BFF">
            <w:pPr>
              <w:rPr>
                <w:rFonts w:eastAsia="Calibri"/>
                <w:sz w:val="22"/>
                <w:szCs w:val="22"/>
              </w:rPr>
            </w:pPr>
            <w:r w:rsidRPr="00FE68B7">
              <w:rPr>
                <w:rFonts w:eastAsia="Calibri"/>
                <w:sz w:val="22"/>
                <w:szCs w:val="22"/>
              </w:rPr>
              <w:t>3</w:t>
            </w:r>
          </w:p>
        </w:tc>
        <w:tc>
          <w:tcPr>
            <w:tcW w:w="1976" w:type="dxa"/>
          </w:tcPr>
          <w:p w:rsidR="005171F5" w:rsidRPr="00FE68B7" w:rsidRDefault="005171F5" w:rsidP="004D2BFF">
            <w:pPr>
              <w:rPr>
                <w:rFonts w:eastAsia="Calibri"/>
                <w:sz w:val="22"/>
                <w:szCs w:val="22"/>
              </w:rPr>
            </w:pPr>
            <w:r w:rsidRPr="00FE68B7">
              <w:rPr>
                <w:rFonts w:eastAsia="Calibri"/>
                <w:sz w:val="22"/>
                <w:szCs w:val="22"/>
              </w:rPr>
              <w:t>Glaum and Street(2003)</w:t>
            </w:r>
          </w:p>
        </w:tc>
        <w:tc>
          <w:tcPr>
            <w:tcW w:w="1923" w:type="dxa"/>
          </w:tcPr>
          <w:p w:rsidR="005171F5" w:rsidRPr="00FE68B7" w:rsidRDefault="005171F5" w:rsidP="004D2BFF">
            <w:pPr>
              <w:rPr>
                <w:rFonts w:eastAsia="Calibri"/>
                <w:sz w:val="22"/>
                <w:szCs w:val="22"/>
              </w:rPr>
            </w:pPr>
            <w:r w:rsidRPr="00FE68B7">
              <w:rPr>
                <w:rFonts w:eastAsia="Calibri"/>
                <w:sz w:val="22"/>
                <w:szCs w:val="22"/>
              </w:rPr>
              <w:t>Number of age from foundation</w:t>
            </w:r>
          </w:p>
        </w:tc>
        <w:tc>
          <w:tcPr>
            <w:tcW w:w="1151" w:type="dxa"/>
          </w:tcPr>
          <w:p w:rsidR="005171F5" w:rsidRPr="00FE68B7" w:rsidRDefault="005171F5" w:rsidP="004D2BFF">
            <w:pPr>
              <w:jc w:val="center"/>
              <w:rPr>
                <w:rFonts w:eastAsia="Calibri"/>
                <w:b/>
                <w:sz w:val="22"/>
                <w:szCs w:val="22"/>
              </w:rPr>
            </w:pPr>
            <w:r w:rsidRPr="00FE68B7">
              <w:rPr>
                <w:rFonts w:eastAsia="Calibri"/>
                <w:b/>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4D2BFF">
        <w:tc>
          <w:tcPr>
            <w:tcW w:w="1245" w:type="dxa"/>
          </w:tcPr>
          <w:p w:rsidR="005171F5" w:rsidRPr="00FE68B7" w:rsidRDefault="005171F5" w:rsidP="004D2BFF">
            <w:pPr>
              <w:rPr>
                <w:rFonts w:eastAsia="Calibri"/>
                <w:sz w:val="22"/>
                <w:szCs w:val="22"/>
              </w:rPr>
            </w:pPr>
            <w:r w:rsidRPr="00FE68B7">
              <w:rPr>
                <w:rFonts w:eastAsia="Calibri"/>
                <w:sz w:val="22"/>
                <w:szCs w:val="22"/>
              </w:rPr>
              <w:t>4</w:t>
            </w:r>
          </w:p>
        </w:tc>
        <w:tc>
          <w:tcPr>
            <w:tcW w:w="1976" w:type="dxa"/>
          </w:tcPr>
          <w:p w:rsidR="005171F5" w:rsidRPr="00FE68B7" w:rsidRDefault="005171F5" w:rsidP="004D2BFF">
            <w:pPr>
              <w:rPr>
                <w:sz w:val="22"/>
                <w:szCs w:val="22"/>
              </w:rPr>
            </w:pPr>
            <w:r w:rsidRPr="00FE68B7">
              <w:rPr>
                <w:sz w:val="22"/>
                <w:szCs w:val="22"/>
              </w:rPr>
              <w:t>Prencipe(2004)</w:t>
            </w:r>
          </w:p>
          <w:p w:rsidR="005171F5" w:rsidRPr="00FE68B7" w:rsidRDefault="005171F5" w:rsidP="004D2BFF">
            <w:pPr>
              <w:rPr>
                <w:rFonts w:eastAsia="Calibri"/>
                <w:sz w:val="22"/>
                <w:szCs w:val="22"/>
              </w:rPr>
            </w:pPr>
          </w:p>
        </w:tc>
        <w:tc>
          <w:tcPr>
            <w:tcW w:w="1923" w:type="dxa"/>
          </w:tcPr>
          <w:p w:rsidR="005171F5" w:rsidRPr="00FE68B7" w:rsidRDefault="005171F5" w:rsidP="004D2BFF">
            <w:pPr>
              <w:autoSpaceDE w:val="0"/>
              <w:autoSpaceDN w:val="0"/>
              <w:adjustRightInd w:val="0"/>
              <w:rPr>
                <w:sz w:val="22"/>
                <w:szCs w:val="22"/>
              </w:rPr>
            </w:pPr>
            <w:r w:rsidRPr="00FE68B7">
              <w:rPr>
                <w:sz w:val="22"/>
                <w:szCs w:val="22"/>
              </w:rPr>
              <w:t>Natural logarithm of the number</w:t>
            </w:r>
          </w:p>
          <w:p w:rsidR="005171F5" w:rsidRPr="00FE68B7" w:rsidRDefault="005171F5" w:rsidP="004D2BFF">
            <w:pPr>
              <w:rPr>
                <w:rFonts w:eastAsia="Calibri"/>
                <w:sz w:val="22"/>
                <w:szCs w:val="22"/>
              </w:rPr>
            </w:pPr>
            <w:r w:rsidRPr="00FE68B7">
              <w:rPr>
                <w:sz w:val="22"/>
                <w:szCs w:val="22"/>
              </w:rPr>
              <w:t>of years since IPO</w:t>
            </w:r>
          </w:p>
        </w:tc>
        <w:tc>
          <w:tcPr>
            <w:tcW w:w="1151"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4D2BFF">
        <w:tc>
          <w:tcPr>
            <w:tcW w:w="1245" w:type="dxa"/>
          </w:tcPr>
          <w:p w:rsidR="005171F5" w:rsidRPr="00FE68B7" w:rsidRDefault="005171F5" w:rsidP="004D2BFF">
            <w:pPr>
              <w:rPr>
                <w:rFonts w:eastAsia="Calibri"/>
                <w:sz w:val="22"/>
                <w:szCs w:val="22"/>
              </w:rPr>
            </w:pPr>
            <w:r w:rsidRPr="00FE68B7">
              <w:rPr>
                <w:rFonts w:eastAsia="Calibri"/>
                <w:sz w:val="22"/>
                <w:szCs w:val="22"/>
              </w:rPr>
              <w:t>5</w:t>
            </w:r>
          </w:p>
        </w:tc>
        <w:tc>
          <w:tcPr>
            <w:tcW w:w="1976" w:type="dxa"/>
          </w:tcPr>
          <w:p w:rsidR="005171F5" w:rsidRPr="00FE68B7" w:rsidRDefault="005171F5" w:rsidP="004D2BFF">
            <w:pPr>
              <w:rPr>
                <w:sz w:val="22"/>
                <w:szCs w:val="22"/>
              </w:rPr>
            </w:pPr>
            <w:r w:rsidRPr="00FE68B7">
              <w:rPr>
                <w:sz w:val="22"/>
                <w:szCs w:val="22"/>
              </w:rPr>
              <w:t>Akhtarudin (2005)</w:t>
            </w:r>
          </w:p>
          <w:p w:rsidR="005171F5" w:rsidRPr="00FE68B7" w:rsidRDefault="005171F5" w:rsidP="004D2BFF">
            <w:pPr>
              <w:rPr>
                <w:rFonts w:eastAsia="Calibri"/>
                <w:sz w:val="22"/>
                <w:szCs w:val="22"/>
              </w:rPr>
            </w:pPr>
          </w:p>
        </w:tc>
        <w:tc>
          <w:tcPr>
            <w:tcW w:w="1923" w:type="dxa"/>
          </w:tcPr>
          <w:p w:rsidR="005171F5" w:rsidRPr="00FE68B7" w:rsidRDefault="005171F5" w:rsidP="004D2BFF">
            <w:pPr>
              <w:rPr>
                <w:rFonts w:eastAsia="Calibri"/>
                <w:sz w:val="22"/>
                <w:szCs w:val="22"/>
              </w:rPr>
            </w:pPr>
            <w:r w:rsidRPr="00FE68B7">
              <w:rPr>
                <w:rFonts w:eastAsia="Calibri"/>
                <w:sz w:val="22"/>
                <w:szCs w:val="22"/>
              </w:rPr>
              <w:t>3 categories, very old, old, and new.</w:t>
            </w:r>
          </w:p>
        </w:tc>
        <w:tc>
          <w:tcPr>
            <w:tcW w:w="1151"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4D2BFF">
        <w:tc>
          <w:tcPr>
            <w:tcW w:w="1245" w:type="dxa"/>
          </w:tcPr>
          <w:p w:rsidR="005171F5" w:rsidRPr="00FE68B7" w:rsidRDefault="005171F5" w:rsidP="004D2BFF">
            <w:pPr>
              <w:rPr>
                <w:rFonts w:eastAsia="Calibri"/>
                <w:sz w:val="22"/>
                <w:szCs w:val="22"/>
              </w:rPr>
            </w:pPr>
            <w:r w:rsidRPr="00FE68B7">
              <w:rPr>
                <w:rFonts w:eastAsia="Calibri"/>
                <w:sz w:val="22"/>
                <w:szCs w:val="22"/>
              </w:rPr>
              <w:t>6</w:t>
            </w:r>
          </w:p>
        </w:tc>
        <w:tc>
          <w:tcPr>
            <w:tcW w:w="1976" w:type="dxa"/>
          </w:tcPr>
          <w:p w:rsidR="005171F5" w:rsidRPr="00FE68B7" w:rsidRDefault="005171F5" w:rsidP="004D2BFF">
            <w:pPr>
              <w:rPr>
                <w:rFonts w:eastAsia="Calibri"/>
                <w:sz w:val="22"/>
                <w:szCs w:val="22"/>
              </w:rPr>
            </w:pPr>
            <w:r w:rsidRPr="00FE68B7">
              <w:rPr>
                <w:rFonts w:eastAsia="Calibri"/>
                <w:sz w:val="22"/>
                <w:szCs w:val="22"/>
              </w:rPr>
              <w:t>Al-Shammari(2005)</w:t>
            </w:r>
          </w:p>
        </w:tc>
        <w:tc>
          <w:tcPr>
            <w:tcW w:w="1923" w:type="dxa"/>
          </w:tcPr>
          <w:p w:rsidR="005171F5" w:rsidRPr="00FE68B7" w:rsidRDefault="005171F5" w:rsidP="004D2BFF">
            <w:pPr>
              <w:rPr>
                <w:rFonts w:eastAsia="Calibri"/>
                <w:sz w:val="22"/>
                <w:szCs w:val="22"/>
              </w:rPr>
            </w:pPr>
            <w:r w:rsidRPr="00FE68B7">
              <w:rPr>
                <w:rFonts w:eastAsia="Calibri"/>
                <w:sz w:val="22"/>
                <w:szCs w:val="22"/>
              </w:rPr>
              <w:t>Number of age from foundation</w:t>
            </w:r>
          </w:p>
        </w:tc>
        <w:tc>
          <w:tcPr>
            <w:tcW w:w="1151"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bl>
    <w:p w:rsidR="005171F5" w:rsidRPr="00FE68B7" w:rsidRDefault="005171F5" w:rsidP="005171F5">
      <w:pPr>
        <w:jc w:val="center"/>
        <w:rPr>
          <w:b/>
          <w:sz w:val="22"/>
          <w:szCs w:val="22"/>
        </w:rPr>
      </w:pPr>
    </w:p>
    <w:p w:rsidR="005171F5" w:rsidRPr="00FE68B7" w:rsidRDefault="005171F5" w:rsidP="005171F5">
      <w:pPr>
        <w:jc w:val="center"/>
        <w:rPr>
          <w:b/>
          <w:sz w:val="22"/>
          <w:szCs w:val="22"/>
        </w:rPr>
      </w:pPr>
      <w:r w:rsidRPr="00FE68B7">
        <w:rPr>
          <w:b/>
          <w:sz w:val="22"/>
          <w:szCs w:val="22"/>
        </w:rPr>
        <w:t>Source: Compiled from the literature reviewed by the researcher (2009)</w:t>
      </w:r>
    </w:p>
    <w:p w:rsidR="005171F5" w:rsidRPr="00FE68B7" w:rsidRDefault="005171F5" w:rsidP="005171F5">
      <w:pPr>
        <w:jc w:val="center"/>
        <w:rPr>
          <w:sz w:val="22"/>
          <w:szCs w:val="22"/>
        </w:rPr>
      </w:pPr>
    </w:p>
    <w:p w:rsidR="005171F5" w:rsidRPr="00FE68B7" w:rsidRDefault="005171F5" w:rsidP="005171F5">
      <w:pPr>
        <w:jc w:val="center"/>
        <w:rPr>
          <w:b/>
          <w:sz w:val="22"/>
          <w:szCs w:val="22"/>
        </w:rPr>
      </w:pPr>
    </w:p>
    <w:p w:rsidR="005171F5" w:rsidRPr="00FE68B7" w:rsidRDefault="005171F5" w:rsidP="005171F5">
      <w:pPr>
        <w:jc w:val="center"/>
        <w:rPr>
          <w:b/>
          <w:sz w:val="22"/>
          <w:szCs w:val="22"/>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p>
    <w:p w:rsidR="005171F5" w:rsidRPr="008573C5" w:rsidRDefault="005171F5" w:rsidP="005171F5">
      <w:pPr>
        <w:jc w:val="center"/>
        <w:rPr>
          <w:b/>
          <w:sz w:val="28"/>
          <w:szCs w:val="28"/>
        </w:rPr>
      </w:pPr>
      <w:r w:rsidRPr="008573C5">
        <w:rPr>
          <w:b/>
          <w:sz w:val="28"/>
          <w:szCs w:val="28"/>
        </w:rPr>
        <w:t>Table 2.06</w:t>
      </w:r>
    </w:p>
    <w:p w:rsidR="005171F5" w:rsidRPr="008573C5" w:rsidRDefault="005171F5" w:rsidP="005171F5">
      <w:pPr>
        <w:jc w:val="center"/>
        <w:rPr>
          <w:sz w:val="28"/>
          <w:szCs w:val="28"/>
        </w:rPr>
      </w:pPr>
    </w:p>
    <w:p w:rsidR="005171F5" w:rsidRPr="008573C5" w:rsidRDefault="005171F5" w:rsidP="005171F5">
      <w:pPr>
        <w:jc w:val="center"/>
        <w:rPr>
          <w:sz w:val="28"/>
          <w:szCs w:val="28"/>
        </w:rPr>
      </w:pPr>
      <w:r w:rsidRPr="008573C5">
        <w:rPr>
          <w:b/>
          <w:sz w:val="28"/>
          <w:szCs w:val="28"/>
        </w:rPr>
        <w:t>Summary of Studies Investigating the Association between Level of Disclosure and Industry Type</w:t>
      </w:r>
    </w:p>
    <w:p w:rsidR="005171F5" w:rsidRPr="008573C5" w:rsidRDefault="005171F5" w:rsidP="005171F5">
      <w:pPr>
        <w:jc w:val="center"/>
        <w:rPr>
          <w:sz w:val="20"/>
          <w:szCs w:val="20"/>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2610"/>
        <w:gridCol w:w="3060"/>
        <w:gridCol w:w="1350"/>
        <w:gridCol w:w="1890"/>
      </w:tblGrid>
      <w:tr w:rsidR="00366CBC" w:rsidRPr="00FE68B7" w:rsidTr="00FE68B7">
        <w:tc>
          <w:tcPr>
            <w:tcW w:w="810" w:type="dxa"/>
          </w:tcPr>
          <w:p w:rsidR="00366CBC" w:rsidRPr="00FE68B7" w:rsidRDefault="00FE68B7" w:rsidP="004D2BFF">
            <w:pPr>
              <w:jc w:val="center"/>
              <w:rPr>
                <w:rFonts w:eastAsia="Calibri"/>
                <w:b/>
                <w:sz w:val="22"/>
                <w:szCs w:val="22"/>
              </w:rPr>
            </w:pPr>
            <w:r w:rsidRPr="00FE68B7">
              <w:rPr>
                <w:rFonts w:eastAsia="Calibri"/>
                <w:b/>
                <w:sz w:val="22"/>
                <w:szCs w:val="22"/>
              </w:rPr>
              <w:t>S/N</w:t>
            </w:r>
          </w:p>
        </w:tc>
        <w:tc>
          <w:tcPr>
            <w:tcW w:w="2610" w:type="dxa"/>
          </w:tcPr>
          <w:p w:rsidR="00366CBC" w:rsidRPr="00FE68B7" w:rsidRDefault="00366CBC" w:rsidP="004D2BFF">
            <w:pPr>
              <w:jc w:val="center"/>
              <w:rPr>
                <w:rFonts w:eastAsia="Calibri"/>
                <w:b/>
                <w:sz w:val="22"/>
                <w:szCs w:val="22"/>
              </w:rPr>
            </w:pPr>
            <w:r w:rsidRPr="00FE68B7">
              <w:rPr>
                <w:rFonts w:eastAsia="Calibri"/>
                <w:b/>
                <w:sz w:val="22"/>
                <w:szCs w:val="22"/>
              </w:rPr>
              <w:t>Author(s)</w:t>
            </w:r>
          </w:p>
        </w:tc>
        <w:tc>
          <w:tcPr>
            <w:tcW w:w="3060" w:type="dxa"/>
          </w:tcPr>
          <w:p w:rsidR="00366CBC" w:rsidRPr="00FE68B7" w:rsidRDefault="006365B5" w:rsidP="004D2BFF">
            <w:pPr>
              <w:jc w:val="center"/>
              <w:rPr>
                <w:rFonts w:eastAsia="Calibri"/>
                <w:b/>
                <w:sz w:val="22"/>
                <w:szCs w:val="22"/>
              </w:rPr>
            </w:pPr>
            <w:r w:rsidRPr="00FE68B7">
              <w:rPr>
                <w:rFonts w:eastAsia="Calibri"/>
                <w:b/>
                <w:sz w:val="22"/>
                <w:szCs w:val="22"/>
              </w:rPr>
              <w:t>Proxy</w:t>
            </w:r>
          </w:p>
        </w:tc>
        <w:tc>
          <w:tcPr>
            <w:tcW w:w="1350" w:type="dxa"/>
          </w:tcPr>
          <w:p w:rsidR="00366CBC" w:rsidRPr="00FE68B7" w:rsidRDefault="00366CBC" w:rsidP="004D2BFF">
            <w:pPr>
              <w:jc w:val="center"/>
              <w:rPr>
                <w:rFonts w:eastAsia="Calibri"/>
                <w:b/>
                <w:sz w:val="22"/>
                <w:szCs w:val="22"/>
              </w:rPr>
            </w:pPr>
            <w:r w:rsidRPr="00FE68B7">
              <w:rPr>
                <w:rFonts w:eastAsia="Calibri"/>
                <w:b/>
                <w:sz w:val="22"/>
                <w:szCs w:val="22"/>
              </w:rPr>
              <w:t>Reported</w:t>
            </w:r>
          </w:p>
          <w:p w:rsidR="00366CBC" w:rsidRPr="00FE68B7" w:rsidRDefault="00366CBC" w:rsidP="004D2BFF">
            <w:pPr>
              <w:jc w:val="center"/>
              <w:rPr>
                <w:rFonts w:eastAsia="Calibri"/>
                <w:b/>
                <w:sz w:val="22"/>
                <w:szCs w:val="22"/>
              </w:rPr>
            </w:pPr>
            <w:r w:rsidRPr="00FE68B7">
              <w:rPr>
                <w:rFonts w:eastAsia="Calibri"/>
                <w:b/>
                <w:sz w:val="22"/>
                <w:szCs w:val="22"/>
              </w:rPr>
              <w:t>Sign</w:t>
            </w:r>
          </w:p>
        </w:tc>
        <w:tc>
          <w:tcPr>
            <w:tcW w:w="1890" w:type="dxa"/>
          </w:tcPr>
          <w:p w:rsidR="00366CBC" w:rsidRPr="00FE68B7" w:rsidRDefault="00366CBC" w:rsidP="004D2BFF">
            <w:pPr>
              <w:jc w:val="center"/>
              <w:rPr>
                <w:rFonts w:eastAsia="Calibri"/>
                <w:b/>
                <w:sz w:val="22"/>
                <w:szCs w:val="22"/>
              </w:rPr>
            </w:pPr>
            <w:r w:rsidRPr="00FE68B7">
              <w:rPr>
                <w:rFonts w:eastAsia="Calibri"/>
                <w:b/>
                <w:sz w:val="22"/>
                <w:szCs w:val="22"/>
              </w:rPr>
              <w:t>Significant(Sig)/Non Significant(Nsig)</w:t>
            </w:r>
          </w:p>
        </w:tc>
      </w:tr>
      <w:tr w:rsidR="00366CBC" w:rsidRPr="00FE68B7" w:rsidTr="00FE68B7">
        <w:tc>
          <w:tcPr>
            <w:tcW w:w="810" w:type="dxa"/>
          </w:tcPr>
          <w:p w:rsidR="00366CBC" w:rsidRPr="00FE68B7" w:rsidRDefault="006365B5" w:rsidP="004D2BFF">
            <w:pPr>
              <w:tabs>
                <w:tab w:val="left" w:pos="7320"/>
              </w:tabs>
              <w:spacing w:before="240"/>
              <w:rPr>
                <w:rFonts w:eastAsia="Calibri"/>
                <w:sz w:val="22"/>
                <w:szCs w:val="22"/>
              </w:rPr>
            </w:pPr>
            <w:r w:rsidRPr="00FE68B7">
              <w:rPr>
                <w:rFonts w:eastAsia="Calibri"/>
                <w:sz w:val="22"/>
                <w:szCs w:val="22"/>
              </w:rPr>
              <w:t>1</w:t>
            </w:r>
          </w:p>
        </w:tc>
        <w:tc>
          <w:tcPr>
            <w:tcW w:w="2610" w:type="dxa"/>
          </w:tcPr>
          <w:p w:rsidR="00366CBC" w:rsidRPr="00FE68B7" w:rsidRDefault="00366CBC" w:rsidP="004D2BFF">
            <w:pPr>
              <w:tabs>
                <w:tab w:val="left" w:pos="7320"/>
              </w:tabs>
              <w:spacing w:before="240"/>
              <w:rPr>
                <w:rFonts w:eastAsia="Calibri"/>
                <w:sz w:val="22"/>
                <w:szCs w:val="22"/>
              </w:rPr>
            </w:pPr>
            <w:r w:rsidRPr="00FE68B7">
              <w:rPr>
                <w:rFonts w:eastAsia="Calibri"/>
                <w:sz w:val="22"/>
                <w:szCs w:val="22"/>
              </w:rPr>
              <w:t>McNally et al (1982)</w:t>
            </w:r>
          </w:p>
        </w:tc>
        <w:tc>
          <w:tcPr>
            <w:tcW w:w="3060" w:type="dxa"/>
          </w:tcPr>
          <w:p w:rsidR="00366CBC" w:rsidRPr="00FE68B7" w:rsidRDefault="00366CBC" w:rsidP="004D2BFF">
            <w:pPr>
              <w:jc w:val="center"/>
              <w:rPr>
                <w:rFonts w:eastAsia="Calibri"/>
                <w:sz w:val="22"/>
                <w:szCs w:val="22"/>
              </w:rPr>
            </w:pPr>
            <w:r w:rsidRPr="00FE68B7">
              <w:rPr>
                <w:rFonts w:eastAsia="Calibri"/>
                <w:sz w:val="22"/>
                <w:szCs w:val="22"/>
              </w:rPr>
              <w:t>21 distinct groups</w:t>
            </w:r>
          </w:p>
        </w:tc>
        <w:tc>
          <w:tcPr>
            <w:tcW w:w="1350" w:type="dxa"/>
          </w:tcPr>
          <w:p w:rsidR="00366CBC" w:rsidRPr="00FE68B7" w:rsidRDefault="00366CBC" w:rsidP="004D2BFF">
            <w:pPr>
              <w:jc w:val="center"/>
              <w:rPr>
                <w:rFonts w:eastAsia="Calibri"/>
                <w:sz w:val="22"/>
                <w:szCs w:val="22"/>
                <w:vertAlign w:val="subscript"/>
              </w:rPr>
            </w:pPr>
          </w:p>
        </w:tc>
        <w:tc>
          <w:tcPr>
            <w:tcW w:w="1890" w:type="dxa"/>
          </w:tcPr>
          <w:p w:rsidR="00366CBC" w:rsidRPr="00FE68B7" w:rsidRDefault="00366CBC" w:rsidP="004D2BFF">
            <w:pPr>
              <w:jc w:val="center"/>
              <w:rPr>
                <w:rFonts w:eastAsia="Calibri"/>
                <w:sz w:val="22"/>
                <w:szCs w:val="22"/>
              </w:rPr>
            </w:pPr>
            <w:r w:rsidRPr="00FE68B7">
              <w:rPr>
                <w:rFonts w:eastAsia="Calibri"/>
                <w:sz w:val="22"/>
                <w:szCs w:val="22"/>
              </w:rPr>
              <w:t>Nsig</w:t>
            </w:r>
          </w:p>
        </w:tc>
      </w:tr>
      <w:tr w:rsidR="00366CBC" w:rsidRPr="00FE68B7" w:rsidTr="00FE68B7">
        <w:tc>
          <w:tcPr>
            <w:tcW w:w="810" w:type="dxa"/>
          </w:tcPr>
          <w:p w:rsidR="00366CBC" w:rsidRPr="00FE68B7" w:rsidRDefault="006365B5" w:rsidP="004D2BFF">
            <w:pPr>
              <w:rPr>
                <w:rFonts w:eastAsia="Calibri"/>
                <w:sz w:val="22"/>
                <w:szCs w:val="22"/>
              </w:rPr>
            </w:pPr>
            <w:r w:rsidRPr="00FE68B7">
              <w:rPr>
                <w:rFonts w:eastAsia="Calibri"/>
                <w:sz w:val="22"/>
                <w:szCs w:val="22"/>
              </w:rPr>
              <w:t>2</w:t>
            </w:r>
          </w:p>
        </w:tc>
        <w:tc>
          <w:tcPr>
            <w:tcW w:w="2610" w:type="dxa"/>
          </w:tcPr>
          <w:p w:rsidR="00366CBC" w:rsidRPr="00FE68B7" w:rsidRDefault="00366CBC" w:rsidP="004D2BFF">
            <w:pPr>
              <w:rPr>
                <w:rFonts w:eastAsia="Calibri"/>
                <w:sz w:val="22"/>
                <w:szCs w:val="22"/>
              </w:rPr>
            </w:pPr>
            <w:r w:rsidRPr="00FE68B7">
              <w:rPr>
                <w:rFonts w:eastAsia="Calibri"/>
                <w:sz w:val="22"/>
                <w:szCs w:val="22"/>
              </w:rPr>
              <w:t>Cooke(1989)</w:t>
            </w:r>
          </w:p>
        </w:tc>
        <w:tc>
          <w:tcPr>
            <w:tcW w:w="3060" w:type="dxa"/>
          </w:tcPr>
          <w:p w:rsidR="00366CBC" w:rsidRPr="00FE68B7" w:rsidRDefault="00366CBC" w:rsidP="004D2BFF">
            <w:pPr>
              <w:jc w:val="center"/>
              <w:rPr>
                <w:rFonts w:eastAsia="Calibri"/>
                <w:sz w:val="22"/>
                <w:szCs w:val="22"/>
              </w:rPr>
            </w:pPr>
            <w:r w:rsidRPr="00FE68B7">
              <w:rPr>
                <w:rFonts w:eastAsia="Calibri"/>
                <w:sz w:val="22"/>
                <w:szCs w:val="22"/>
              </w:rPr>
              <w:t>Trading, manufacturing, services and conglomerate</w:t>
            </w:r>
          </w:p>
        </w:tc>
        <w:tc>
          <w:tcPr>
            <w:tcW w:w="1350" w:type="dxa"/>
          </w:tcPr>
          <w:p w:rsidR="00366CBC" w:rsidRPr="00FE68B7" w:rsidRDefault="00366CBC" w:rsidP="004D2BFF">
            <w:pPr>
              <w:jc w:val="center"/>
              <w:rPr>
                <w:rFonts w:eastAsia="Calibri"/>
                <w:sz w:val="22"/>
                <w:szCs w:val="22"/>
              </w:rPr>
            </w:pPr>
            <w:r w:rsidRPr="00FE68B7">
              <w:rPr>
                <w:rFonts w:eastAsia="Calibri"/>
                <w:sz w:val="22"/>
                <w:szCs w:val="22"/>
              </w:rPr>
              <w:t xml:space="preserve">Trading - </w:t>
            </w:r>
          </w:p>
        </w:tc>
        <w:tc>
          <w:tcPr>
            <w:tcW w:w="1890" w:type="dxa"/>
          </w:tcPr>
          <w:p w:rsidR="00366CBC" w:rsidRPr="00FE68B7" w:rsidRDefault="00366CBC" w:rsidP="004D2BFF">
            <w:pPr>
              <w:jc w:val="center"/>
              <w:rPr>
                <w:rFonts w:eastAsia="Calibri"/>
                <w:sz w:val="22"/>
                <w:szCs w:val="22"/>
              </w:rPr>
            </w:pPr>
            <w:r w:rsidRPr="00FE68B7">
              <w:rPr>
                <w:rFonts w:eastAsia="Calibri"/>
                <w:sz w:val="22"/>
                <w:szCs w:val="22"/>
              </w:rPr>
              <w:t>Trading (sig) Others Nsig</w:t>
            </w:r>
          </w:p>
        </w:tc>
      </w:tr>
      <w:tr w:rsidR="00366CBC" w:rsidRPr="00FE68B7" w:rsidTr="00FE68B7">
        <w:tc>
          <w:tcPr>
            <w:tcW w:w="810" w:type="dxa"/>
          </w:tcPr>
          <w:p w:rsidR="00366CBC" w:rsidRPr="00FE68B7" w:rsidRDefault="006365B5" w:rsidP="004D2BFF">
            <w:pPr>
              <w:rPr>
                <w:rFonts w:eastAsia="Calibri"/>
                <w:sz w:val="22"/>
                <w:szCs w:val="22"/>
              </w:rPr>
            </w:pPr>
            <w:r w:rsidRPr="00FE68B7">
              <w:rPr>
                <w:rFonts w:eastAsia="Calibri"/>
                <w:sz w:val="22"/>
                <w:szCs w:val="22"/>
              </w:rPr>
              <w:t>3</w:t>
            </w:r>
          </w:p>
        </w:tc>
        <w:tc>
          <w:tcPr>
            <w:tcW w:w="2610" w:type="dxa"/>
          </w:tcPr>
          <w:p w:rsidR="00366CBC" w:rsidRPr="00FE68B7" w:rsidRDefault="00366CBC" w:rsidP="004D2BFF">
            <w:pPr>
              <w:rPr>
                <w:rFonts w:eastAsia="Calibri"/>
                <w:sz w:val="22"/>
                <w:szCs w:val="22"/>
              </w:rPr>
            </w:pPr>
            <w:r w:rsidRPr="00FE68B7">
              <w:rPr>
                <w:rFonts w:eastAsia="Calibri"/>
                <w:sz w:val="22"/>
                <w:szCs w:val="22"/>
              </w:rPr>
              <w:t xml:space="preserve"> Cooke (1992)</w:t>
            </w:r>
          </w:p>
        </w:tc>
        <w:tc>
          <w:tcPr>
            <w:tcW w:w="3060" w:type="dxa"/>
          </w:tcPr>
          <w:p w:rsidR="00366CBC" w:rsidRPr="00FE68B7" w:rsidRDefault="00366CBC" w:rsidP="004D2BFF">
            <w:pPr>
              <w:autoSpaceDE w:val="0"/>
              <w:autoSpaceDN w:val="0"/>
              <w:adjustRightInd w:val="0"/>
              <w:rPr>
                <w:rFonts w:eastAsia="Calibri"/>
                <w:sz w:val="22"/>
                <w:szCs w:val="22"/>
              </w:rPr>
            </w:pPr>
            <w:r w:rsidRPr="00FE68B7">
              <w:rPr>
                <w:rFonts w:eastAsia="Calibri"/>
                <w:sz w:val="22"/>
                <w:szCs w:val="22"/>
              </w:rPr>
              <w:t>Manufacturing and others</w:t>
            </w:r>
          </w:p>
        </w:tc>
        <w:tc>
          <w:tcPr>
            <w:tcW w:w="1350" w:type="dxa"/>
          </w:tcPr>
          <w:p w:rsidR="00366CBC" w:rsidRPr="00FE68B7" w:rsidRDefault="00366CBC" w:rsidP="004D2BFF">
            <w:pPr>
              <w:rPr>
                <w:rFonts w:eastAsia="Calibri"/>
                <w:sz w:val="22"/>
                <w:szCs w:val="22"/>
              </w:rPr>
            </w:pPr>
            <w:r w:rsidRPr="00FE68B7">
              <w:rPr>
                <w:rFonts w:eastAsia="Calibri"/>
                <w:sz w:val="22"/>
                <w:szCs w:val="22"/>
              </w:rPr>
              <w:t>Manufac-</w:t>
            </w:r>
          </w:p>
          <w:p w:rsidR="00366CBC" w:rsidRPr="00FE68B7" w:rsidRDefault="00366CBC" w:rsidP="004D2BFF">
            <w:pPr>
              <w:rPr>
                <w:rFonts w:eastAsia="Calibri"/>
                <w:sz w:val="22"/>
                <w:szCs w:val="22"/>
              </w:rPr>
            </w:pPr>
            <w:r w:rsidRPr="00FE68B7">
              <w:rPr>
                <w:rFonts w:eastAsia="Calibri"/>
                <w:sz w:val="22"/>
                <w:szCs w:val="22"/>
              </w:rPr>
              <w:t>turing +</w:t>
            </w:r>
          </w:p>
        </w:tc>
        <w:tc>
          <w:tcPr>
            <w:tcW w:w="1890" w:type="dxa"/>
          </w:tcPr>
          <w:p w:rsidR="00366CBC" w:rsidRPr="00FE68B7" w:rsidRDefault="00366CBC" w:rsidP="004D2BFF">
            <w:pPr>
              <w:rPr>
                <w:rFonts w:eastAsia="Calibri"/>
                <w:sz w:val="22"/>
                <w:szCs w:val="22"/>
              </w:rPr>
            </w:pPr>
            <w:r w:rsidRPr="00FE68B7">
              <w:rPr>
                <w:rFonts w:eastAsia="Calibri"/>
                <w:sz w:val="22"/>
                <w:szCs w:val="22"/>
              </w:rPr>
              <w:t>Manufacturing (sig)</w:t>
            </w:r>
          </w:p>
          <w:p w:rsidR="00366CBC" w:rsidRPr="00FE68B7" w:rsidRDefault="00366CBC" w:rsidP="004D2BFF">
            <w:pPr>
              <w:rPr>
                <w:rFonts w:eastAsia="Calibri"/>
                <w:sz w:val="22"/>
                <w:szCs w:val="22"/>
              </w:rPr>
            </w:pPr>
            <w:r w:rsidRPr="00FE68B7">
              <w:rPr>
                <w:rFonts w:eastAsia="Calibri"/>
                <w:sz w:val="22"/>
                <w:szCs w:val="22"/>
              </w:rPr>
              <w:t>Others (nsig)</w:t>
            </w:r>
          </w:p>
        </w:tc>
      </w:tr>
      <w:tr w:rsidR="00366CBC" w:rsidRPr="00FE68B7" w:rsidTr="00FE68B7">
        <w:tc>
          <w:tcPr>
            <w:tcW w:w="810" w:type="dxa"/>
          </w:tcPr>
          <w:p w:rsidR="00366CBC" w:rsidRPr="00FE68B7" w:rsidRDefault="006365B5" w:rsidP="004D2BFF">
            <w:pPr>
              <w:tabs>
                <w:tab w:val="left" w:pos="7320"/>
              </w:tabs>
              <w:spacing w:before="240"/>
              <w:rPr>
                <w:rFonts w:eastAsia="Calibri"/>
                <w:sz w:val="22"/>
                <w:szCs w:val="22"/>
              </w:rPr>
            </w:pPr>
            <w:r w:rsidRPr="00FE68B7">
              <w:rPr>
                <w:rFonts w:eastAsia="Calibri"/>
                <w:sz w:val="22"/>
                <w:szCs w:val="22"/>
              </w:rPr>
              <w:t>4</w:t>
            </w:r>
          </w:p>
        </w:tc>
        <w:tc>
          <w:tcPr>
            <w:tcW w:w="2610" w:type="dxa"/>
          </w:tcPr>
          <w:p w:rsidR="00366CBC" w:rsidRPr="00FE68B7" w:rsidRDefault="00366CBC" w:rsidP="004D2BFF">
            <w:pPr>
              <w:tabs>
                <w:tab w:val="left" w:pos="7320"/>
              </w:tabs>
              <w:spacing w:before="240"/>
              <w:rPr>
                <w:rFonts w:eastAsia="Calibri"/>
                <w:sz w:val="22"/>
                <w:szCs w:val="22"/>
              </w:rPr>
            </w:pPr>
            <w:r w:rsidRPr="00FE68B7">
              <w:rPr>
                <w:rFonts w:eastAsia="Calibri"/>
                <w:sz w:val="22"/>
                <w:szCs w:val="22"/>
              </w:rPr>
              <w:t>Meek et al (1995)</w:t>
            </w:r>
          </w:p>
        </w:tc>
        <w:tc>
          <w:tcPr>
            <w:tcW w:w="3060" w:type="dxa"/>
          </w:tcPr>
          <w:p w:rsidR="00366CBC" w:rsidRPr="00FE68B7" w:rsidRDefault="00366CBC" w:rsidP="004D2BFF">
            <w:pPr>
              <w:autoSpaceDE w:val="0"/>
              <w:autoSpaceDN w:val="0"/>
              <w:adjustRightInd w:val="0"/>
              <w:rPr>
                <w:rFonts w:eastAsia="Calibri"/>
                <w:sz w:val="22"/>
                <w:szCs w:val="22"/>
              </w:rPr>
            </w:pPr>
            <w:r w:rsidRPr="00FE68B7">
              <w:rPr>
                <w:rFonts w:eastAsia="Calibri"/>
                <w:sz w:val="22"/>
                <w:szCs w:val="22"/>
              </w:rPr>
              <w:t>Metal, Engineering, Consumer and Oil</w:t>
            </w:r>
          </w:p>
        </w:tc>
        <w:tc>
          <w:tcPr>
            <w:tcW w:w="1350" w:type="dxa"/>
          </w:tcPr>
          <w:p w:rsidR="00366CBC" w:rsidRPr="00FE68B7" w:rsidRDefault="00366CBC" w:rsidP="004D2BFF">
            <w:pPr>
              <w:jc w:val="center"/>
              <w:rPr>
                <w:rFonts w:eastAsia="Calibri"/>
                <w:sz w:val="22"/>
                <w:szCs w:val="22"/>
              </w:rPr>
            </w:pPr>
            <w:r w:rsidRPr="00FE68B7">
              <w:rPr>
                <w:rFonts w:eastAsia="Calibri"/>
                <w:sz w:val="22"/>
                <w:szCs w:val="22"/>
              </w:rPr>
              <w:t>Consumer goods – others +</w:t>
            </w:r>
          </w:p>
        </w:tc>
        <w:tc>
          <w:tcPr>
            <w:tcW w:w="1890" w:type="dxa"/>
          </w:tcPr>
          <w:p w:rsidR="00366CBC" w:rsidRPr="00FE68B7" w:rsidRDefault="00366CBC" w:rsidP="004D2BFF">
            <w:pPr>
              <w:jc w:val="center"/>
              <w:rPr>
                <w:rFonts w:eastAsia="Calibri"/>
                <w:sz w:val="22"/>
                <w:szCs w:val="22"/>
              </w:rPr>
            </w:pPr>
            <w:r w:rsidRPr="00FE68B7">
              <w:rPr>
                <w:rFonts w:eastAsia="Calibri"/>
                <w:sz w:val="22"/>
                <w:szCs w:val="22"/>
              </w:rPr>
              <w:t>Nsig</w:t>
            </w:r>
          </w:p>
        </w:tc>
      </w:tr>
      <w:tr w:rsidR="00366CBC" w:rsidRPr="00FE68B7" w:rsidTr="00FE68B7">
        <w:tc>
          <w:tcPr>
            <w:tcW w:w="810" w:type="dxa"/>
          </w:tcPr>
          <w:p w:rsidR="00366CBC" w:rsidRPr="00FE68B7" w:rsidRDefault="006365B5" w:rsidP="004D2BFF">
            <w:pPr>
              <w:tabs>
                <w:tab w:val="left" w:pos="7320"/>
              </w:tabs>
              <w:spacing w:before="240"/>
              <w:rPr>
                <w:rFonts w:eastAsia="Calibri"/>
                <w:sz w:val="22"/>
                <w:szCs w:val="22"/>
              </w:rPr>
            </w:pPr>
            <w:r w:rsidRPr="00FE68B7">
              <w:rPr>
                <w:rFonts w:eastAsia="Calibri"/>
                <w:sz w:val="22"/>
                <w:szCs w:val="22"/>
              </w:rPr>
              <w:t>5</w:t>
            </w:r>
          </w:p>
        </w:tc>
        <w:tc>
          <w:tcPr>
            <w:tcW w:w="2610" w:type="dxa"/>
          </w:tcPr>
          <w:p w:rsidR="00366CBC" w:rsidRPr="00FE68B7" w:rsidRDefault="00366CBC" w:rsidP="004D2BFF">
            <w:pPr>
              <w:tabs>
                <w:tab w:val="left" w:pos="7320"/>
              </w:tabs>
              <w:spacing w:before="240"/>
              <w:rPr>
                <w:rFonts w:eastAsia="Calibri"/>
                <w:sz w:val="22"/>
                <w:szCs w:val="22"/>
              </w:rPr>
            </w:pPr>
            <w:r w:rsidRPr="00FE68B7">
              <w:rPr>
                <w:rFonts w:eastAsia="Calibri"/>
                <w:sz w:val="22"/>
                <w:szCs w:val="22"/>
              </w:rPr>
              <w:t>Raffournier(1995)</w:t>
            </w:r>
          </w:p>
        </w:tc>
        <w:tc>
          <w:tcPr>
            <w:tcW w:w="3060" w:type="dxa"/>
          </w:tcPr>
          <w:p w:rsidR="00366CBC" w:rsidRPr="00FE68B7" w:rsidRDefault="00366CBC" w:rsidP="004D2BFF">
            <w:pPr>
              <w:autoSpaceDE w:val="0"/>
              <w:autoSpaceDN w:val="0"/>
              <w:adjustRightInd w:val="0"/>
              <w:rPr>
                <w:rFonts w:eastAsia="Calibri"/>
                <w:sz w:val="22"/>
                <w:szCs w:val="22"/>
              </w:rPr>
            </w:pPr>
            <w:r w:rsidRPr="00FE68B7">
              <w:rPr>
                <w:rFonts w:eastAsia="Calibri"/>
                <w:sz w:val="22"/>
                <w:szCs w:val="22"/>
              </w:rPr>
              <w:t>Manufacturing/ Non manufacturing</w:t>
            </w:r>
          </w:p>
        </w:tc>
        <w:tc>
          <w:tcPr>
            <w:tcW w:w="1350" w:type="dxa"/>
          </w:tcPr>
          <w:p w:rsidR="00366CBC" w:rsidRPr="00FE68B7" w:rsidRDefault="00366CBC" w:rsidP="004D2BFF">
            <w:pPr>
              <w:jc w:val="center"/>
              <w:rPr>
                <w:rFonts w:eastAsia="Calibri"/>
                <w:sz w:val="22"/>
                <w:szCs w:val="22"/>
              </w:rPr>
            </w:pPr>
            <w:r w:rsidRPr="00FE68B7">
              <w:rPr>
                <w:rFonts w:eastAsia="Calibri"/>
                <w:sz w:val="22"/>
                <w:szCs w:val="22"/>
              </w:rPr>
              <w:t>+</w:t>
            </w:r>
          </w:p>
        </w:tc>
        <w:tc>
          <w:tcPr>
            <w:tcW w:w="1890" w:type="dxa"/>
          </w:tcPr>
          <w:p w:rsidR="00366CBC" w:rsidRPr="00FE68B7" w:rsidRDefault="00366CBC" w:rsidP="004D2BFF">
            <w:pPr>
              <w:jc w:val="center"/>
              <w:rPr>
                <w:rFonts w:eastAsia="Calibri"/>
                <w:sz w:val="22"/>
                <w:szCs w:val="22"/>
              </w:rPr>
            </w:pPr>
            <w:r w:rsidRPr="00FE68B7">
              <w:rPr>
                <w:rFonts w:eastAsia="Calibri"/>
                <w:sz w:val="22"/>
                <w:szCs w:val="22"/>
              </w:rPr>
              <w:t>Sig(moderate)</w:t>
            </w:r>
          </w:p>
        </w:tc>
      </w:tr>
      <w:tr w:rsidR="00366CBC" w:rsidRPr="00FE68B7" w:rsidTr="00FE68B7">
        <w:tc>
          <w:tcPr>
            <w:tcW w:w="810" w:type="dxa"/>
          </w:tcPr>
          <w:p w:rsidR="00366CBC" w:rsidRPr="00FE68B7" w:rsidRDefault="006365B5" w:rsidP="004D2BFF">
            <w:pPr>
              <w:tabs>
                <w:tab w:val="left" w:pos="7320"/>
              </w:tabs>
              <w:spacing w:before="240"/>
              <w:rPr>
                <w:rFonts w:eastAsia="Calibri"/>
                <w:sz w:val="22"/>
                <w:szCs w:val="22"/>
              </w:rPr>
            </w:pPr>
            <w:r w:rsidRPr="00FE68B7">
              <w:rPr>
                <w:rFonts w:eastAsia="Calibri"/>
                <w:sz w:val="22"/>
                <w:szCs w:val="22"/>
              </w:rPr>
              <w:t>6</w:t>
            </w:r>
          </w:p>
        </w:tc>
        <w:tc>
          <w:tcPr>
            <w:tcW w:w="2610" w:type="dxa"/>
          </w:tcPr>
          <w:p w:rsidR="00366CBC" w:rsidRPr="00FE68B7" w:rsidRDefault="00366CBC" w:rsidP="004D2BFF">
            <w:pPr>
              <w:tabs>
                <w:tab w:val="left" w:pos="7320"/>
              </w:tabs>
              <w:spacing w:before="240"/>
              <w:rPr>
                <w:rFonts w:eastAsia="Calibri"/>
                <w:sz w:val="22"/>
                <w:szCs w:val="22"/>
              </w:rPr>
            </w:pPr>
            <w:r w:rsidRPr="00FE68B7">
              <w:rPr>
                <w:rFonts w:eastAsia="Calibri"/>
                <w:sz w:val="22"/>
                <w:szCs w:val="22"/>
              </w:rPr>
              <w:t xml:space="preserve"> Inchausti(1997)</w:t>
            </w:r>
          </w:p>
        </w:tc>
        <w:tc>
          <w:tcPr>
            <w:tcW w:w="3060" w:type="dxa"/>
          </w:tcPr>
          <w:p w:rsidR="00366CBC" w:rsidRPr="00FE68B7" w:rsidRDefault="00366CBC" w:rsidP="004D2BFF">
            <w:pPr>
              <w:autoSpaceDE w:val="0"/>
              <w:autoSpaceDN w:val="0"/>
              <w:adjustRightInd w:val="0"/>
              <w:rPr>
                <w:rFonts w:eastAsia="Calibri"/>
                <w:sz w:val="22"/>
                <w:szCs w:val="22"/>
              </w:rPr>
            </w:pPr>
            <w:r w:rsidRPr="00FE68B7">
              <w:rPr>
                <w:rFonts w:eastAsia="Calibri"/>
                <w:sz w:val="22"/>
                <w:szCs w:val="22"/>
              </w:rPr>
              <w:t>Basic, manufacturing and service</w:t>
            </w:r>
          </w:p>
        </w:tc>
        <w:tc>
          <w:tcPr>
            <w:tcW w:w="1350" w:type="dxa"/>
          </w:tcPr>
          <w:p w:rsidR="00366CBC" w:rsidRPr="00FE68B7" w:rsidRDefault="00366CBC" w:rsidP="004D2BFF">
            <w:pPr>
              <w:jc w:val="center"/>
              <w:rPr>
                <w:rFonts w:eastAsia="Calibri"/>
                <w:sz w:val="22"/>
                <w:szCs w:val="22"/>
              </w:rPr>
            </w:pPr>
            <w:r w:rsidRPr="00FE68B7">
              <w:rPr>
                <w:rFonts w:eastAsia="Calibri"/>
                <w:sz w:val="22"/>
                <w:szCs w:val="22"/>
              </w:rPr>
              <w:t>+</w:t>
            </w:r>
          </w:p>
        </w:tc>
        <w:tc>
          <w:tcPr>
            <w:tcW w:w="1890" w:type="dxa"/>
          </w:tcPr>
          <w:p w:rsidR="00366CBC" w:rsidRPr="00FE68B7" w:rsidRDefault="00366CBC" w:rsidP="004D2BFF">
            <w:pPr>
              <w:jc w:val="center"/>
              <w:rPr>
                <w:rFonts w:eastAsia="Calibri"/>
                <w:sz w:val="22"/>
                <w:szCs w:val="22"/>
              </w:rPr>
            </w:pPr>
            <w:r w:rsidRPr="00FE68B7">
              <w:rPr>
                <w:rFonts w:eastAsia="Calibri"/>
                <w:sz w:val="22"/>
                <w:szCs w:val="22"/>
              </w:rPr>
              <w:t>Nsig</w:t>
            </w:r>
          </w:p>
        </w:tc>
      </w:tr>
      <w:tr w:rsidR="00366CBC" w:rsidRPr="00FE68B7" w:rsidTr="00FE68B7">
        <w:tc>
          <w:tcPr>
            <w:tcW w:w="810" w:type="dxa"/>
          </w:tcPr>
          <w:p w:rsidR="00366CBC" w:rsidRPr="00FE68B7" w:rsidRDefault="006365B5" w:rsidP="004D2BFF">
            <w:pPr>
              <w:rPr>
                <w:rFonts w:eastAsia="Calibri"/>
                <w:sz w:val="22"/>
                <w:szCs w:val="22"/>
              </w:rPr>
            </w:pPr>
            <w:r w:rsidRPr="00FE68B7">
              <w:rPr>
                <w:rFonts w:eastAsia="Calibri"/>
                <w:sz w:val="22"/>
                <w:szCs w:val="22"/>
              </w:rPr>
              <w:t>7</w:t>
            </w:r>
          </w:p>
        </w:tc>
        <w:tc>
          <w:tcPr>
            <w:tcW w:w="2610" w:type="dxa"/>
          </w:tcPr>
          <w:p w:rsidR="00366CBC" w:rsidRPr="00FE68B7" w:rsidRDefault="00366CBC" w:rsidP="004D2BFF">
            <w:pPr>
              <w:rPr>
                <w:rFonts w:eastAsia="Calibri"/>
                <w:sz w:val="22"/>
                <w:szCs w:val="22"/>
              </w:rPr>
            </w:pPr>
            <w:r w:rsidRPr="00FE68B7">
              <w:rPr>
                <w:rFonts w:eastAsia="Calibri"/>
                <w:sz w:val="22"/>
                <w:szCs w:val="22"/>
              </w:rPr>
              <w:t>Owusu-Ansah (1998)</w:t>
            </w:r>
          </w:p>
        </w:tc>
        <w:tc>
          <w:tcPr>
            <w:tcW w:w="3060" w:type="dxa"/>
          </w:tcPr>
          <w:p w:rsidR="00366CBC" w:rsidRPr="00FE68B7" w:rsidRDefault="00366CBC" w:rsidP="004D2BFF">
            <w:pPr>
              <w:autoSpaceDE w:val="0"/>
              <w:autoSpaceDN w:val="0"/>
              <w:adjustRightInd w:val="0"/>
              <w:rPr>
                <w:rFonts w:eastAsia="Calibri"/>
                <w:sz w:val="22"/>
                <w:szCs w:val="22"/>
              </w:rPr>
            </w:pPr>
            <w:r w:rsidRPr="00FE68B7">
              <w:rPr>
                <w:rFonts w:eastAsia="Calibri"/>
                <w:sz w:val="22"/>
                <w:szCs w:val="22"/>
              </w:rPr>
              <w:t>Principal economic activity</w:t>
            </w:r>
          </w:p>
        </w:tc>
        <w:tc>
          <w:tcPr>
            <w:tcW w:w="1350" w:type="dxa"/>
          </w:tcPr>
          <w:p w:rsidR="00366CBC" w:rsidRPr="00FE68B7" w:rsidRDefault="00366CBC" w:rsidP="004D2BFF">
            <w:pPr>
              <w:jc w:val="center"/>
              <w:rPr>
                <w:rFonts w:eastAsia="Calibri"/>
                <w:sz w:val="22"/>
                <w:szCs w:val="22"/>
              </w:rPr>
            </w:pPr>
            <w:r w:rsidRPr="00FE68B7">
              <w:rPr>
                <w:rFonts w:eastAsia="Calibri"/>
                <w:sz w:val="22"/>
                <w:szCs w:val="22"/>
              </w:rPr>
              <w:t>-</w:t>
            </w:r>
          </w:p>
        </w:tc>
        <w:tc>
          <w:tcPr>
            <w:tcW w:w="1890" w:type="dxa"/>
          </w:tcPr>
          <w:p w:rsidR="00366CBC" w:rsidRPr="00FE68B7" w:rsidRDefault="00366CBC" w:rsidP="004D2BFF">
            <w:pPr>
              <w:jc w:val="center"/>
              <w:rPr>
                <w:rFonts w:eastAsia="Calibri"/>
                <w:sz w:val="22"/>
                <w:szCs w:val="22"/>
              </w:rPr>
            </w:pPr>
            <w:r w:rsidRPr="00FE68B7">
              <w:rPr>
                <w:rFonts w:eastAsia="Calibri"/>
                <w:sz w:val="22"/>
                <w:szCs w:val="22"/>
              </w:rPr>
              <w:t>nsig</w:t>
            </w:r>
          </w:p>
        </w:tc>
      </w:tr>
      <w:tr w:rsidR="00366CBC" w:rsidRPr="00FE68B7" w:rsidTr="00FE68B7">
        <w:tc>
          <w:tcPr>
            <w:tcW w:w="810" w:type="dxa"/>
          </w:tcPr>
          <w:p w:rsidR="00366CBC" w:rsidRPr="00FE68B7" w:rsidRDefault="006365B5" w:rsidP="004D2BFF">
            <w:pPr>
              <w:rPr>
                <w:rFonts w:eastAsia="Calibri"/>
                <w:sz w:val="22"/>
                <w:szCs w:val="22"/>
              </w:rPr>
            </w:pPr>
            <w:r w:rsidRPr="00FE68B7">
              <w:rPr>
                <w:rFonts w:eastAsia="Calibri"/>
                <w:sz w:val="22"/>
                <w:szCs w:val="22"/>
              </w:rPr>
              <w:t>8</w:t>
            </w:r>
          </w:p>
        </w:tc>
        <w:tc>
          <w:tcPr>
            <w:tcW w:w="2610" w:type="dxa"/>
          </w:tcPr>
          <w:p w:rsidR="00366CBC" w:rsidRPr="00FE68B7" w:rsidRDefault="00366CBC" w:rsidP="004D2BFF">
            <w:pPr>
              <w:rPr>
                <w:rFonts w:eastAsia="Calibri"/>
                <w:sz w:val="22"/>
                <w:szCs w:val="22"/>
              </w:rPr>
            </w:pPr>
            <w:r w:rsidRPr="00FE68B7">
              <w:rPr>
                <w:rFonts w:eastAsia="Calibri"/>
                <w:sz w:val="22"/>
                <w:szCs w:val="22"/>
              </w:rPr>
              <w:t>Tower et al (1999)</w:t>
            </w:r>
          </w:p>
        </w:tc>
        <w:tc>
          <w:tcPr>
            <w:tcW w:w="3060" w:type="dxa"/>
          </w:tcPr>
          <w:p w:rsidR="00366CBC" w:rsidRPr="00FE68B7" w:rsidRDefault="00366CBC" w:rsidP="004D2BFF">
            <w:pPr>
              <w:autoSpaceDE w:val="0"/>
              <w:autoSpaceDN w:val="0"/>
              <w:adjustRightInd w:val="0"/>
              <w:rPr>
                <w:rFonts w:eastAsia="Calibri"/>
                <w:sz w:val="22"/>
                <w:szCs w:val="22"/>
              </w:rPr>
            </w:pPr>
            <w:r w:rsidRPr="00FE68B7">
              <w:rPr>
                <w:rFonts w:eastAsia="Calibri"/>
                <w:sz w:val="22"/>
                <w:szCs w:val="22"/>
              </w:rPr>
              <w:t>Resources,  Manufacturing,  Financial, Service</w:t>
            </w:r>
          </w:p>
        </w:tc>
        <w:tc>
          <w:tcPr>
            <w:tcW w:w="1350" w:type="dxa"/>
          </w:tcPr>
          <w:p w:rsidR="00366CBC" w:rsidRPr="00FE68B7" w:rsidRDefault="00366CBC" w:rsidP="004D2BFF">
            <w:pPr>
              <w:jc w:val="center"/>
              <w:rPr>
                <w:rFonts w:eastAsia="Calibri"/>
                <w:sz w:val="22"/>
                <w:szCs w:val="22"/>
              </w:rPr>
            </w:pPr>
            <w:r w:rsidRPr="00FE68B7">
              <w:rPr>
                <w:rFonts w:eastAsia="Calibri"/>
                <w:sz w:val="22"/>
                <w:szCs w:val="22"/>
              </w:rPr>
              <w:t>+</w:t>
            </w:r>
          </w:p>
        </w:tc>
        <w:tc>
          <w:tcPr>
            <w:tcW w:w="1890" w:type="dxa"/>
          </w:tcPr>
          <w:p w:rsidR="00366CBC" w:rsidRPr="00FE68B7" w:rsidRDefault="00366CBC" w:rsidP="004D2BFF">
            <w:pPr>
              <w:jc w:val="center"/>
              <w:rPr>
                <w:rFonts w:eastAsia="Calibri"/>
                <w:sz w:val="22"/>
                <w:szCs w:val="22"/>
              </w:rPr>
            </w:pPr>
            <w:r w:rsidRPr="00FE68B7">
              <w:rPr>
                <w:rFonts w:eastAsia="Calibri"/>
                <w:sz w:val="22"/>
                <w:szCs w:val="22"/>
              </w:rPr>
              <w:t>Nsig</w:t>
            </w:r>
          </w:p>
        </w:tc>
      </w:tr>
      <w:tr w:rsidR="00366CBC" w:rsidRPr="00FE68B7" w:rsidTr="00FE68B7">
        <w:tc>
          <w:tcPr>
            <w:tcW w:w="810" w:type="dxa"/>
          </w:tcPr>
          <w:p w:rsidR="00366CBC" w:rsidRPr="00FE68B7" w:rsidRDefault="006365B5" w:rsidP="004D2BFF">
            <w:pPr>
              <w:rPr>
                <w:rFonts w:eastAsia="Calibri"/>
                <w:sz w:val="22"/>
                <w:szCs w:val="22"/>
              </w:rPr>
            </w:pPr>
            <w:r w:rsidRPr="00FE68B7">
              <w:rPr>
                <w:rFonts w:eastAsia="Calibri"/>
                <w:sz w:val="22"/>
                <w:szCs w:val="22"/>
              </w:rPr>
              <w:t>9</w:t>
            </w:r>
          </w:p>
        </w:tc>
        <w:tc>
          <w:tcPr>
            <w:tcW w:w="2610" w:type="dxa"/>
          </w:tcPr>
          <w:p w:rsidR="00366CBC" w:rsidRPr="00FE68B7" w:rsidRDefault="00366CBC" w:rsidP="004D2BFF">
            <w:pPr>
              <w:rPr>
                <w:rFonts w:eastAsia="Calibri"/>
                <w:sz w:val="22"/>
                <w:szCs w:val="22"/>
              </w:rPr>
            </w:pPr>
            <w:r w:rsidRPr="00FE68B7">
              <w:rPr>
                <w:rFonts w:eastAsia="Calibri"/>
                <w:sz w:val="22"/>
                <w:szCs w:val="22"/>
              </w:rPr>
              <w:t>Haniffa and Cooke (2002)</w:t>
            </w:r>
          </w:p>
        </w:tc>
        <w:tc>
          <w:tcPr>
            <w:tcW w:w="3060" w:type="dxa"/>
          </w:tcPr>
          <w:p w:rsidR="00366CBC" w:rsidRPr="00FE68B7" w:rsidRDefault="00366CBC" w:rsidP="004D2BFF">
            <w:pPr>
              <w:rPr>
                <w:rFonts w:eastAsia="Calibri"/>
                <w:sz w:val="22"/>
                <w:szCs w:val="22"/>
              </w:rPr>
            </w:pPr>
            <w:r w:rsidRPr="00FE68B7">
              <w:rPr>
                <w:rFonts w:eastAsia="Calibri"/>
                <w:sz w:val="22"/>
                <w:szCs w:val="22"/>
              </w:rPr>
              <w:t>Consumer, Industrial, Construction/Property,Trading/</w:t>
            </w:r>
          </w:p>
          <w:p w:rsidR="00366CBC" w:rsidRPr="00FE68B7" w:rsidRDefault="00366CBC" w:rsidP="004D2BFF">
            <w:pPr>
              <w:rPr>
                <w:rFonts w:eastAsia="Calibri"/>
                <w:sz w:val="22"/>
                <w:szCs w:val="22"/>
              </w:rPr>
            </w:pPr>
            <w:r w:rsidRPr="00FE68B7">
              <w:rPr>
                <w:rFonts w:eastAsia="Calibri"/>
                <w:sz w:val="22"/>
                <w:szCs w:val="22"/>
              </w:rPr>
              <w:t>Services, Plantation/Mining</w:t>
            </w:r>
          </w:p>
        </w:tc>
        <w:tc>
          <w:tcPr>
            <w:tcW w:w="1350" w:type="dxa"/>
          </w:tcPr>
          <w:p w:rsidR="00366CBC" w:rsidRPr="00FE68B7" w:rsidRDefault="00366CBC" w:rsidP="004D2BFF">
            <w:pPr>
              <w:jc w:val="center"/>
              <w:rPr>
                <w:rFonts w:eastAsia="Calibri"/>
                <w:sz w:val="22"/>
                <w:szCs w:val="22"/>
              </w:rPr>
            </w:pPr>
            <w:r w:rsidRPr="00FE68B7">
              <w:rPr>
                <w:rFonts w:eastAsia="Calibri"/>
                <w:sz w:val="22"/>
                <w:szCs w:val="22"/>
              </w:rPr>
              <w:t>-</w:t>
            </w:r>
          </w:p>
        </w:tc>
        <w:tc>
          <w:tcPr>
            <w:tcW w:w="1890" w:type="dxa"/>
          </w:tcPr>
          <w:p w:rsidR="00366CBC" w:rsidRPr="00FE68B7" w:rsidRDefault="00366CBC" w:rsidP="004D2BFF">
            <w:pPr>
              <w:jc w:val="center"/>
              <w:rPr>
                <w:rFonts w:eastAsia="Calibri"/>
                <w:sz w:val="22"/>
                <w:szCs w:val="22"/>
              </w:rPr>
            </w:pPr>
            <w:r w:rsidRPr="00FE68B7">
              <w:rPr>
                <w:rFonts w:eastAsia="Calibri"/>
                <w:sz w:val="22"/>
                <w:szCs w:val="22"/>
              </w:rPr>
              <w:t>Industrial Sig 1%</w:t>
            </w:r>
          </w:p>
        </w:tc>
      </w:tr>
      <w:tr w:rsidR="00366CBC" w:rsidRPr="00FE68B7" w:rsidTr="00FE68B7">
        <w:tc>
          <w:tcPr>
            <w:tcW w:w="810" w:type="dxa"/>
          </w:tcPr>
          <w:p w:rsidR="00366CBC" w:rsidRPr="00FE68B7" w:rsidRDefault="006365B5" w:rsidP="006365B5">
            <w:pPr>
              <w:rPr>
                <w:rFonts w:eastAsia="Calibri"/>
                <w:sz w:val="22"/>
                <w:szCs w:val="22"/>
              </w:rPr>
            </w:pPr>
            <w:r w:rsidRPr="00FE68B7">
              <w:rPr>
                <w:rFonts w:eastAsia="Calibri"/>
                <w:sz w:val="22"/>
                <w:szCs w:val="22"/>
              </w:rPr>
              <w:t>10</w:t>
            </w:r>
          </w:p>
        </w:tc>
        <w:tc>
          <w:tcPr>
            <w:tcW w:w="2610" w:type="dxa"/>
          </w:tcPr>
          <w:p w:rsidR="00366CBC" w:rsidRPr="00FE68B7" w:rsidRDefault="00366CBC" w:rsidP="004D2BFF">
            <w:pPr>
              <w:rPr>
                <w:rFonts w:eastAsia="Calibri"/>
                <w:sz w:val="22"/>
                <w:szCs w:val="22"/>
              </w:rPr>
            </w:pPr>
            <w:r w:rsidRPr="00FE68B7">
              <w:rPr>
                <w:rFonts w:eastAsia="Calibri"/>
                <w:sz w:val="22"/>
                <w:szCs w:val="22"/>
              </w:rPr>
              <w:t>Camfferman and Cooke(2002)</w:t>
            </w:r>
          </w:p>
        </w:tc>
        <w:tc>
          <w:tcPr>
            <w:tcW w:w="3060" w:type="dxa"/>
          </w:tcPr>
          <w:p w:rsidR="00366CBC" w:rsidRPr="00FE68B7" w:rsidRDefault="00366CBC" w:rsidP="004D2BFF">
            <w:pPr>
              <w:rPr>
                <w:rFonts w:eastAsia="Calibri"/>
                <w:sz w:val="22"/>
                <w:szCs w:val="22"/>
              </w:rPr>
            </w:pPr>
            <w:r w:rsidRPr="00FE68B7">
              <w:rPr>
                <w:rFonts w:eastAsia="Calibri"/>
                <w:sz w:val="22"/>
                <w:szCs w:val="22"/>
              </w:rPr>
              <w:t>Trading/Manufacturing/Conglomerate</w:t>
            </w:r>
          </w:p>
        </w:tc>
        <w:tc>
          <w:tcPr>
            <w:tcW w:w="1350" w:type="dxa"/>
          </w:tcPr>
          <w:p w:rsidR="00366CBC" w:rsidRPr="00FE68B7" w:rsidRDefault="00366CBC" w:rsidP="004D2BFF">
            <w:pPr>
              <w:jc w:val="center"/>
              <w:rPr>
                <w:rFonts w:eastAsia="Calibri"/>
                <w:sz w:val="22"/>
                <w:szCs w:val="22"/>
              </w:rPr>
            </w:pPr>
            <w:r w:rsidRPr="00FE68B7">
              <w:rPr>
                <w:rFonts w:eastAsia="Calibri"/>
                <w:sz w:val="22"/>
                <w:szCs w:val="22"/>
              </w:rPr>
              <w:t>-,+,+ for 1st category and +,+,+ for 2nd category</w:t>
            </w:r>
          </w:p>
        </w:tc>
        <w:tc>
          <w:tcPr>
            <w:tcW w:w="1890" w:type="dxa"/>
          </w:tcPr>
          <w:p w:rsidR="00366CBC" w:rsidRPr="00FE68B7" w:rsidRDefault="00366CBC" w:rsidP="004D2BFF">
            <w:pPr>
              <w:jc w:val="center"/>
              <w:rPr>
                <w:rFonts w:eastAsia="Calibri"/>
                <w:sz w:val="22"/>
                <w:szCs w:val="22"/>
              </w:rPr>
            </w:pPr>
            <w:r w:rsidRPr="00FE68B7">
              <w:rPr>
                <w:rFonts w:eastAsia="Calibri"/>
                <w:sz w:val="22"/>
                <w:szCs w:val="22"/>
              </w:rPr>
              <w:t>Conglomerate is significant for the two categories</w:t>
            </w:r>
          </w:p>
        </w:tc>
      </w:tr>
      <w:tr w:rsidR="00366CBC" w:rsidRPr="00FE68B7" w:rsidTr="00FE68B7">
        <w:tc>
          <w:tcPr>
            <w:tcW w:w="810" w:type="dxa"/>
          </w:tcPr>
          <w:p w:rsidR="00366CBC" w:rsidRPr="00FE68B7" w:rsidRDefault="006365B5" w:rsidP="004D2BFF">
            <w:pPr>
              <w:rPr>
                <w:rFonts w:eastAsia="Calibri"/>
                <w:sz w:val="22"/>
                <w:szCs w:val="22"/>
              </w:rPr>
            </w:pPr>
            <w:r w:rsidRPr="00FE68B7">
              <w:rPr>
                <w:rFonts w:eastAsia="Calibri"/>
                <w:sz w:val="22"/>
                <w:szCs w:val="22"/>
              </w:rPr>
              <w:t>11</w:t>
            </w:r>
          </w:p>
        </w:tc>
        <w:tc>
          <w:tcPr>
            <w:tcW w:w="2610" w:type="dxa"/>
          </w:tcPr>
          <w:p w:rsidR="00366CBC" w:rsidRPr="00FE68B7" w:rsidRDefault="00366CBC" w:rsidP="004D2BFF">
            <w:pPr>
              <w:rPr>
                <w:rFonts w:eastAsia="Calibri"/>
                <w:sz w:val="22"/>
                <w:szCs w:val="22"/>
              </w:rPr>
            </w:pPr>
            <w:r w:rsidRPr="00FE68B7">
              <w:rPr>
                <w:rFonts w:eastAsia="Calibri"/>
                <w:sz w:val="22"/>
                <w:szCs w:val="22"/>
              </w:rPr>
              <w:t>Chow and Gray(2002)</w:t>
            </w:r>
          </w:p>
        </w:tc>
        <w:tc>
          <w:tcPr>
            <w:tcW w:w="3060" w:type="dxa"/>
          </w:tcPr>
          <w:p w:rsidR="00366CBC" w:rsidRPr="00FE68B7" w:rsidRDefault="00366CBC" w:rsidP="004D2BFF">
            <w:pPr>
              <w:rPr>
                <w:rFonts w:eastAsia="Calibri"/>
                <w:sz w:val="22"/>
                <w:szCs w:val="22"/>
              </w:rPr>
            </w:pPr>
            <w:r w:rsidRPr="00FE68B7">
              <w:rPr>
                <w:rFonts w:eastAsia="Calibri"/>
                <w:sz w:val="22"/>
                <w:szCs w:val="22"/>
              </w:rPr>
              <w:t>Electronics, publishing, food, shipping</w:t>
            </w:r>
          </w:p>
        </w:tc>
        <w:tc>
          <w:tcPr>
            <w:tcW w:w="1350" w:type="dxa"/>
          </w:tcPr>
          <w:p w:rsidR="00366CBC" w:rsidRPr="00FE68B7" w:rsidRDefault="00366CBC" w:rsidP="004D2BFF">
            <w:pPr>
              <w:rPr>
                <w:rFonts w:eastAsia="Calibri"/>
                <w:sz w:val="22"/>
                <w:szCs w:val="22"/>
              </w:rPr>
            </w:pPr>
            <w:r w:rsidRPr="00FE68B7">
              <w:rPr>
                <w:rFonts w:eastAsia="Calibri"/>
                <w:sz w:val="22"/>
                <w:szCs w:val="22"/>
              </w:rPr>
              <w:t>All + for 1</w:t>
            </w:r>
            <w:r w:rsidRPr="00FE68B7">
              <w:rPr>
                <w:rFonts w:eastAsia="Calibri"/>
                <w:sz w:val="22"/>
                <w:szCs w:val="22"/>
                <w:vertAlign w:val="superscript"/>
              </w:rPr>
              <w:t>st</w:t>
            </w:r>
            <w:r w:rsidRPr="00FE68B7">
              <w:rPr>
                <w:rFonts w:eastAsia="Calibri"/>
                <w:sz w:val="22"/>
                <w:szCs w:val="22"/>
              </w:rPr>
              <w:t xml:space="preserve"> category and all – for 2nd category</w:t>
            </w:r>
          </w:p>
        </w:tc>
        <w:tc>
          <w:tcPr>
            <w:tcW w:w="1890" w:type="dxa"/>
          </w:tcPr>
          <w:p w:rsidR="00366CBC" w:rsidRPr="00FE68B7" w:rsidRDefault="00366CBC" w:rsidP="004D2BFF">
            <w:pPr>
              <w:jc w:val="center"/>
              <w:rPr>
                <w:rFonts w:eastAsia="Calibri"/>
                <w:sz w:val="22"/>
                <w:szCs w:val="22"/>
              </w:rPr>
            </w:pPr>
          </w:p>
        </w:tc>
      </w:tr>
      <w:tr w:rsidR="00366CBC" w:rsidRPr="00FE68B7" w:rsidTr="00FE68B7">
        <w:tc>
          <w:tcPr>
            <w:tcW w:w="810" w:type="dxa"/>
          </w:tcPr>
          <w:p w:rsidR="00366CBC" w:rsidRPr="00FE68B7" w:rsidRDefault="006365B5" w:rsidP="004D2BFF">
            <w:pPr>
              <w:tabs>
                <w:tab w:val="left" w:pos="7320"/>
              </w:tabs>
              <w:rPr>
                <w:rFonts w:eastAsia="Calibri"/>
                <w:sz w:val="22"/>
                <w:szCs w:val="22"/>
              </w:rPr>
            </w:pPr>
            <w:r w:rsidRPr="00FE68B7">
              <w:rPr>
                <w:rFonts w:eastAsia="Calibri"/>
                <w:sz w:val="22"/>
                <w:szCs w:val="22"/>
              </w:rPr>
              <w:t>12</w:t>
            </w:r>
          </w:p>
        </w:tc>
        <w:tc>
          <w:tcPr>
            <w:tcW w:w="2610" w:type="dxa"/>
          </w:tcPr>
          <w:p w:rsidR="00366CBC" w:rsidRPr="00FE68B7" w:rsidRDefault="00366CBC" w:rsidP="004D2BFF">
            <w:pPr>
              <w:tabs>
                <w:tab w:val="left" w:pos="7320"/>
              </w:tabs>
              <w:rPr>
                <w:rFonts w:eastAsia="Calibri"/>
                <w:sz w:val="22"/>
                <w:szCs w:val="22"/>
              </w:rPr>
            </w:pPr>
            <w:r w:rsidRPr="00FE68B7">
              <w:rPr>
                <w:rFonts w:eastAsia="Calibri"/>
                <w:sz w:val="22"/>
                <w:szCs w:val="22"/>
              </w:rPr>
              <w:t>Ferguson, Lam and Lee(2002)</w:t>
            </w:r>
          </w:p>
        </w:tc>
        <w:tc>
          <w:tcPr>
            <w:tcW w:w="3060" w:type="dxa"/>
          </w:tcPr>
          <w:p w:rsidR="00366CBC" w:rsidRPr="00FE68B7" w:rsidRDefault="00366CBC" w:rsidP="004D2BFF">
            <w:pPr>
              <w:rPr>
                <w:rFonts w:eastAsia="Calibri"/>
                <w:sz w:val="22"/>
                <w:szCs w:val="22"/>
              </w:rPr>
            </w:pPr>
            <w:r w:rsidRPr="00FE68B7">
              <w:rPr>
                <w:rFonts w:eastAsia="Calibri"/>
                <w:sz w:val="22"/>
                <w:szCs w:val="22"/>
              </w:rPr>
              <w:t>Utilities/consumer electronics</w:t>
            </w:r>
          </w:p>
        </w:tc>
        <w:tc>
          <w:tcPr>
            <w:tcW w:w="1350" w:type="dxa"/>
          </w:tcPr>
          <w:p w:rsidR="00366CBC" w:rsidRPr="00FE68B7" w:rsidRDefault="00366CBC" w:rsidP="004D2BFF">
            <w:pPr>
              <w:rPr>
                <w:rFonts w:eastAsia="Calibri"/>
                <w:sz w:val="22"/>
                <w:szCs w:val="22"/>
              </w:rPr>
            </w:pPr>
            <w:r w:rsidRPr="00FE68B7">
              <w:rPr>
                <w:rFonts w:eastAsia="Calibri"/>
                <w:sz w:val="22"/>
                <w:szCs w:val="22"/>
              </w:rPr>
              <w:t>-</w:t>
            </w:r>
          </w:p>
        </w:tc>
        <w:tc>
          <w:tcPr>
            <w:tcW w:w="1890" w:type="dxa"/>
          </w:tcPr>
          <w:p w:rsidR="00366CBC" w:rsidRPr="00FE68B7" w:rsidRDefault="00366CBC" w:rsidP="004D2BFF">
            <w:pPr>
              <w:jc w:val="center"/>
              <w:rPr>
                <w:rFonts w:eastAsia="Calibri"/>
                <w:sz w:val="22"/>
                <w:szCs w:val="22"/>
              </w:rPr>
            </w:pPr>
            <w:r w:rsidRPr="00FE68B7">
              <w:rPr>
                <w:rFonts w:eastAsia="Calibri"/>
                <w:sz w:val="22"/>
                <w:szCs w:val="22"/>
              </w:rPr>
              <w:t>Nsig</w:t>
            </w:r>
          </w:p>
        </w:tc>
      </w:tr>
      <w:tr w:rsidR="00366CBC" w:rsidRPr="00FE68B7" w:rsidTr="00FE68B7">
        <w:tc>
          <w:tcPr>
            <w:tcW w:w="810" w:type="dxa"/>
          </w:tcPr>
          <w:p w:rsidR="00366CBC" w:rsidRPr="00FE68B7" w:rsidRDefault="006365B5" w:rsidP="004D2BFF">
            <w:pPr>
              <w:rPr>
                <w:rFonts w:eastAsia="Calibri"/>
                <w:sz w:val="22"/>
                <w:szCs w:val="22"/>
              </w:rPr>
            </w:pPr>
            <w:r w:rsidRPr="00FE68B7">
              <w:rPr>
                <w:rFonts w:eastAsia="Calibri"/>
                <w:sz w:val="22"/>
                <w:szCs w:val="22"/>
              </w:rPr>
              <w:t>13</w:t>
            </w:r>
          </w:p>
        </w:tc>
        <w:tc>
          <w:tcPr>
            <w:tcW w:w="2610" w:type="dxa"/>
          </w:tcPr>
          <w:p w:rsidR="00366CBC" w:rsidRPr="00FE68B7" w:rsidRDefault="00366CBC" w:rsidP="004D2BFF">
            <w:pPr>
              <w:rPr>
                <w:rFonts w:eastAsia="Calibri"/>
                <w:sz w:val="22"/>
                <w:szCs w:val="22"/>
              </w:rPr>
            </w:pPr>
            <w:r w:rsidRPr="00FE68B7">
              <w:rPr>
                <w:rFonts w:eastAsia="Calibri"/>
                <w:sz w:val="22"/>
                <w:szCs w:val="22"/>
              </w:rPr>
              <w:t>Naser et al(2002)</w:t>
            </w:r>
          </w:p>
        </w:tc>
        <w:tc>
          <w:tcPr>
            <w:tcW w:w="3060" w:type="dxa"/>
          </w:tcPr>
          <w:p w:rsidR="00366CBC" w:rsidRPr="00FE68B7" w:rsidRDefault="00366CBC" w:rsidP="004D2BFF">
            <w:pPr>
              <w:rPr>
                <w:rFonts w:eastAsia="Calibri"/>
                <w:sz w:val="22"/>
                <w:szCs w:val="22"/>
              </w:rPr>
            </w:pPr>
            <w:r w:rsidRPr="00FE68B7">
              <w:rPr>
                <w:rFonts w:eastAsia="Calibri"/>
                <w:sz w:val="22"/>
                <w:szCs w:val="22"/>
              </w:rPr>
              <w:t>Manufacturing/Service</w:t>
            </w:r>
          </w:p>
        </w:tc>
        <w:tc>
          <w:tcPr>
            <w:tcW w:w="1350" w:type="dxa"/>
          </w:tcPr>
          <w:p w:rsidR="00366CBC" w:rsidRPr="00FE68B7" w:rsidRDefault="00366CBC" w:rsidP="004D2BFF">
            <w:pPr>
              <w:rPr>
                <w:rFonts w:eastAsia="Calibri"/>
                <w:sz w:val="22"/>
                <w:szCs w:val="22"/>
              </w:rPr>
            </w:pPr>
            <w:r w:rsidRPr="00FE68B7">
              <w:rPr>
                <w:rFonts w:eastAsia="Calibri"/>
                <w:sz w:val="22"/>
                <w:szCs w:val="22"/>
              </w:rPr>
              <w:t>-</w:t>
            </w:r>
          </w:p>
        </w:tc>
        <w:tc>
          <w:tcPr>
            <w:tcW w:w="1890" w:type="dxa"/>
          </w:tcPr>
          <w:p w:rsidR="00366CBC" w:rsidRPr="00FE68B7" w:rsidRDefault="00366CBC" w:rsidP="004D2BFF">
            <w:pPr>
              <w:jc w:val="center"/>
              <w:rPr>
                <w:rFonts w:eastAsia="Calibri"/>
                <w:sz w:val="22"/>
                <w:szCs w:val="22"/>
              </w:rPr>
            </w:pPr>
            <w:r w:rsidRPr="00FE68B7">
              <w:rPr>
                <w:rFonts w:eastAsia="Calibri"/>
                <w:sz w:val="22"/>
                <w:szCs w:val="22"/>
              </w:rPr>
              <w:t>Nsig</w:t>
            </w:r>
          </w:p>
        </w:tc>
      </w:tr>
      <w:tr w:rsidR="00366CBC" w:rsidRPr="00FE68B7" w:rsidTr="00FE68B7">
        <w:tc>
          <w:tcPr>
            <w:tcW w:w="810" w:type="dxa"/>
          </w:tcPr>
          <w:p w:rsidR="00366CBC" w:rsidRPr="00FE68B7" w:rsidRDefault="006365B5" w:rsidP="004D2BFF">
            <w:pPr>
              <w:rPr>
                <w:rFonts w:eastAsia="Calibri"/>
                <w:sz w:val="22"/>
                <w:szCs w:val="22"/>
              </w:rPr>
            </w:pPr>
            <w:r w:rsidRPr="00FE68B7">
              <w:rPr>
                <w:rFonts w:eastAsia="Calibri"/>
                <w:sz w:val="22"/>
                <w:szCs w:val="22"/>
              </w:rPr>
              <w:t>14</w:t>
            </w:r>
          </w:p>
        </w:tc>
        <w:tc>
          <w:tcPr>
            <w:tcW w:w="2610" w:type="dxa"/>
          </w:tcPr>
          <w:p w:rsidR="00366CBC" w:rsidRPr="00FE68B7" w:rsidRDefault="00366CBC" w:rsidP="004D2BFF">
            <w:pPr>
              <w:rPr>
                <w:rFonts w:eastAsia="Calibri"/>
                <w:sz w:val="22"/>
                <w:szCs w:val="22"/>
              </w:rPr>
            </w:pPr>
            <w:r w:rsidRPr="00FE68B7">
              <w:rPr>
                <w:rFonts w:eastAsia="Calibri"/>
                <w:sz w:val="22"/>
                <w:szCs w:val="22"/>
              </w:rPr>
              <w:t>Glaum and Steet (2003)</w:t>
            </w:r>
          </w:p>
        </w:tc>
        <w:tc>
          <w:tcPr>
            <w:tcW w:w="3060" w:type="dxa"/>
          </w:tcPr>
          <w:p w:rsidR="00366CBC" w:rsidRPr="00FE68B7" w:rsidRDefault="00366CBC" w:rsidP="004D2BFF">
            <w:pPr>
              <w:rPr>
                <w:rFonts w:eastAsia="Calibri"/>
                <w:sz w:val="22"/>
                <w:szCs w:val="22"/>
              </w:rPr>
            </w:pPr>
            <w:r w:rsidRPr="00FE68B7">
              <w:rPr>
                <w:rFonts w:eastAsia="Calibri"/>
                <w:sz w:val="22"/>
                <w:szCs w:val="22"/>
              </w:rPr>
              <w:t>Biotechnology, industrial services, Internet, IT/Software, Technology and Telecommunications</w:t>
            </w:r>
          </w:p>
        </w:tc>
        <w:tc>
          <w:tcPr>
            <w:tcW w:w="1350" w:type="dxa"/>
          </w:tcPr>
          <w:p w:rsidR="00366CBC" w:rsidRPr="00FE68B7" w:rsidRDefault="00366CBC" w:rsidP="004D2BFF">
            <w:pPr>
              <w:jc w:val="center"/>
              <w:rPr>
                <w:rFonts w:eastAsia="Calibri"/>
                <w:sz w:val="22"/>
                <w:szCs w:val="22"/>
              </w:rPr>
            </w:pPr>
            <w:r w:rsidRPr="00FE68B7">
              <w:rPr>
                <w:rFonts w:eastAsia="Calibri"/>
                <w:sz w:val="22"/>
                <w:szCs w:val="22"/>
              </w:rPr>
              <w:t>3 +, 3-</w:t>
            </w:r>
          </w:p>
        </w:tc>
        <w:tc>
          <w:tcPr>
            <w:tcW w:w="1890" w:type="dxa"/>
          </w:tcPr>
          <w:p w:rsidR="00366CBC" w:rsidRPr="00FE68B7" w:rsidRDefault="00366CBC" w:rsidP="004D2BFF">
            <w:pPr>
              <w:jc w:val="center"/>
              <w:rPr>
                <w:rFonts w:eastAsia="Calibri"/>
                <w:sz w:val="22"/>
                <w:szCs w:val="22"/>
              </w:rPr>
            </w:pPr>
            <w:r w:rsidRPr="00FE68B7">
              <w:rPr>
                <w:rFonts w:eastAsia="Calibri"/>
                <w:sz w:val="22"/>
                <w:szCs w:val="22"/>
              </w:rPr>
              <w:t>Nsig</w:t>
            </w:r>
          </w:p>
        </w:tc>
      </w:tr>
      <w:tr w:rsidR="00366CBC" w:rsidRPr="00FE68B7" w:rsidTr="00FE68B7">
        <w:tc>
          <w:tcPr>
            <w:tcW w:w="810" w:type="dxa"/>
          </w:tcPr>
          <w:p w:rsidR="00366CBC" w:rsidRPr="00FE68B7" w:rsidRDefault="006365B5" w:rsidP="004D2BFF">
            <w:pPr>
              <w:rPr>
                <w:rFonts w:eastAsia="Calibri"/>
                <w:sz w:val="22"/>
                <w:szCs w:val="22"/>
              </w:rPr>
            </w:pPr>
            <w:r w:rsidRPr="00FE68B7">
              <w:rPr>
                <w:rFonts w:eastAsia="Calibri"/>
                <w:sz w:val="22"/>
                <w:szCs w:val="22"/>
              </w:rPr>
              <w:t>15</w:t>
            </w:r>
          </w:p>
        </w:tc>
        <w:tc>
          <w:tcPr>
            <w:tcW w:w="2610" w:type="dxa"/>
          </w:tcPr>
          <w:p w:rsidR="00366CBC" w:rsidRPr="00FE68B7" w:rsidRDefault="00366CBC" w:rsidP="004D2BFF">
            <w:pPr>
              <w:rPr>
                <w:rFonts w:eastAsia="Calibri"/>
                <w:sz w:val="22"/>
                <w:szCs w:val="22"/>
              </w:rPr>
            </w:pPr>
            <w:r w:rsidRPr="00FE68B7">
              <w:rPr>
                <w:rFonts w:eastAsia="Calibri"/>
                <w:sz w:val="22"/>
                <w:szCs w:val="22"/>
              </w:rPr>
              <w:t>Akhtaruddin (2005)</w:t>
            </w:r>
          </w:p>
        </w:tc>
        <w:tc>
          <w:tcPr>
            <w:tcW w:w="3060" w:type="dxa"/>
          </w:tcPr>
          <w:p w:rsidR="00366CBC" w:rsidRPr="00FE68B7" w:rsidRDefault="00366CBC" w:rsidP="004D2BFF">
            <w:pPr>
              <w:rPr>
                <w:rFonts w:eastAsia="Calibri"/>
                <w:sz w:val="22"/>
                <w:szCs w:val="22"/>
              </w:rPr>
            </w:pPr>
            <w:r w:rsidRPr="00FE68B7">
              <w:rPr>
                <w:rFonts w:eastAsia="Calibri"/>
                <w:sz w:val="22"/>
                <w:szCs w:val="22"/>
              </w:rPr>
              <w:t>Traditional /Modern</w:t>
            </w:r>
          </w:p>
        </w:tc>
        <w:tc>
          <w:tcPr>
            <w:tcW w:w="1350" w:type="dxa"/>
          </w:tcPr>
          <w:p w:rsidR="00366CBC" w:rsidRPr="00FE68B7" w:rsidRDefault="00366CBC" w:rsidP="004D2BFF">
            <w:pPr>
              <w:jc w:val="center"/>
              <w:rPr>
                <w:rFonts w:eastAsia="Calibri"/>
                <w:sz w:val="22"/>
                <w:szCs w:val="22"/>
              </w:rPr>
            </w:pPr>
            <w:r w:rsidRPr="00FE68B7">
              <w:rPr>
                <w:rFonts w:eastAsia="Calibri"/>
                <w:sz w:val="22"/>
                <w:szCs w:val="22"/>
              </w:rPr>
              <w:t>+</w:t>
            </w:r>
          </w:p>
        </w:tc>
        <w:tc>
          <w:tcPr>
            <w:tcW w:w="1890" w:type="dxa"/>
          </w:tcPr>
          <w:p w:rsidR="00366CBC" w:rsidRPr="00FE68B7" w:rsidRDefault="00366CBC" w:rsidP="004D2BFF">
            <w:pPr>
              <w:jc w:val="center"/>
              <w:rPr>
                <w:rFonts w:eastAsia="Calibri"/>
                <w:sz w:val="22"/>
                <w:szCs w:val="22"/>
              </w:rPr>
            </w:pPr>
            <w:r w:rsidRPr="00FE68B7">
              <w:rPr>
                <w:rFonts w:eastAsia="Calibri"/>
                <w:sz w:val="22"/>
                <w:szCs w:val="22"/>
              </w:rPr>
              <w:t>Nsig</w:t>
            </w:r>
          </w:p>
        </w:tc>
      </w:tr>
      <w:tr w:rsidR="00366CBC" w:rsidRPr="00FE68B7" w:rsidTr="00FE68B7">
        <w:tc>
          <w:tcPr>
            <w:tcW w:w="810" w:type="dxa"/>
          </w:tcPr>
          <w:p w:rsidR="00366CBC" w:rsidRPr="00FE68B7" w:rsidRDefault="006365B5" w:rsidP="004D2BFF">
            <w:pPr>
              <w:rPr>
                <w:rFonts w:eastAsia="Calibri"/>
                <w:sz w:val="22"/>
                <w:szCs w:val="22"/>
              </w:rPr>
            </w:pPr>
            <w:r w:rsidRPr="00FE68B7">
              <w:rPr>
                <w:rFonts w:eastAsia="Calibri"/>
                <w:sz w:val="22"/>
                <w:szCs w:val="22"/>
              </w:rPr>
              <w:t>16</w:t>
            </w:r>
          </w:p>
        </w:tc>
        <w:tc>
          <w:tcPr>
            <w:tcW w:w="2610" w:type="dxa"/>
          </w:tcPr>
          <w:p w:rsidR="00366CBC" w:rsidRPr="00FE68B7" w:rsidRDefault="00366CBC" w:rsidP="004D2BFF">
            <w:pPr>
              <w:rPr>
                <w:rFonts w:eastAsia="Calibri"/>
                <w:sz w:val="22"/>
                <w:szCs w:val="22"/>
              </w:rPr>
            </w:pPr>
            <w:r w:rsidRPr="00FE68B7">
              <w:rPr>
                <w:rFonts w:eastAsia="Calibri"/>
                <w:sz w:val="22"/>
                <w:szCs w:val="22"/>
              </w:rPr>
              <w:t>Al-Shammari(2005)</w:t>
            </w:r>
          </w:p>
        </w:tc>
        <w:tc>
          <w:tcPr>
            <w:tcW w:w="3060" w:type="dxa"/>
          </w:tcPr>
          <w:p w:rsidR="00366CBC" w:rsidRPr="00FE68B7" w:rsidRDefault="00366CBC" w:rsidP="004D2BFF">
            <w:pPr>
              <w:autoSpaceDE w:val="0"/>
              <w:autoSpaceDN w:val="0"/>
              <w:adjustRightInd w:val="0"/>
              <w:rPr>
                <w:rFonts w:eastAsia="Calibri"/>
                <w:sz w:val="22"/>
                <w:szCs w:val="22"/>
              </w:rPr>
            </w:pPr>
            <w:r w:rsidRPr="00FE68B7">
              <w:rPr>
                <w:rFonts w:eastAsia="Calibri"/>
                <w:sz w:val="22"/>
                <w:szCs w:val="22"/>
              </w:rPr>
              <w:t>Banking, Insurance, Manufacturing, Services</w:t>
            </w:r>
          </w:p>
        </w:tc>
        <w:tc>
          <w:tcPr>
            <w:tcW w:w="1350" w:type="dxa"/>
          </w:tcPr>
          <w:p w:rsidR="00366CBC" w:rsidRPr="00FE68B7" w:rsidRDefault="00366CBC" w:rsidP="004D2BFF">
            <w:pPr>
              <w:jc w:val="center"/>
              <w:rPr>
                <w:rFonts w:eastAsia="Calibri"/>
                <w:sz w:val="22"/>
                <w:szCs w:val="22"/>
              </w:rPr>
            </w:pPr>
            <w:r w:rsidRPr="00FE68B7">
              <w:rPr>
                <w:rFonts w:eastAsia="Calibri"/>
                <w:sz w:val="22"/>
                <w:szCs w:val="22"/>
              </w:rPr>
              <w:t>+</w:t>
            </w:r>
          </w:p>
        </w:tc>
        <w:tc>
          <w:tcPr>
            <w:tcW w:w="1890" w:type="dxa"/>
          </w:tcPr>
          <w:p w:rsidR="00366CBC" w:rsidRPr="00FE68B7" w:rsidRDefault="00366CBC" w:rsidP="004D2BFF">
            <w:pPr>
              <w:jc w:val="center"/>
              <w:rPr>
                <w:rFonts w:eastAsia="Calibri"/>
                <w:sz w:val="22"/>
                <w:szCs w:val="22"/>
              </w:rPr>
            </w:pPr>
            <w:r w:rsidRPr="00FE68B7">
              <w:rPr>
                <w:rFonts w:eastAsia="Calibri"/>
                <w:sz w:val="22"/>
                <w:szCs w:val="22"/>
              </w:rPr>
              <w:t>Sig</w:t>
            </w:r>
          </w:p>
        </w:tc>
      </w:tr>
      <w:tr w:rsidR="00366CBC" w:rsidRPr="00FE68B7" w:rsidTr="00FE68B7">
        <w:tc>
          <w:tcPr>
            <w:tcW w:w="810" w:type="dxa"/>
          </w:tcPr>
          <w:p w:rsidR="00366CBC" w:rsidRPr="00FE68B7" w:rsidRDefault="006365B5" w:rsidP="004D2BFF">
            <w:pPr>
              <w:rPr>
                <w:rFonts w:eastAsia="Calibri"/>
                <w:sz w:val="22"/>
                <w:szCs w:val="22"/>
              </w:rPr>
            </w:pPr>
            <w:r w:rsidRPr="00FE68B7">
              <w:rPr>
                <w:rFonts w:eastAsia="Calibri"/>
                <w:sz w:val="22"/>
                <w:szCs w:val="22"/>
              </w:rPr>
              <w:t>17</w:t>
            </w:r>
          </w:p>
        </w:tc>
        <w:tc>
          <w:tcPr>
            <w:tcW w:w="2610" w:type="dxa"/>
          </w:tcPr>
          <w:p w:rsidR="00366CBC" w:rsidRPr="00FE68B7" w:rsidRDefault="00366CBC" w:rsidP="004D2BFF">
            <w:pPr>
              <w:rPr>
                <w:rFonts w:eastAsia="Calibri"/>
                <w:sz w:val="22"/>
                <w:szCs w:val="22"/>
              </w:rPr>
            </w:pPr>
            <w:r w:rsidRPr="00FE68B7">
              <w:rPr>
                <w:rFonts w:eastAsia="Calibri"/>
                <w:sz w:val="22"/>
                <w:szCs w:val="22"/>
              </w:rPr>
              <w:t>Barako(2007)</w:t>
            </w:r>
          </w:p>
        </w:tc>
        <w:tc>
          <w:tcPr>
            <w:tcW w:w="3060" w:type="dxa"/>
          </w:tcPr>
          <w:p w:rsidR="00366CBC" w:rsidRPr="00FE68B7" w:rsidRDefault="00366CBC" w:rsidP="004D2BFF">
            <w:pPr>
              <w:autoSpaceDE w:val="0"/>
              <w:autoSpaceDN w:val="0"/>
              <w:adjustRightInd w:val="0"/>
              <w:rPr>
                <w:rFonts w:eastAsia="Calibri"/>
                <w:sz w:val="22"/>
                <w:szCs w:val="22"/>
              </w:rPr>
            </w:pPr>
            <w:r w:rsidRPr="00FE68B7">
              <w:rPr>
                <w:rFonts w:eastAsia="Calibri"/>
                <w:sz w:val="22"/>
                <w:szCs w:val="22"/>
              </w:rPr>
              <w:t>Agriculture, Commercial and Services,</w:t>
            </w:r>
          </w:p>
          <w:p w:rsidR="00366CBC" w:rsidRPr="00FE68B7" w:rsidRDefault="00366CBC" w:rsidP="004D2BFF">
            <w:pPr>
              <w:autoSpaceDE w:val="0"/>
              <w:autoSpaceDN w:val="0"/>
              <w:adjustRightInd w:val="0"/>
              <w:rPr>
                <w:rFonts w:eastAsia="Calibri"/>
                <w:sz w:val="22"/>
                <w:szCs w:val="22"/>
              </w:rPr>
            </w:pPr>
            <w:r w:rsidRPr="00FE68B7">
              <w:rPr>
                <w:rFonts w:eastAsia="Calibri"/>
                <w:sz w:val="22"/>
                <w:szCs w:val="22"/>
              </w:rPr>
              <w:t>Finance and Investments, and</w:t>
            </w:r>
          </w:p>
          <w:p w:rsidR="00366CBC" w:rsidRPr="00FE68B7" w:rsidRDefault="00366CBC" w:rsidP="004D2BFF">
            <w:pPr>
              <w:rPr>
                <w:rFonts w:eastAsia="Calibri"/>
                <w:sz w:val="22"/>
                <w:szCs w:val="22"/>
              </w:rPr>
            </w:pPr>
            <w:r w:rsidRPr="00FE68B7">
              <w:rPr>
                <w:rFonts w:eastAsia="Calibri"/>
                <w:sz w:val="22"/>
                <w:szCs w:val="22"/>
              </w:rPr>
              <w:t>Industrial and Allied</w:t>
            </w:r>
          </w:p>
        </w:tc>
        <w:tc>
          <w:tcPr>
            <w:tcW w:w="1350" w:type="dxa"/>
          </w:tcPr>
          <w:p w:rsidR="00366CBC" w:rsidRPr="00FE68B7" w:rsidRDefault="00366CBC" w:rsidP="004D2BFF">
            <w:pPr>
              <w:jc w:val="center"/>
              <w:rPr>
                <w:rFonts w:eastAsia="Calibri"/>
                <w:sz w:val="22"/>
                <w:szCs w:val="22"/>
              </w:rPr>
            </w:pPr>
            <w:r w:rsidRPr="00FE68B7">
              <w:rPr>
                <w:rFonts w:eastAsia="Calibri"/>
                <w:sz w:val="22"/>
                <w:szCs w:val="22"/>
              </w:rPr>
              <w:t>Agriculture +for 4 categories</w:t>
            </w:r>
          </w:p>
        </w:tc>
        <w:tc>
          <w:tcPr>
            <w:tcW w:w="1890" w:type="dxa"/>
          </w:tcPr>
          <w:p w:rsidR="00366CBC" w:rsidRPr="00FE68B7" w:rsidRDefault="00366CBC" w:rsidP="004D2BFF">
            <w:pPr>
              <w:jc w:val="center"/>
              <w:rPr>
                <w:rFonts w:eastAsia="Calibri"/>
                <w:sz w:val="22"/>
                <w:szCs w:val="22"/>
              </w:rPr>
            </w:pPr>
            <w:r w:rsidRPr="00FE68B7">
              <w:rPr>
                <w:rFonts w:eastAsia="Calibri"/>
                <w:sz w:val="22"/>
                <w:szCs w:val="22"/>
              </w:rPr>
              <w:t>Agriculture Sig for all 4 categories</w:t>
            </w:r>
          </w:p>
        </w:tc>
      </w:tr>
    </w:tbl>
    <w:p w:rsidR="005171F5" w:rsidRPr="00FE68B7" w:rsidRDefault="005171F5" w:rsidP="005171F5">
      <w:pPr>
        <w:jc w:val="center"/>
        <w:rPr>
          <w:sz w:val="22"/>
          <w:szCs w:val="22"/>
        </w:rPr>
      </w:pPr>
    </w:p>
    <w:p w:rsidR="005171F5" w:rsidRPr="00FE68B7" w:rsidRDefault="005171F5" w:rsidP="005171F5">
      <w:pPr>
        <w:jc w:val="center"/>
        <w:rPr>
          <w:b/>
          <w:sz w:val="22"/>
          <w:szCs w:val="22"/>
        </w:rPr>
      </w:pPr>
      <w:r w:rsidRPr="00FE68B7">
        <w:rPr>
          <w:b/>
          <w:sz w:val="22"/>
          <w:szCs w:val="22"/>
        </w:rPr>
        <w:t>Source: Compiled from the literature reviewed by the researcher (2009)</w:t>
      </w:r>
    </w:p>
    <w:p w:rsidR="005171F5" w:rsidRPr="008573C5" w:rsidRDefault="005171F5" w:rsidP="005171F5">
      <w:pPr>
        <w:jc w:val="center"/>
        <w:rPr>
          <w:b/>
          <w:sz w:val="28"/>
          <w:szCs w:val="28"/>
        </w:rPr>
      </w:pPr>
      <w:r w:rsidRPr="008573C5">
        <w:rPr>
          <w:b/>
          <w:sz w:val="28"/>
          <w:szCs w:val="28"/>
        </w:rPr>
        <w:t>Table 2.07</w:t>
      </w:r>
    </w:p>
    <w:p w:rsidR="005171F5" w:rsidRPr="008573C5" w:rsidRDefault="005171F5" w:rsidP="005171F5">
      <w:pPr>
        <w:jc w:val="center"/>
        <w:rPr>
          <w:sz w:val="28"/>
          <w:szCs w:val="28"/>
        </w:rPr>
      </w:pPr>
      <w:r w:rsidRPr="008573C5">
        <w:rPr>
          <w:b/>
          <w:sz w:val="28"/>
          <w:szCs w:val="28"/>
        </w:rPr>
        <w:t>Summary of Studies Investigating the Association between Level of Disclosure and Auditor</w:t>
      </w:r>
    </w:p>
    <w:p w:rsidR="005171F5" w:rsidRPr="008573C5" w:rsidRDefault="005171F5" w:rsidP="005171F5">
      <w:pPr>
        <w:jc w:val="center"/>
        <w:rPr>
          <w:sz w:val="20"/>
          <w:szCs w:val="20"/>
        </w:rPr>
      </w:pP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2088"/>
        <w:gridCol w:w="3180"/>
        <w:gridCol w:w="1249"/>
        <w:gridCol w:w="2230"/>
      </w:tblGrid>
      <w:tr w:rsidR="005171F5" w:rsidRPr="00FE68B7" w:rsidTr="004D2BFF">
        <w:tc>
          <w:tcPr>
            <w:tcW w:w="828" w:type="dxa"/>
          </w:tcPr>
          <w:p w:rsidR="005171F5" w:rsidRPr="00FE68B7" w:rsidRDefault="005171F5" w:rsidP="004D2BFF">
            <w:pPr>
              <w:rPr>
                <w:rFonts w:eastAsia="Calibri"/>
                <w:b/>
                <w:sz w:val="22"/>
                <w:szCs w:val="22"/>
              </w:rPr>
            </w:pPr>
            <w:r w:rsidRPr="00FE68B7">
              <w:rPr>
                <w:rFonts w:eastAsia="Calibri"/>
                <w:b/>
                <w:sz w:val="22"/>
                <w:szCs w:val="22"/>
              </w:rPr>
              <w:t>S/N</w:t>
            </w:r>
          </w:p>
        </w:tc>
        <w:tc>
          <w:tcPr>
            <w:tcW w:w="2088" w:type="dxa"/>
          </w:tcPr>
          <w:p w:rsidR="005171F5" w:rsidRPr="00FE68B7" w:rsidRDefault="005171F5" w:rsidP="004D2BFF">
            <w:pPr>
              <w:rPr>
                <w:rFonts w:eastAsia="Calibri"/>
                <w:b/>
                <w:sz w:val="22"/>
                <w:szCs w:val="22"/>
              </w:rPr>
            </w:pPr>
            <w:r w:rsidRPr="00FE68B7">
              <w:rPr>
                <w:rFonts w:eastAsia="Calibri"/>
                <w:b/>
                <w:sz w:val="22"/>
                <w:szCs w:val="22"/>
              </w:rPr>
              <w:t>Author(s)</w:t>
            </w:r>
          </w:p>
        </w:tc>
        <w:tc>
          <w:tcPr>
            <w:tcW w:w="3180" w:type="dxa"/>
          </w:tcPr>
          <w:p w:rsidR="005171F5" w:rsidRPr="00FE68B7" w:rsidRDefault="006365B5" w:rsidP="004D2BFF">
            <w:pPr>
              <w:rPr>
                <w:rFonts w:eastAsia="Calibri"/>
                <w:b/>
                <w:sz w:val="22"/>
                <w:szCs w:val="22"/>
              </w:rPr>
            </w:pPr>
            <w:r w:rsidRPr="00FE68B7">
              <w:rPr>
                <w:rFonts w:eastAsia="Calibri"/>
                <w:b/>
                <w:sz w:val="22"/>
                <w:szCs w:val="22"/>
              </w:rPr>
              <w:t>Proxy</w:t>
            </w:r>
          </w:p>
        </w:tc>
        <w:tc>
          <w:tcPr>
            <w:tcW w:w="1249" w:type="dxa"/>
          </w:tcPr>
          <w:p w:rsidR="005171F5" w:rsidRPr="00FE68B7" w:rsidRDefault="005171F5" w:rsidP="004D2BFF">
            <w:pPr>
              <w:jc w:val="center"/>
              <w:rPr>
                <w:rFonts w:eastAsia="Calibri"/>
                <w:b/>
                <w:sz w:val="22"/>
                <w:szCs w:val="22"/>
              </w:rPr>
            </w:pPr>
            <w:r w:rsidRPr="00FE68B7">
              <w:rPr>
                <w:rFonts w:eastAsia="Calibri"/>
                <w:b/>
                <w:sz w:val="22"/>
                <w:szCs w:val="22"/>
              </w:rPr>
              <w:t>Reported</w:t>
            </w:r>
          </w:p>
          <w:p w:rsidR="005171F5" w:rsidRPr="00FE68B7" w:rsidRDefault="005171F5" w:rsidP="004D2BFF">
            <w:pPr>
              <w:jc w:val="center"/>
              <w:rPr>
                <w:rFonts w:eastAsia="Calibri"/>
                <w:b/>
                <w:sz w:val="22"/>
                <w:szCs w:val="22"/>
              </w:rPr>
            </w:pPr>
            <w:r w:rsidRPr="00FE68B7">
              <w:rPr>
                <w:rFonts w:eastAsia="Calibri"/>
                <w:b/>
                <w:sz w:val="22"/>
                <w:szCs w:val="22"/>
              </w:rPr>
              <w:t>Sign</w:t>
            </w:r>
          </w:p>
        </w:tc>
        <w:tc>
          <w:tcPr>
            <w:tcW w:w="2230" w:type="dxa"/>
          </w:tcPr>
          <w:p w:rsidR="005171F5" w:rsidRPr="00FE68B7" w:rsidRDefault="005171F5" w:rsidP="004D2BFF">
            <w:pPr>
              <w:jc w:val="center"/>
              <w:rPr>
                <w:rFonts w:eastAsia="Calibri"/>
                <w:b/>
                <w:sz w:val="22"/>
                <w:szCs w:val="22"/>
              </w:rPr>
            </w:pPr>
            <w:r w:rsidRPr="00FE68B7">
              <w:rPr>
                <w:rFonts w:eastAsia="Calibri"/>
                <w:b/>
                <w:sz w:val="22"/>
                <w:szCs w:val="22"/>
              </w:rPr>
              <w:t>Significant(Sig)/Non Significant(Nsig)</w:t>
            </w:r>
          </w:p>
        </w:tc>
      </w:tr>
      <w:tr w:rsidR="005171F5" w:rsidRPr="00FE68B7" w:rsidTr="004D2BFF">
        <w:tc>
          <w:tcPr>
            <w:tcW w:w="828"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1</w:t>
            </w:r>
          </w:p>
        </w:tc>
        <w:tc>
          <w:tcPr>
            <w:tcW w:w="2088"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Signhvi and Desai(1971)</w:t>
            </w:r>
          </w:p>
        </w:tc>
        <w:tc>
          <w:tcPr>
            <w:tcW w:w="3180" w:type="dxa"/>
          </w:tcPr>
          <w:p w:rsidR="005171F5" w:rsidRPr="00FE68B7" w:rsidRDefault="006365B5" w:rsidP="004D2BFF">
            <w:pPr>
              <w:rPr>
                <w:rFonts w:eastAsia="Calibri"/>
                <w:sz w:val="22"/>
                <w:szCs w:val="22"/>
              </w:rPr>
            </w:pPr>
            <w:r w:rsidRPr="00FE68B7">
              <w:rPr>
                <w:rFonts w:eastAsia="Calibri"/>
                <w:sz w:val="22"/>
                <w:szCs w:val="22"/>
              </w:rPr>
              <w:t>Auditing firms</w:t>
            </w:r>
          </w:p>
        </w:tc>
        <w:tc>
          <w:tcPr>
            <w:tcW w:w="1249"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4D2BFF">
        <w:tc>
          <w:tcPr>
            <w:tcW w:w="828"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2</w:t>
            </w:r>
          </w:p>
        </w:tc>
        <w:tc>
          <w:tcPr>
            <w:tcW w:w="2088"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McNally et al (1982)</w:t>
            </w:r>
          </w:p>
        </w:tc>
        <w:tc>
          <w:tcPr>
            <w:tcW w:w="3180" w:type="dxa"/>
          </w:tcPr>
          <w:p w:rsidR="005171F5" w:rsidRPr="00FE68B7" w:rsidRDefault="005171F5" w:rsidP="004D2BFF">
            <w:pPr>
              <w:rPr>
                <w:rFonts w:eastAsia="Calibri"/>
                <w:sz w:val="22"/>
                <w:szCs w:val="22"/>
              </w:rPr>
            </w:pPr>
            <w:r w:rsidRPr="00FE68B7">
              <w:rPr>
                <w:rFonts w:eastAsia="Calibri"/>
                <w:sz w:val="22"/>
                <w:szCs w:val="22"/>
              </w:rPr>
              <w:t>Big 8/ non big 8</w:t>
            </w:r>
          </w:p>
        </w:tc>
        <w:tc>
          <w:tcPr>
            <w:tcW w:w="1249" w:type="dxa"/>
          </w:tcPr>
          <w:p w:rsidR="005171F5" w:rsidRPr="00FE68B7" w:rsidRDefault="005171F5" w:rsidP="004D2BFF">
            <w:pPr>
              <w:jc w:val="center"/>
              <w:rPr>
                <w:rFonts w:eastAsia="Calibri"/>
                <w:sz w:val="22"/>
                <w:szCs w:val="22"/>
              </w:rPr>
            </w:pP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4D2BFF">
        <w:tc>
          <w:tcPr>
            <w:tcW w:w="828" w:type="dxa"/>
          </w:tcPr>
          <w:p w:rsidR="005171F5" w:rsidRPr="00FE68B7" w:rsidRDefault="005171F5" w:rsidP="004D2BFF">
            <w:pPr>
              <w:rPr>
                <w:rFonts w:eastAsia="Calibri"/>
                <w:sz w:val="22"/>
                <w:szCs w:val="22"/>
              </w:rPr>
            </w:pPr>
            <w:r w:rsidRPr="00FE68B7">
              <w:rPr>
                <w:rFonts w:eastAsia="Calibri"/>
                <w:sz w:val="22"/>
                <w:szCs w:val="22"/>
              </w:rPr>
              <w:t>3</w:t>
            </w:r>
          </w:p>
        </w:tc>
        <w:tc>
          <w:tcPr>
            <w:tcW w:w="2088" w:type="dxa"/>
          </w:tcPr>
          <w:p w:rsidR="005171F5" w:rsidRPr="00FE68B7" w:rsidRDefault="005171F5" w:rsidP="004D2BFF">
            <w:pPr>
              <w:rPr>
                <w:rFonts w:eastAsia="Calibri"/>
                <w:sz w:val="22"/>
                <w:szCs w:val="22"/>
              </w:rPr>
            </w:pPr>
            <w:r w:rsidRPr="00FE68B7">
              <w:rPr>
                <w:rFonts w:eastAsia="Calibri"/>
                <w:sz w:val="22"/>
                <w:szCs w:val="22"/>
              </w:rPr>
              <w:t>Malone et al(1993)</w:t>
            </w:r>
          </w:p>
        </w:tc>
        <w:tc>
          <w:tcPr>
            <w:tcW w:w="3180" w:type="dxa"/>
          </w:tcPr>
          <w:p w:rsidR="005171F5" w:rsidRPr="00FE68B7" w:rsidRDefault="005171F5" w:rsidP="004D2BFF">
            <w:pPr>
              <w:rPr>
                <w:rFonts w:eastAsia="Calibri"/>
                <w:sz w:val="22"/>
                <w:szCs w:val="22"/>
              </w:rPr>
            </w:pPr>
            <w:r w:rsidRPr="00FE68B7">
              <w:rPr>
                <w:rFonts w:eastAsia="Calibri"/>
                <w:sz w:val="22"/>
                <w:szCs w:val="22"/>
              </w:rPr>
              <w:t>Big 8/ non big 8</w:t>
            </w:r>
          </w:p>
        </w:tc>
        <w:tc>
          <w:tcPr>
            <w:tcW w:w="1249"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4D2BFF">
        <w:tc>
          <w:tcPr>
            <w:tcW w:w="828"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4</w:t>
            </w:r>
          </w:p>
        </w:tc>
        <w:tc>
          <w:tcPr>
            <w:tcW w:w="2088"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Wallace et al(1994)</w:t>
            </w:r>
          </w:p>
        </w:tc>
        <w:tc>
          <w:tcPr>
            <w:tcW w:w="3180" w:type="dxa"/>
          </w:tcPr>
          <w:p w:rsidR="005171F5" w:rsidRPr="00FE68B7" w:rsidRDefault="005171F5" w:rsidP="004D2BFF">
            <w:pPr>
              <w:rPr>
                <w:rFonts w:eastAsia="Calibri"/>
                <w:sz w:val="22"/>
                <w:szCs w:val="22"/>
              </w:rPr>
            </w:pPr>
            <w:r w:rsidRPr="00FE68B7">
              <w:rPr>
                <w:rFonts w:eastAsia="Calibri"/>
                <w:sz w:val="22"/>
                <w:szCs w:val="22"/>
              </w:rPr>
              <w:t>Big 6/ Non big six</w:t>
            </w:r>
          </w:p>
        </w:tc>
        <w:tc>
          <w:tcPr>
            <w:tcW w:w="1249"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4D2BFF">
        <w:tc>
          <w:tcPr>
            <w:tcW w:w="828"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5</w:t>
            </w:r>
          </w:p>
        </w:tc>
        <w:tc>
          <w:tcPr>
            <w:tcW w:w="2088"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Raffournier(1995)</w:t>
            </w:r>
          </w:p>
        </w:tc>
        <w:tc>
          <w:tcPr>
            <w:tcW w:w="3180" w:type="dxa"/>
          </w:tcPr>
          <w:p w:rsidR="005171F5" w:rsidRPr="00FE68B7" w:rsidRDefault="005171F5" w:rsidP="004D2BFF">
            <w:pPr>
              <w:rPr>
                <w:rFonts w:eastAsia="Calibri"/>
                <w:sz w:val="22"/>
                <w:szCs w:val="22"/>
              </w:rPr>
            </w:pPr>
            <w:r w:rsidRPr="00FE68B7">
              <w:rPr>
                <w:rFonts w:eastAsia="Calibri"/>
                <w:sz w:val="22"/>
                <w:szCs w:val="22"/>
              </w:rPr>
              <w:t>Big six/Non big six</w:t>
            </w:r>
          </w:p>
        </w:tc>
        <w:tc>
          <w:tcPr>
            <w:tcW w:w="1249"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4D2BFF">
        <w:tc>
          <w:tcPr>
            <w:tcW w:w="828" w:type="dxa"/>
          </w:tcPr>
          <w:p w:rsidR="005171F5" w:rsidRPr="00FE68B7" w:rsidRDefault="006365B5" w:rsidP="004D2BFF">
            <w:pPr>
              <w:tabs>
                <w:tab w:val="left" w:pos="7320"/>
              </w:tabs>
              <w:spacing w:before="240"/>
              <w:rPr>
                <w:rFonts w:eastAsia="Calibri"/>
                <w:sz w:val="22"/>
                <w:szCs w:val="22"/>
              </w:rPr>
            </w:pPr>
            <w:r w:rsidRPr="00FE68B7">
              <w:rPr>
                <w:rFonts w:eastAsia="Calibri"/>
                <w:sz w:val="22"/>
                <w:szCs w:val="22"/>
              </w:rPr>
              <w:t>6</w:t>
            </w:r>
          </w:p>
        </w:tc>
        <w:tc>
          <w:tcPr>
            <w:tcW w:w="2088"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Wallace and Naser(1995)</w:t>
            </w:r>
          </w:p>
        </w:tc>
        <w:tc>
          <w:tcPr>
            <w:tcW w:w="3180" w:type="dxa"/>
          </w:tcPr>
          <w:p w:rsidR="005171F5" w:rsidRPr="00FE68B7" w:rsidRDefault="005171F5" w:rsidP="004D2BFF">
            <w:pPr>
              <w:rPr>
                <w:rFonts w:eastAsia="Calibri"/>
                <w:sz w:val="22"/>
                <w:szCs w:val="22"/>
              </w:rPr>
            </w:pPr>
            <w:r w:rsidRPr="00FE68B7">
              <w:rPr>
                <w:rFonts w:eastAsia="Calibri"/>
                <w:sz w:val="22"/>
                <w:szCs w:val="22"/>
              </w:rPr>
              <w:t>Big Six/Non Big Six</w:t>
            </w:r>
          </w:p>
        </w:tc>
        <w:tc>
          <w:tcPr>
            <w:tcW w:w="1249"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4D2BFF">
        <w:tc>
          <w:tcPr>
            <w:tcW w:w="828" w:type="dxa"/>
          </w:tcPr>
          <w:p w:rsidR="005171F5" w:rsidRPr="00FE68B7" w:rsidRDefault="006365B5" w:rsidP="004D2BFF">
            <w:pPr>
              <w:tabs>
                <w:tab w:val="left" w:pos="7320"/>
              </w:tabs>
              <w:spacing w:before="240"/>
              <w:rPr>
                <w:rFonts w:eastAsia="Calibri"/>
                <w:sz w:val="22"/>
                <w:szCs w:val="22"/>
              </w:rPr>
            </w:pPr>
            <w:r w:rsidRPr="00FE68B7">
              <w:rPr>
                <w:rFonts w:eastAsia="Calibri"/>
                <w:sz w:val="22"/>
                <w:szCs w:val="22"/>
              </w:rPr>
              <w:t>7</w:t>
            </w:r>
          </w:p>
        </w:tc>
        <w:tc>
          <w:tcPr>
            <w:tcW w:w="2088" w:type="dxa"/>
          </w:tcPr>
          <w:p w:rsidR="005171F5" w:rsidRPr="00FE68B7" w:rsidRDefault="005171F5" w:rsidP="004D2BFF">
            <w:pPr>
              <w:tabs>
                <w:tab w:val="left" w:pos="7320"/>
              </w:tabs>
              <w:spacing w:before="240"/>
              <w:rPr>
                <w:rFonts w:eastAsia="Calibri"/>
                <w:sz w:val="22"/>
                <w:szCs w:val="22"/>
              </w:rPr>
            </w:pPr>
            <w:r w:rsidRPr="00FE68B7">
              <w:rPr>
                <w:rFonts w:eastAsia="Calibri"/>
                <w:sz w:val="22"/>
                <w:szCs w:val="22"/>
              </w:rPr>
              <w:t>Inchausti(1997)</w:t>
            </w:r>
          </w:p>
        </w:tc>
        <w:tc>
          <w:tcPr>
            <w:tcW w:w="3180" w:type="dxa"/>
          </w:tcPr>
          <w:p w:rsidR="005171F5" w:rsidRPr="00FE68B7" w:rsidRDefault="005171F5" w:rsidP="004D2BFF">
            <w:pPr>
              <w:rPr>
                <w:rFonts w:eastAsia="Calibri"/>
                <w:sz w:val="22"/>
                <w:szCs w:val="22"/>
              </w:rPr>
            </w:pPr>
            <w:r w:rsidRPr="00FE68B7">
              <w:rPr>
                <w:rFonts w:eastAsia="Calibri"/>
                <w:sz w:val="22"/>
                <w:szCs w:val="22"/>
              </w:rPr>
              <w:t>Big Six/Non Big Six</w:t>
            </w:r>
          </w:p>
        </w:tc>
        <w:tc>
          <w:tcPr>
            <w:tcW w:w="1249"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4D2BFF">
        <w:tc>
          <w:tcPr>
            <w:tcW w:w="828" w:type="dxa"/>
          </w:tcPr>
          <w:p w:rsidR="005171F5" w:rsidRPr="00FE68B7" w:rsidRDefault="006365B5" w:rsidP="004D2BFF">
            <w:pPr>
              <w:rPr>
                <w:rFonts w:eastAsia="Calibri"/>
                <w:sz w:val="22"/>
                <w:szCs w:val="22"/>
              </w:rPr>
            </w:pPr>
            <w:r w:rsidRPr="00FE68B7">
              <w:rPr>
                <w:rFonts w:eastAsia="Calibri"/>
                <w:sz w:val="22"/>
                <w:szCs w:val="22"/>
              </w:rPr>
              <w:t>8</w:t>
            </w:r>
          </w:p>
        </w:tc>
        <w:tc>
          <w:tcPr>
            <w:tcW w:w="2088" w:type="dxa"/>
          </w:tcPr>
          <w:p w:rsidR="005171F5" w:rsidRPr="00FE68B7" w:rsidRDefault="005171F5" w:rsidP="004D2BFF">
            <w:pPr>
              <w:rPr>
                <w:rFonts w:eastAsia="Calibri"/>
                <w:sz w:val="22"/>
                <w:szCs w:val="22"/>
              </w:rPr>
            </w:pPr>
            <w:r w:rsidRPr="00FE68B7">
              <w:rPr>
                <w:rFonts w:eastAsia="Calibri"/>
                <w:sz w:val="22"/>
                <w:szCs w:val="22"/>
              </w:rPr>
              <w:t>Owusu-Ansah (1998)</w:t>
            </w:r>
          </w:p>
        </w:tc>
        <w:tc>
          <w:tcPr>
            <w:tcW w:w="3180" w:type="dxa"/>
          </w:tcPr>
          <w:p w:rsidR="005171F5" w:rsidRPr="00FE68B7" w:rsidRDefault="005171F5" w:rsidP="004D2BFF">
            <w:pPr>
              <w:rPr>
                <w:rFonts w:eastAsia="Calibri"/>
                <w:sz w:val="22"/>
                <w:szCs w:val="22"/>
              </w:rPr>
            </w:pPr>
            <w:r w:rsidRPr="00FE68B7">
              <w:rPr>
                <w:rFonts w:eastAsia="Calibri"/>
                <w:sz w:val="22"/>
                <w:szCs w:val="22"/>
              </w:rPr>
              <w:t>Concentration ratio</w:t>
            </w:r>
          </w:p>
        </w:tc>
        <w:tc>
          <w:tcPr>
            <w:tcW w:w="1249"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4D2BFF">
        <w:tc>
          <w:tcPr>
            <w:tcW w:w="828" w:type="dxa"/>
          </w:tcPr>
          <w:p w:rsidR="005171F5" w:rsidRPr="00FE68B7" w:rsidRDefault="006365B5" w:rsidP="004D2BFF">
            <w:pPr>
              <w:rPr>
                <w:rFonts w:eastAsia="Calibri"/>
                <w:sz w:val="22"/>
                <w:szCs w:val="22"/>
              </w:rPr>
            </w:pPr>
            <w:r w:rsidRPr="00FE68B7">
              <w:rPr>
                <w:rFonts w:eastAsia="Calibri"/>
                <w:sz w:val="22"/>
                <w:szCs w:val="22"/>
              </w:rPr>
              <w:t>9</w:t>
            </w:r>
          </w:p>
        </w:tc>
        <w:tc>
          <w:tcPr>
            <w:tcW w:w="2088" w:type="dxa"/>
          </w:tcPr>
          <w:p w:rsidR="005171F5" w:rsidRPr="00FE68B7" w:rsidRDefault="005171F5" w:rsidP="004D2BFF">
            <w:pPr>
              <w:rPr>
                <w:rFonts w:eastAsia="Calibri"/>
                <w:sz w:val="22"/>
                <w:szCs w:val="22"/>
              </w:rPr>
            </w:pPr>
            <w:r w:rsidRPr="00FE68B7">
              <w:rPr>
                <w:rFonts w:eastAsia="Calibri"/>
                <w:sz w:val="22"/>
                <w:szCs w:val="22"/>
              </w:rPr>
              <w:t>Depoers (2000)</w:t>
            </w:r>
          </w:p>
        </w:tc>
        <w:tc>
          <w:tcPr>
            <w:tcW w:w="3180" w:type="dxa"/>
          </w:tcPr>
          <w:p w:rsidR="005171F5" w:rsidRPr="00FE68B7" w:rsidRDefault="005171F5" w:rsidP="004D2BFF">
            <w:pPr>
              <w:rPr>
                <w:rFonts w:eastAsia="Calibri"/>
                <w:sz w:val="22"/>
                <w:szCs w:val="22"/>
              </w:rPr>
            </w:pPr>
            <w:r w:rsidRPr="00FE68B7">
              <w:rPr>
                <w:rFonts w:eastAsia="Calibri"/>
                <w:sz w:val="22"/>
                <w:szCs w:val="22"/>
              </w:rPr>
              <w:t>Big Six/Non Big Six</w:t>
            </w:r>
          </w:p>
          <w:p w:rsidR="005171F5" w:rsidRPr="00FE68B7" w:rsidRDefault="005171F5" w:rsidP="004D2BFF">
            <w:pPr>
              <w:rPr>
                <w:rFonts w:eastAsia="Calibri"/>
                <w:sz w:val="22"/>
                <w:szCs w:val="22"/>
              </w:rPr>
            </w:pPr>
          </w:p>
        </w:tc>
        <w:tc>
          <w:tcPr>
            <w:tcW w:w="1249"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4D2BFF">
        <w:tc>
          <w:tcPr>
            <w:tcW w:w="828" w:type="dxa"/>
          </w:tcPr>
          <w:p w:rsidR="005171F5" w:rsidRPr="00FE68B7" w:rsidRDefault="006365B5" w:rsidP="004D2BFF">
            <w:pPr>
              <w:rPr>
                <w:rFonts w:eastAsia="Calibri"/>
                <w:sz w:val="22"/>
                <w:szCs w:val="22"/>
              </w:rPr>
            </w:pPr>
            <w:r w:rsidRPr="00FE68B7">
              <w:rPr>
                <w:rFonts w:eastAsia="Calibri"/>
                <w:sz w:val="22"/>
                <w:szCs w:val="22"/>
              </w:rPr>
              <w:t>10</w:t>
            </w:r>
          </w:p>
        </w:tc>
        <w:tc>
          <w:tcPr>
            <w:tcW w:w="2088" w:type="dxa"/>
          </w:tcPr>
          <w:p w:rsidR="005171F5" w:rsidRPr="00FE68B7" w:rsidRDefault="005171F5" w:rsidP="004D2BFF">
            <w:pPr>
              <w:rPr>
                <w:rFonts w:eastAsia="Calibri"/>
                <w:sz w:val="22"/>
                <w:szCs w:val="22"/>
              </w:rPr>
            </w:pPr>
            <w:r w:rsidRPr="00FE68B7">
              <w:rPr>
                <w:rFonts w:eastAsia="Calibri"/>
                <w:sz w:val="22"/>
                <w:szCs w:val="22"/>
              </w:rPr>
              <w:t>Haniffa and Cooke (2002)</w:t>
            </w:r>
          </w:p>
        </w:tc>
        <w:tc>
          <w:tcPr>
            <w:tcW w:w="3180" w:type="dxa"/>
          </w:tcPr>
          <w:p w:rsidR="005171F5" w:rsidRPr="00FE68B7" w:rsidRDefault="005171F5" w:rsidP="004D2BFF">
            <w:pPr>
              <w:rPr>
                <w:rFonts w:eastAsia="Calibri"/>
                <w:sz w:val="22"/>
                <w:szCs w:val="22"/>
              </w:rPr>
            </w:pPr>
            <w:r w:rsidRPr="00FE68B7">
              <w:rPr>
                <w:rFonts w:eastAsia="Calibri"/>
                <w:sz w:val="22"/>
                <w:szCs w:val="22"/>
              </w:rPr>
              <w:t>Big Six/Non Big Six</w:t>
            </w:r>
          </w:p>
        </w:tc>
        <w:tc>
          <w:tcPr>
            <w:tcW w:w="1249"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4D2BFF">
        <w:trPr>
          <w:trHeight w:val="800"/>
        </w:trPr>
        <w:tc>
          <w:tcPr>
            <w:tcW w:w="828" w:type="dxa"/>
          </w:tcPr>
          <w:p w:rsidR="005171F5" w:rsidRPr="00FE68B7" w:rsidRDefault="005171F5" w:rsidP="004D2BFF">
            <w:pPr>
              <w:rPr>
                <w:rFonts w:eastAsia="Calibri"/>
                <w:sz w:val="22"/>
                <w:szCs w:val="22"/>
              </w:rPr>
            </w:pPr>
            <w:r w:rsidRPr="00FE68B7">
              <w:rPr>
                <w:rFonts w:eastAsia="Calibri"/>
                <w:sz w:val="22"/>
                <w:szCs w:val="22"/>
              </w:rPr>
              <w:t>1</w:t>
            </w:r>
            <w:r w:rsidR="006365B5" w:rsidRPr="00FE68B7">
              <w:rPr>
                <w:rFonts w:eastAsia="Calibri"/>
                <w:sz w:val="22"/>
                <w:szCs w:val="22"/>
              </w:rPr>
              <w:t>1</w:t>
            </w:r>
          </w:p>
        </w:tc>
        <w:tc>
          <w:tcPr>
            <w:tcW w:w="2088" w:type="dxa"/>
          </w:tcPr>
          <w:p w:rsidR="005171F5" w:rsidRPr="00FE68B7" w:rsidRDefault="005171F5" w:rsidP="004D2BFF">
            <w:pPr>
              <w:rPr>
                <w:rFonts w:eastAsia="Calibri"/>
                <w:sz w:val="22"/>
                <w:szCs w:val="22"/>
              </w:rPr>
            </w:pPr>
            <w:r w:rsidRPr="00FE68B7">
              <w:rPr>
                <w:rFonts w:eastAsia="Calibri"/>
                <w:sz w:val="22"/>
                <w:szCs w:val="22"/>
              </w:rPr>
              <w:t>Naser et al(2002)</w:t>
            </w:r>
          </w:p>
        </w:tc>
        <w:tc>
          <w:tcPr>
            <w:tcW w:w="3180" w:type="dxa"/>
          </w:tcPr>
          <w:p w:rsidR="005171F5" w:rsidRPr="00FE68B7" w:rsidRDefault="005171F5" w:rsidP="004D2BFF">
            <w:pPr>
              <w:rPr>
                <w:rFonts w:eastAsia="Calibri"/>
                <w:sz w:val="22"/>
                <w:szCs w:val="22"/>
              </w:rPr>
            </w:pPr>
            <w:r w:rsidRPr="00FE68B7">
              <w:rPr>
                <w:rFonts w:eastAsia="Calibri"/>
                <w:sz w:val="22"/>
                <w:szCs w:val="22"/>
              </w:rPr>
              <w:t>Local/International Affiliation</w:t>
            </w:r>
          </w:p>
        </w:tc>
        <w:tc>
          <w:tcPr>
            <w:tcW w:w="1249"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4D2BFF">
        <w:tc>
          <w:tcPr>
            <w:tcW w:w="828" w:type="dxa"/>
          </w:tcPr>
          <w:p w:rsidR="005171F5" w:rsidRPr="00FE68B7" w:rsidRDefault="005171F5" w:rsidP="004D2BFF">
            <w:pPr>
              <w:rPr>
                <w:rFonts w:eastAsia="Calibri"/>
                <w:sz w:val="22"/>
                <w:szCs w:val="22"/>
              </w:rPr>
            </w:pPr>
            <w:r w:rsidRPr="00FE68B7">
              <w:rPr>
                <w:rFonts w:eastAsia="Calibri"/>
                <w:sz w:val="22"/>
                <w:szCs w:val="22"/>
              </w:rPr>
              <w:t>1</w:t>
            </w:r>
            <w:r w:rsidR="006365B5" w:rsidRPr="00FE68B7">
              <w:rPr>
                <w:rFonts w:eastAsia="Calibri"/>
                <w:sz w:val="22"/>
                <w:szCs w:val="22"/>
              </w:rPr>
              <w:t>2</w:t>
            </w:r>
          </w:p>
        </w:tc>
        <w:tc>
          <w:tcPr>
            <w:tcW w:w="2088" w:type="dxa"/>
          </w:tcPr>
          <w:p w:rsidR="005171F5" w:rsidRPr="00FE68B7" w:rsidRDefault="005171F5" w:rsidP="004D2BFF">
            <w:pPr>
              <w:rPr>
                <w:rFonts w:eastAsia="Calibri"/>
                <w:sz w:val="22"/>
                <w:szCs w:val="22"/>
              </w:rPr>
            </w:pPr>
            <w:r w:rsidRPr="00FE68B7">
              <w:rPr>
                <w:rFonts w:eastAsia="Calibri"/>
                <w:sz w:val="22"/>
                <w:szCs w:val="22"/>
              </w:rPr>
              <w:t>Camfferman and Cooke(2002)</w:t>
            </w:r>
          </w:p>
        </w:tc>
        <w:tc>
          <w:tcPr>
            <w:tcW w:w="3180" w:type="dxa"/>
          </w:tcPr>
          <w:p w:rsidR="005171F5" w:rsidRPr="00FE68B7" w:rsidRDefault="005171F5" w:rsidP="004D2BFF">
            <w:pPr>
              <w:rPr>
                <w:rFonts w:eastAsia="Calibri"/>
                <w:sz w:val="22"/>
                <w:szCs w:val="22"/>
              </w:rPr>
            </w:pPr>
            <w:r w:rsidRPr="00FE68B7">
              <w:rPr>
                <w:rFonts w:eastAsia="Calibri"/>
                <w:sz w:val="22"/>
                <w:szCs w:val="22"/>
              </w:rPr>
              <w:t>Big Six/Non Big Six</w:t>
            </w:r>
          </w:p>
        </w:tc>
        <w:tc>
          <w:tcPr>
            <w:tcW w:w="1249"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rPr>
                <w:rFonts w:eastAsia="Calibri"/>
                <w:sz w:val="22"/>
                <w:szCs w:val="22"/>
              </w:rPr>
            </w:pPr>
            <w:r w:rsidRPr="00FE68B7">
              <w:rPr>
                <w:rFonts w:eastAsia="Calibri"/>
                <w:sz w:val="22"/>
                <w:szCs w:val="22"/>
              </w:rPr>
              <w:t>Sig for 1 category, Nsig for 1 category</w:t>
            </w:r>
          </w:p>
        </w:tc>
      </w:tr>
      <w:tr w:rsidR="005171F5" w:rsidRPr="00FE68B7" w:rsidTr="004D2BFF">
        <w:tc>
          <w:tcPr>
            <w:tcW w:w="828" w:type="dxa"/>
          </w:tcPr>
          <w:p w:rsidR="005171F5" w:rsidRPr="00FE68B7" w:rsidRDefault="005171F5" w:rsidP="004D2BFF">
            <w:pPr>
              <w:rPr>
                <w:rFonts w:eastAsia="Calibri"/>
                <w:sz w:val="22"/>
                <w:szCs w:val="22"/>
              </w:rPr>
            </w:pPr>
            <w:r w:rsidRPr="00FE68B7">
              <w:rPr>
                <w:rFonts w:eastAsia="Calibri"/>
                <w:sz w:val="22"/>
                <w:szCs w:val="22"/>
              </w:rPr>
              <w:t>1</w:t>
            </w:r>
            <w:r w:rsidR="006365B5" w:rsidRPr="00FE68B7">
              <w:rPr>
                <w:rFonts w:eastAsia="Calibri"/>
                <w:sz w:val="22"/>
                <w:szCs w:val="22"/>
              </w:rPr>
              <w:t>3</w:t>
            </w:r>
          </w:p>
        </w:tc>
        <w:tc>
          <w:tcPr>
            <w:tcW w:w="2088" w:type="dxa"/>
          </w:tcPr>
          <w:p w:rsidR="005171F5" w:rsidRPr="00FE68B7" w:rsidRDefault="005171F5" w:rsidP="004D2BFF">
            <w:pPr>
              <w:rPr>
                <w:rFonts w:eastAsia="Calibri"/>
                <w:sz w:val="22"/>
                <w:szCs w:val="22"/>
              </w:rPr>
            </w:pPr>
            <w:r w:rsidRPr="00FE68B7">
              <w:rPr>
                <w:rFonts w:eastAsia="Calibri"/>
                <w:sz w:val="22"/>
                <w:szCs w:val="22"/>
              </w:rPr>
              <w:t>Chow and Gray(2002)</w:t>
            </w:r>
          </w:p>
        </w:tc>
        <w:tc>
          <w:tcPr>
            <w:tcW w:w="3180" w:type="dxa"/>
          </w:tcPr>
          <w:p w:rsidR="005171F5" w:rsidRPr="00FE68B7" w:rsidRDefault="006365B5" w:rsidP="004D2BFF">
            <w:pPr>
              <w:rPr>
                <w:rFonts w:eastAsia="Calibri"/>
                <w:sz w:val="22"/>
                <w:szCs w:val="22"/>
              </w:rPr>
            </w:pPr>
            <w:r w:rsidRPr="00FE68B7">
              <w:rPr>
                <w:rFonts w:eastAsia="Calibri"/>
                <w:sz w:val="22"/>
                <w:szCs w:val="22"/>
              </w:rPr>
              <w:t>Auditing firms</w:t>
            </w:r>
          </w:p>
        </w:tc>
        <w:tc>
          <w:tcPr>
            <w:tcW w:w="1249"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4D2BFF">
        <w:tc>
          <w:tcPr>
            <w:tcW w:w="828" w:type="dxa"/>
          </w:tcPr>
          <w:p w:rsidR="005171F5" w:rsidRPr="00FE68B7" w:rsidRDefault="005171F5" w:rsidP="004D2BFF">
            <w:pPr>
              <w:rPr>
                <w:rFonts w:eastAsia="Calibri"/>
                <w:sz w:val="22"/>
                <w:szCs w:val="22"/>
              </w:rPr>
            </w:pPr>
            <w:r w:rsidRPr="00FE68B7">
              <w:rPr>
                <w:rFonts w:eastAsia="Calibri"/>
                <w:sz w:val="22"/>
                <w:szCs w:val="22"/>
              </w:rPr>
              <w:t>1</w:t>
            </w:r>
            <w:r w:rsidR="006365B5" w:rsidRPr="00FE68B7">
              <w:rPr>
                <w:rFonts w:eastAsia="Calibri"/>
                <w:sz w:val="22"/>
                <w:szCs w:val="22"/>
              </w:rPr>
              <w:t>4</w:t>
            </w:r>
          </w:p>
        </w:tc>
        <w:tc>
          <w:tcPr>
            <w:tcW w:w="2088" w:type="dxa"/>
          </w:tcPr>
          <w:p w:rsidR="005171F5" w:rsidRPr="00FE68B7" w:rsidRDefault="005171F5" w:rsidP="004D2BFF">
            <w:pPr>
              <w:rPr>
                <w:rFonts w:eastAsia="Calibri"/>
                <w:sz w:val="22"/>
                <w:szCs w:val="22"/>
              </w:rPr>
            </w:pPr>
            <w:r w:rsidRPr="00FE68B7">
              <w:rPr>
                <w:rFonts w:eastAsia="Calibri"/>
                <w:sz w:val="22"/>
                <w:szCs w:val="22"/>
              </w:rPr>
              <w:t>Glaum and Street(2003)</w:t>
            </w:r>
          </w:p>
        </w:tc>
        <w:tc>
          <w:tcPr>
            <w:tcW w:w="3180" w:type="dxa"/>
          </w:tcPr>
          <w:p w:rsidR="005171F5" w:rsidRPr="00FE68B7" w:rsidRDefault="005171F5" w:rsidP="004D2BFF">
            <w:pPr>
              <w:rPr>
                <w:rFonts w:eastAsia="Calibri"/>
                <w:sz w:val="22"/>
                <w:szCs w:val="22"/>
              </w:rPr>
            </w:pPr>
            <w:r w:rsidRPr="00FE68B7">
              <w:rPr>
                <w:rFonts w:eastAsia="Calibri"/>
                <w:sz w:val="22"/>
                <w:szCs w:val="22"/>
              </w:rPr>
              <w:t>Big 5/Non Big 5</w:t>
            </w:r>
          </w:p>
          <w:p w:rsidR="005171F5" w:rsidRPr="00FE68B7" w:rsidRDefault="005171F5" w:rsidP="004D2BFF">
            <w:pPr>
              <w:rPr>
                <w:rFonts w:eastAsia="Calibri"/>
                <w:sz w:val="22"/>
                <w:szCs w:val="22"/>
              </w:rPr>
            </w:pPr>
            <w:r w:rsidRPr="00FE68B7">
              <w:rPr>
                <w:rFonts w:eastAsia="Calibri"/>
                <w:sz w:val="22"/>
                <w:szCs w:val="22"/>
              </w:rPr>
              <w:t>Anderson, KPMG, Ernst and Young, PwC, Delloite</w:t>
            </w:r>
          </w:p>
        </w:tc>
        <w:tc>
          <w:tcPr>
            <w:tcW w:w="1249"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4D2BFF">
        <w:tc>
          <w:tcPr>
            <w:tcW w:w="828" w:type="dxa"/>
          </w:tcPr>
          <w:p w:rsidR="005171F5" w:rsidRPr="00FE68B7" w:rsidRDefault="005171F5" w:rsidP="004D2BFF">
            <w:pPr>
              <w:rPr>
                <w:rFonts w:eastAsia="Calibri"/>
                <w:sz w:val="22"/>
                <w:szCs w:val="22"/>
              </w:rPr>
            </w:pPr>
            <w:r w:rsidRPr="00FE68B7">
              <w:rPr>
                <w:rFonts w:eastAsia="Calibri"/>
                <w:sz w:val="22"/>
                <w:szCs w:val="22"/>
              </w:rPr>
              <w:t>1</w:t>
            </w:r>
            <w:r w:rsidR="006365B5" w:rsidRPr="00FE68B7">
              <w:rPr>
                <w:rFonts w:eastAsia="Calibri"/>
                <w:sz w:val="22"/>
                <w:szCs w:val="22"/>
              </w:rPr>
              <w:t>5</w:t>
            </w:r>
          </w:p>
        </w:tc>
        <w:tc>
          <w:tcPr>
            <w:tcW w:w="2088" w:type="dxa"/>
          </w:tcPr>
          <w:p w:rsidR="005171F5" w:rsidRPr="00FE68B7" w:rsidRDefault="005171F5" w:rsidP="004D2BFF">
            <w:pPr>
              <w:rPr>
                <w:rFonts w:eastAsia="Calibri"/>
                <w:sz w:val="22"/>
                <w:szCs w:val="22"/>
              </w:rPr>
            </w:pPr>
            <w:r w:rsidRPr="00FE68B7">
              <w:rPr>
                <w:rFonts w:eastAsia="Calibri"/>
                <w:sz w:val="22"/>
                <w:szCs w:val="22"/>
              </w:rPr>
              <w:t>Ali et al(2004)</w:t>
            </w:r>
          </w:p>
        </w:tc>
        <w:tc>
          <w:tcPr>
            <w:tcW w:w="3180" w:type="dxa"/>
          </w:tcPr>
          <w:p w:rsidR="005171F5" w:rsidRPr="00FE68B7" w:rsidRDefault="005171F5" w:rsidP="004D2BFF">
            <w:pPr>
              <w:rPr>
                <w:rFonts w:eastAsia="Calibri"/>
                <w:sz w:val="22"/>
                <w:szCs w:val="22"/>
              </w:rPr>
            </w:pPr>
            <w:r w:rsidRPr="00FE68B7">
              <w:rPr>
                <w:rFonts w:eastAsia="Calibri"/>
                <w:sz w:val="22"/>
                <w:szCs w:val="22"/>
              </w:rPr>
              <w:t>Factor score of audit fee, no of entities audited and size of audit firm.</w:t>
            </w:r>
          </w:p>
        </w:tc>
        <w:tc>
          <w:tcPr>
            <w:tcW w:w="1249"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4D2BFF">
        <w:tc>
          <w:tcPr>
            <w:tcW w:w="828" w:type="dxa"/>
          </w:tcPr>
          <w:p w:rsidR="005171F5" w:rsidRPr="00FE68B7" w:rsidRDefault="005171F5" w:rsidP="004D2BFF">
            <w:pPr>
              <w:rPr>
                <w:rFonts w:eastAsia="Calibri"/>
                <w:sz w:val="22"/>
                <w:szCs w:val="22"/>
              </w:rPr>
            </w:pPr>
            <w:r w:rsidRPr="00FE68B7">
              <w:rPr>
                <w:rFonts w:eastAsia="Calibri"/>
                <w:sz w:val="22"/>
                <w:szCs w:val="22"/>
              </w:rPr>
              <w:t>1</w:t>
            </w:r>
            <w:r w:rsidR="006365B5" w:rsidRPr="00FE68B7">
              <w:rPr>
                <w:rFonts w:eastAsia="Calibri"/>
                <w:sz w:val="22"/>
                <w:szCs w:val="22"/>
              </w:rPr>
              <w:t>6</w:t>
            </w:r>
          </w:p>
        </w:tc>
        <w:tc>
          <w:tcPr>
            <w:tcW w:w="2088" w:type="dxa"/>
          </w:tcPr>
          <w:p w:rsidR="005171F5" w:rsidRPr="00FE68B7" w:rsidRDefault="005171F5" w:rsidP="004D2BFF">
            <w:pPr>
              <w:rPr>
                <w:rFonts w:eastAsia="Calibri"/>
                <w:sz w:val="22"/>
                <w:szCs w:val="22"/>
              </w:rPr>
            </w:pPr>
            <w:r w:rsidRPr="00FE68B7">
              <w:rPr>
                <w:rFonts w:eastAsia="Calibri"/>
                <w:sz w:val="22"/>
                <w:szCs w:val="22"/>
              </w:rPr>
              <w:t>Al-Shammari(2005)</w:t>
            </w:r>
          </w:p>
        </w:tc>
        <w:tc>
          <w:tcPr>
            <w:tcW w:w="3180" w:type="dxa"/>
          </w:tcPr>
          <w:p w:rsidR="005171F5" w:rsidRPr="00FE68B7" w:rsidRDefault="005171F5" w:rsidP="004D2BFF">
            <w:pPr>
              <w:rPr>
                <w:rFonts w:eastAsia="Calibri"/>
                <w:sz w:val="22"/>
                <w:szCs w:val="22"/>
              </w:rPr>
            </w:pPr>
            <w:r w:rsidRPr="00FE68B7">
              <w:rPr>
                <w:rFonts w:eastAsia="Calibri"/>
                <w:sz w:val="22"/>
                <w:szCs w:val="22"/>
              </w:rPr>
              <w:t>Big five/ Non big five</w:t>
            </w:r>
          </w:p>
        </w:tc>
        <w:tc>
          <w:tcPr>
            <w:tcW w:w="1249" w:type="dxa"/>
          </w:tcPr>
          <w:p w:rsidR="005171F5" w:rsidRPr="00FE68B7" w:rsidRDefault="005171F5" w:rsidP="004D2BFF">
            <w:pP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4D2BFF">
        <w:tc>
          <w:tcPr>
            <w:tcW w:w="828" w:type="dxa"/>
          </w:tcPr>
          <w:p w:rsidR="005171F5" w:rsidRPr="00FE68B7" w:rsidRDefault="005171F5" w:rsidP="004D2BFF">
            <w:pPr>
              <w:rPr>
                <w:rFonts w:eastAsia="Calibri"/>
                <w:sz w:val="22"/>
                <w:szCs w:val="22"/>
              </w:rPr>
            </w:pPr>
            <w:r w:rsidRPr="00FE68B7">
              <w:rPr>
                <w:rFonts w:eastAsia="Calibri"/>
                <w:sz w:val="22"/>
                <w:szCs w:val="22"/>
              </w:rPr>
              <w:t>1</w:t>
            </w:r>
            <w:r w:rsidR="006365B5" w:rsidRPr="00FE68B7">
              <w:rPr>
                <w:rFonts w:eastAsia="Calibri"/>
                <w:sz w:val="22"/>
                <w:szCs w:val="22"/>
              </w:rPr>
              <w:t>7</w:t>
            </w:r>
          </w:p>
        </w:tc>
        <w:tc>
          <w:tcPr>
            <w:tcW w:w="2088" w:type="dxa"/>
          </w:tcPr>
          <w:p w:rsidR="005171F5" w:rsidRPr="00FE68B7" w:rsidRDefault="005171F5" w:rsidP="004D2BFF">
            <w:pPr>
              <w:rPr>
                <w:rFonts w:eastAsia="Calibri"/>
                <w:sz w:val="22"/>
                <w:szCs w:val="22"/>
              </w:rPr>
            </w:pPr>
            <w:r w:rsidRPr="00FE68B7">
              <w:rPr>
                <w:rFonts w:eastAsia="Calibri"/>
                <w:sz w:val="22"/>
                <w:szCs w:val="22"/>
              </w:rPr>
              <w:t>Barako(2007)</w:t>
            </w:r>
          </w:p>
        </w:tc>
        <w:tc>
          <w:tcPr>
            <w:tcW w:w="3180" w:type="dxa"/>
          </w:tcPr>
          <w:p w:rsidR="005171F5" w:rsidRPr="00FE68B7" w:rsidRDefault="005171F5" w:rsidP="004D2BFF">
            <w:pPr>
              <w:rPr>
                <w:rFonts w:eastAsia="Calibri"/>
                <w:sz w:val="22"/>
                <w:szCs w:val="22"/>
              </w:rPr>
            </w:pPr>
            <w:r w:rsidRPr="00FE68B7">
              <w:rPr>
                <w:rFonts w:eastAsia="Calibri"/>
                <w:sz w:val="22"/>
                <w:szCs w:val="22"/>
              </w:rPr>
              <w:t>Big four/ Non big-four, PricewaterhouseCoopers, Ernest and Young, Deloitte and Touch and KPMG Peat Marwick</w:t>
            </w:r>
          </w:p>
        </w:tc>
        <w:tc>
          <w:tcPr>
            <w:tcW w:w="1249" w:type="dxa"/>
          </w:tcPr>
          <w:p w:rsidR="005171F5" w:rsidRPr="00FE68B7" w:rsidRDefault="005171F5" w:rsidP="004D2BFF">
            <w:pPr>
              <w:rPr>
                <w:rFonts w:eastAsia="Calibri"/>
                <w:sz w:val="22"/>
                <w:szCs w:val="22"/>
              </w:rPr>
            </w:pPr>
            <w:r w:rsidRPr="00FE68B7">
              <w:rPr>
                <w:rFonts w:eastAsia="Calibri"/>
                <w:sz w:val="22"/>
                <w:szCs w:val="22"/>
              </w:rPr>
              <w:t>+ for 2 categories, - for 2 categories</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 for 3 categories, Nsig for 1 category</w:t>
            </w:r>
          </w:p>
        </w:tc>
      </w:tr>
    </w:tbl>
    <w:p w:rsidR="005171F5" w:rsidRPr="00FE68B7" w:rsidRDefault="005171F5" w:rsidP="005171F5">
      <w:pPr>
        <w:jc w:val="center"/>
        <w:rPr>
          <w:b/>
          <w:sz w:val="22"/>
          <w:szCs w:val="22"/>
        </w:rPr>
      </w:pPr>
    </w:p>
    <w:p w:rsidR="005171F5" w:rsidRPr="00FE68B7" w:rsidRDefault="005171F5" w:rsidP="005171F5">
      <w:pPr>
        <w:jc w:val="center"/>
        <w:rPr>
          <w:b/>
          <w:sz w:val="22"/>
          <w:szCs w:val="22"/>
        </w:rPr>
      </w:pPr>
      <w:r w:rsidRPr="00FE68B7">
        <w:rPr>
          <w:b/>
          <w:sz w:val="22"/>
          <w:szCs w:val="22"/>
        </w:rPr>
        <w:t>Source: Compiled from the literature reviewed by the researcher (2009)</w:t>
      </w: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0"/>
          <w:szCs w:val="20"/>
        </w:rPr>
      </w:pPr>
    </w:p>
    <w:p w:rsidR="005171F5" w:rsidRPr="008573C5" w:rsidRDefault="005171F5" w:rsidP="005171F5">
      <w:pPr>
        <w:jc w:val="center"/>
        <w:rPr>
          <w:b/>
          <w:sz w:val="28"/>
          <w:szCs w:val="28"/>
        </w:rPr>
      </w:pPr>
      <w:r w:rsidRPr="008573C5">
        <w:rPr>
          <w:b/>
          <w:sz w:val="28"/>
          <w:szCs w:val="28"/>
        </w:rPr>
        <w:t>Table 2.08</w:t>
      </w:r>
    </w:p>
    <w:p w:rsidR="005171F5" w:rsidRPr="008573C5" w:rsidRDefault="005171F5" w:rsidP="005171F5">
      <w:pPr>
        <w:jc w:val="center"/>
        <w:rPr>
          <w:b/>
          <w:sz w:val="28"/>
          <w:szCs w:val="28"/>
        </w:rPr>
      </w:pPr>
      <w:r w:rsidRPr="008573C5">
        <w:rPr>
          <w:b/>
          <w:sz w:val="28"/>
          <w:szCs w:val="28"/>
        </w:rPr>
        <w:t>Summary of Studies Investigating the Association between Level of Disclosure and Multinationality</w:t>
      </w:r>
    </w:p>
    <w:p w:rsidR="005171F5" w:rsidRPr="00E9103C" w:rsidRDefault="005171F5" w:rsidP="005171F5">
      <w:pPr>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5"/>
        <w:gridCol w:w="1976"/>
        <w:gridCol w:w="1923"/>
        <w:gridCol w:w="1151"/>
        <w:gridCol w:w="2230"/>
      </w:tblGrid>
      <w:tr w:rsidR="005171F5" w:rsidRPr="00E9103C" w:rsidTr="004D2BFF">
        <w:tc>
          <w:tcPr>
            <w:tcW w:w="1245" w:type="dxa"/>
          </w:tcPr>
          <w:p w:rsidR="005171F5" w:rsidRPr="00E9103C" w:rsidRDefault="005171F5" w:rsidP="004D2BFF">
            <w:pPr>
              <w:rPr>
                <w:rFonts w:eastAsia="Calibri"/>
                <w:b/>
                <w:sz w:val="22"/>
                <w:szCs w:val="22"/>
              </w:rPr>
            </w:pPr>
            <w:r w:rsidRPr="00E9103C">
              <w:rPr>
                <w:rFonts w:eastAsia="Calibri"/>
                <w:b/>
                <w:sz w:val="22"/>
                <w:szCs w:val="22"/>
              </w:rPr>
              <w:t>S/N</w:t>
            </w:r>
          </w:p>
        </w:tc>
        <w:tc>
          <w:tcPr>
            <w:tcW w:w="1976" w:type="dxa"/>
          </w:tcPr>
          <w:p w:rsidR="005171F5" w:rsidRPr="00E9103C" w:rsidRDefault="005171F5" w:rsidP="004D2BFF">
            <w:pPr>
              <w:rPr>
                <w:rFonts w:eastAsia="Calibri"/>
                <w:b/>
                <w:sz w:val="22"/>
                <w:szCs w:val="22"/>
              </w:rPr>
            </w:pPr>
            <w:r w:rsidRPr="00E9103C">
              <w:rPr>
                <w:rFonts w:eastAsia="Calibri"/>
                <w:b/>
                <w:sz w:val="22"/>
                <w:szCs w:val="22"/>
              </w:rPr>
              <w:t>Author(s)</w:t>
            </w:r>
          </w:p>
        </w:tc>
        <w:tc>
          <w:tcPr>
            <w:tcW w:w="1923" w:type="dxa"/>
          </w:tcPr>
          <w:p w:rsidR="005171F5" w:rsidRPr="00E9103C" w:rsidRDefault="006365B5" w:rsidP="004D2BFF">
            <w:pPr>
              <w:rPr>
                <w:rFonts w:eastAsia="Calibri"/>
                <w:b/>
                <w:sz w:val="22"/>
                <w:szCs w:val="22"/>
              </w:rPr>
            </w:pPr>
            <w:r w:rsidRPr="00E9103C">
              <w:rPr>
                <w:rFonts w:eastAsia="Calibri"/>
                <w:b/>
                <w:sz w:val="22"/>
                <w:szCs w:val="22"/>
              </w:rPr>
              <w:t>Proxy</w:t>
            </w:r>
          </w:p>
        </w:tc>
        <w:tc>
          <w:tcPr>
            <w:tcW w:w="1151" w:type="dxa"/>
          </w:tcPr>
          <w:p w:rsidR="005171F5" w:rsidRPr="00E9103C" w:rsidRDefault="005171F5" w:rsidP="004D2BFF">
            <w:pPr>
              <w:jc w:val="center"/>
              <w:rPr>
                <w:rFonts w:eastAsia="Calibri"/>
                <w:b/>
                <w:sz w:val="22"/>
                <w:szCs w:val="22"/>
              </w:rPr>
            </w:pPr>
            <w:r w:rsidRPr="00E9103C">
              <w:rPr>
                <w:rFonts w:eastAsia="Calibri"/>
                <w:b/>
                <w:sz w:val="22"/>
                <w:szCs w:val="22"/>
              </w:rPr>
              <w:t>Reported</w:t>
            </w:r>
          </w:p>
          <w:p w:rsidR="005171F5" w:rsidRPr="00E9103C" w:rsidRDefault="005171F5" w:rsidP="004D2BFF">
            <w:pPr>
              <w:jc w:val="center"/>
              <w:rPr>
                <w:rFonts w:eastAsia="Calibri"/>
                <w:b/>
                <w:sz w:val="22"/>
                <w:szCs w:val="22"/>
              </w:rPr>
            </w:pPr>
            <w:r w:rsidRPr="00E9103C">
              <w:rPr>
                <w:rFonts w:eastAsia="Calibri"/>
                <w:b/>
                <w:sz w:val="22"/>
                <w:szCs w:val="22"/>
              </w:rPr>
              <w:t>Sign</w:t>
            </w:r>
          </w:p>
        </w:tc>
        <w:tc>
          <w:tcPr>
            <w:tcW w:w="2230" w:type="dxa"/>
          </w:tcPr>
          <w:p w:rsidR="005171F5" w:rsidRPr="00E9103C" w:rsidRDefault="005171F5" w:rsidP="004D2BFF">
            <w:pPr>
              <w:jc w:val="center"/>
              <w:rPr>
                <w:rFonts w:eastAsia="Calibri"/>
                <w:b/>
                <w:sz w:val="22"/>
                <w:szCs w:val="22"/>
              </w:rPr>
            </w:pPr>
            <w:r w:rsidRPr="00E9103C">
              <w:rPr>
                <w:rFonts w:eastAsia="Calibri"/>
                <w:b/>
                <w:sz w:val="22"/>
                <w:szCs w:val="22"/>
              </w:rPr>
              <w:t>Significant(Sig)/Non Significant(Nsig)</w:t>
            </w:r>
          </w:p>
        </w:tc>
      </w:tr>
      <w:tr w:rsidR="005171F5" w:rsidRPr="00FE68B7" w:rsidTr="004D2BFF">
        <w:tc>
          <w:tcPr>
            <w:tcW w:w="1245" w:type="dxa"/>
          </w:tcPr>
          <w:p w:rsidR="005171F5" w:rsidRPr="00FE68B7" w:rsidRDefault="005171F5" w:rsidP="004D2BFF">
            <w:pPr>
              <w:rPr>
                <w:rFonts w:eastAsia="Calibri"/>
                <w:sz w:val="22"/>
                <w:szCs w:val="22"/>
              </w:rPr>
            </w:pPr>
            <w:r w:rsidRPr="00FE68B7">
              <w:rPr>
                <w:rFonts w:eastAsia="Calibri"/>
                <w:sz w:val="22"/>
                <w:szCs w:val="22"/>
              </w:rPr>
              <w:t>1</w:t>
            </w:r>
          </w:p>
        </w:tc>
        <w:tc>
          <w:tcPr>
            <w:tcW w:w="1976" w:type="dxa"/>
          </w:tcPr>
          <w:p w:rsidR="005171F5" w:rsidRPr="00FE68B7" w:rsidRDefault="005171F5" w:rsidP="004D2BFF">
            <w:pPr>
              <w:rPr>
                <w:rFonts w:eastAsia="Calibri"/>
                <w:sz w:val="22"/>
                <w:szCs w:val="22"/>
              </w:rPr>
            </w:pPr>
            <w:r w:rsidRPr="00FE68B7">
              <w:rPr>
                <w:rFonts w:eastAsia="Calibri"/>
                <w:sz w:val="22"/>
                <w:szCs w:val="22"/>
              </w:rPr>
              <w:t>Malone et al(1993)</w:t>
            </w:r>
          </w:p>
        </w:tc>
        <w:tc>
          <w:tcPr>
            <w:tcW w:w="1923" w:type="dxa"/>
          </w:tcPr>
          <w:p w:rsidR="005171F5" w:rsidRPr="00FE68B7" w:rsidRDefault="005171F5" w:rsidP="004D2BFF">
            <w:pPr>
              <w:rPr>
                <w:rFonts w:eastAsia="Calibri"/>
                <w:sz w:val="22"/>
                <w:szCs w:val="22"/>
              </w:rPr>
            </w:pPr>
            <w:r w:rsidRPr="00FE68B7">
              <w:rPr>
                <w:rFonts w:eastAsia="Calibri"/>
                <w:sz w:val="22"/>
                <w:szCs w:val="22"/>
              </w:rPr>
              <w:t>Foreign operations Vs No foreign operation</w:t>
            </w:r>
          </w:p>
        </w:tc>
        <w:tc>
          <w:tcPr>
            <w:tcW w:w="1151"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4D2BFF">
        <w:tc>
          <w:tcPr>
            <w:tcW w:w="1245" w:type="dxa"/>
          </w:tcPr>
          <w:p w:rsidR="005171F5" w:rsidRPr="00FE68B7" w:rsidRDefault="005171F5" w:rsidP="004D2BFF">
            <w:pPr>
              <w:rPr>
                <w:rFonts w:eastAsia="Calibri"/>
                <w:sz w:val="22"/>
                <w:szCs w:val="22"/>
              </w:rPr>
            </w:pPr>
            <w:r w:rsidRPr="00FE68B7">
              <w:rPr>
                <w:rFonts w:eastAsia="Calibri"/>
                <w:sz w:val="22"/>
                <w:szCs w:val="22"/>
              </w:rPr>
              <w:t>2</w:t>
            </w:r>
          </w:p>
        </w:tc>
        <w:tc>
          <w:tcPr>
            <w:tcW w:w="1976" w:type="dxa"/>
          </w:tcPr>
          <w:p w:rsidR="005171F5" w:rsidRPr="00FE68B7" w:rsidRDefault="005171F5" w:rsidP="004D2BFF">
            <w:pPr>
              <w:rPr>
                <w:rFonts w:eastAsia="Calibri"/>
                <w:sz w:val="22"/>
                <w:szCs w:val="22"/>
              </w:rPr>
            </w:pPr>
            <w:r w:rsidRPr="00FE68B7">
              <w:rPr>
                <w:rFonts w:eastAsia="Calibri"/>
                <w:sz w:val="22"/>
                <w:szCs w:val="22"/>
              </w:rPr>
              <w:t>Meek et al(1995)</w:t>
            </w:r>
          </w:p>
        </w:tc>
        <w:tc>
          <w:tcPr>
            <w:tcW w:w="1923" w:type="dxa"/>
          </w:tcPr>
          <w:p w:rsidR="005171F5" w:rsidRPr="00FE68B7" w:rsidRDefault="005171F5" w:rsidP="004D2BFF">
            <w:pPr>
              <w:rPr>
                <w:rFonts w:eastAsia="Calibri"/>
                <w:sz w:val="22"/>
                <w:szCs w:val="22"/>
              </w:rPr>
            </w:pPr>
            <w:r w:rsidRPr="00FE68B7">
              <w:rPr>
                <w:rFonts w:eastAsia="Calibri"/>
                <w:sz w:val="22"/>
                <w:szCs w:val="22"/>
              </w:rPr>
              <w:t>% of foreign sales</w:t>
            </w:r>
          </w:p>
        </w:tc>
        <w:tc>
          <w:tcPr>
            <w:tcW w:w="1151"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4D2BFF">
        <w:tc>
          <w:tcPr>
            <w:tcW w:w="1245" w:type="dxa"/>
          </w:tcPr>
          <w:p w:rsidR="005171F5" w:rsidRPr="00FE68B7" w:rsidRDefault="005171F5" w:rsidP="004D2BFF">
            <w:pPr>
              <w:rPr>
                <w:rFonts w:eastAsia="Calibri"/>
                <w:sz w:val="22"/>
                <w:szCs w:val="22"/>
              </w:rPr>
            </w:pPr>
            <w:r w:rsidRPr="00FE68B7">
              <w:rPr>
                <w:rFonts w:eastAsia="Calibri"/>
                <w:sz w:val="22"/>
                <w:szCs w:val="22"/>
              </w:rPr>
              <w:t>3</w:t>
            </w:r>
          </w:p>
        </w:tc>
        <w:tc>
          <w:tcPr>
            <w:tcW w:w="1976" w:type="dxa"/>
          </w:tcPr>
          <w:p w:rsidR="005171F5" w:rsidRPr="00FE68B7" w:rsidRDefault="005171F5" w:rsidP="004D2BFF">
            <w:pPr>
              <w:rPr>
                <w:rFonts w:eastAsia="Calibri"/>
                <w:sz w:val="22"/>
                <w:szCs w:val="22"/>
              </w:rPr>
            </w:pPr>
            <w:r w:rsidRPr="00FE68B7">
              <w:rPr>
                <w:rFonts w:eastAsia="Calibri"/>
                <w:sz w:val="22"/>
                <w:szCs w:val="22"/>
              </w:rPr>
              <w:t>Raffournier(1995)</w:t>
            </w:r>
          </w:p>
        </w:tc>
        <w:tc>
          <w:tcPr>
            <w:tcW w:w="1923" w:type="dxa"/>
          </w:tcPr>
          <w:p w:rsidR="005171F5" w:rsidRPr="00FE68B7" w:rsidRDefault="005171F5" w:rsidP="004D2BFF">
            <w:pPr>
              <w:rPr>
                <w:rFonts w:eastAsia="Calibri"/>
                <w:sz w:val="22"/>
                <w:szCs w:val="22"/>
              </w:rPr>
            </w:pPr>
            <w:r w:rsidRPr="00FE68B7">
              <w:rPr>
                <w:rFonts w:eastAsia="Calibri"/>
                <w:sz w:val="22"/>
                <w:szCs w:val="22"/>
              </w:rPr>
              <w:t>% of export to sales</w:t>
            </w:r>
          </w:p>
        </w:tc>
        <w:tc>
          <w:tcPr>
            <w:tcW w:w="1151"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4D2BFF">
        <w:tc>
          <w:tcPr>
            <w:tcW w:w="1245" w:type="dxa"/>
          </w:tcPr>
          <w:p w:rsidR="005171F5" w:rsidRPr="00FE68B7" w:rsidRDefault="005171F5" w:rsidP="004D2BFF">
            <w:pPr>
              <w:rPr>
                <w:rFonts w:eastAsia="Calibri"/>
                <w:sz w:val="22"/>
                <w:szCs w:val="22"/>
              </w:rPr>
            </w:pPr>
            <w:r w:rsidRPr="00FE68B7">
              <w:rPr>
                <w:rFonts w:eastAsia="Calibri"/>
                <w:sz w:val="22"/>
                <w:szCs w:val="22"/>
              </w:rPr>
              <w:t>4</w:t>
            </w:r>
          </w:p>
        </w:tc>
        <w:tc>
          <w:tcPr>
            <w:tcW w:w="1976" w:type="dxa"/>
          </w:tcPr>
          <w:p w:rsidR="005171F5" w:rsidRPr="00FE68B7" w:rsidRDefault="005171F5" w:rsidP="004D2BFF">
            <w:pPr>
              <w:rPr>
                <w:rFonts w:eastAsia="Calibri"/>
                <w:sz w:val="22"/>
                <w:szCs w:val="22"/>
              </w:rPr>
            </w:pPr>
            <w:r w:rsidRPr="00FE68B7">
              <w:rPr>
                <w:rFonts w:eastAsia="Calibri"/>
                <w:sz w:val="22"/>
                <w:szCs w:val="22"/>
              </w:rPr>
              <w:t>Owusu-Ansah (1998)</w:t>
            </w:r>
          </w:p>
        </w:tc>
        <w:tc>
          <w:tcPr>
            <w:tcW w:w="1923" w:type="dxa"/>
          </w:tcPr>
          <w:p w:rsidR="005171F5" w:rsidRPr="00FE68B7" w:rsidRDefault="005171F5" w:rsidP="004D2BFF">
            <w:pPr>
              <w:rPr>
                <w:rFonts w:eastAsia="Calibri"/>
                <w:sz w:val="22"/>
                <w:szCs w:val="22"/>
              </w:rPr>
            </w:pPr>
            <w:r w:rsidRPr="00FE68B7">
              <w:rPr>
                <w:rFonts w:eastAsia="Calibri"/>
                <w:sz w:val="22"/>
                <w:szCs w:val="22"/>
              </w:rPr>
              <w:t>Presence of significant influence</w:t>
            </w:r>
          </w:p>
        </w:tc>
        <w:tc>
          <w:tcPr>
            <w:tcW w:w="1151"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4D2BFF">
        <w:tc>
          <w:tcPr>
            <w:tcW w:w="1245" w:type="dxa"/>
          </w:tcPr>
          <w:p w:rsidR="005171F5" w:rsidRPr="00FE68B7" w:rsidRDefault="005171F5" w:rsidP="004D2BFF">
            <w:pPr>
              <w:rPr>
                <w:rFonts w:eastAsia="Calibri"/>
                <w:sz w:val="22"/>
                <w:szCs w:val="22"/>
              </w:rPr>
            </w:pPr>
            <w:r w:rsidRPr="00FE68B7">
              <w:rPr>
                <w:rFonts w:eastAsia="Calibri"/>
                <w:sz w:val="22"/>
                <w:szCs w:val="22"/>
              </w:rPr>
              <w:t>5</w:t>
            </w:r>
          </w:p>
        </w:tc>
        <w:tc>
          <w:tcPr>
            <w:tcW w:w="1976" w:type="dxa"/>
          </w:tcPr>
          <w:p w:rsidR="005171F5" w:rsidRPr="00FE68B7" w:rsidRDefault="005171F5" w:rsidP="004D2BFF">
            <w:pPr>
              <w:rPr>
                <w:rFonts w:eastAsia="Calibri"/>
                <w:sz w:val="22"/>
                <w:szCs w:val="22"/>
              </w:rPr>
            </w:pPr>
            <w:r w:rsidRPr="00FE68B7">
              <w:rPr>
                <w:rFonts w:eastAsia="Calibri"/>
                <w:sz w:val="22"/>
                <w:szCs w:val="22"/>
              </w:rPr>
              <w:t>Chow and Gray(2002)</w:t>
            </w:r>
          </w:p>
        </w:tc>
        <w:tc>
          <w:tcPr>
            <w:tcW w:w="1923" w:type="dxa"/>
          </w:tcPr>
          <w:p w:rsidR="005171F5" w:rsidRPr="00FE68B7" w:rsidRDefault="005171F5" w:rsidP="004D2BFF">
            <w:pPr>
              <w:rPr>
                <w:rFonts w:eastAsia="Calibri"/>
                <w:sz w:val="22"/>
                <w:szCs w:val="22"/>
              </w:rPr>
            </w:pPr>
            <w:r w:rsidRPr="00FE68B7">
              <w:rPr>
                <w:rFonts w:eastAsia="Calibri"/>
                <w:sz w:val="22"/>
                <w:szCs w:val="22"/>
              </w:rPr>
              <w:t>Multinational/not multinational</w:t>
            </w:r>
          </w:p>
        </w:tc>
        <w:tc>
          <w:tcPr>
            <w:tcW w:w="1151"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4D2BFF">
        <w:tc>
          <w:tcPr>
            <w:tcW w:w="1245" w:type="dxa"/>
          </w:tcPr>
          <w:p w:rsidR="005171F5" w:rsidRPr="00FE68B7" w:rsidRDefault="005171F5" w:rsidP="004D2BFF">
            <w:pPr>
              <w:rPr>
                <w:rFonts w:eastAsia="Calibri"/>
                <w:sz w:val="22"/>
                <w:szCs w:val="22"/>
              </w:rPr>
            </w:pPr>
            <w:r w:rsidRPr="00FE68B7">
              <w:rPr>
                <w:rFonts w:eastAsia="Calibri"/>
                <w:sz w:val="22"/>
                <w:szCs w:val="22"/>
              </w:rPr>
              <w:t>6</w:t>
            </w:r>
          </w:p>
        </w:tc>
        <w:tc>
          <w:tcPr>
            <w:tcW w:w="1976" w:type="dxa"/>
          </w:tcPr>
          <w:p w:rsidR="005171F5" w:rsidRPr="00FE68B7" w:rsidRDefault="005171F5" w:rsidP="004D2BFF">
            <w:pPr>
              <w:rPr>
                <w:rFonts w:eastAsia="Calibri"/>
                <w:sz w:val="22"/>
                <w:szCs w:val="22"/>
              </w:rPr>
            </w:pPr>
            <w:r w:rsidRPr="00FE68B7">
              <w:rPr>
                <w:rFonts w:eastAsia="Calibri"/>
                <w:sz w:val="22"/>
                <w:szCs w:val="22"/>
              </w:rPr>
              <w:t>Glaum and Street(2003)</w:t>
            </w:r>
          </w:p>
        </w:tc>
        <w:tc>
          <w:tcPr>
            <w:tcW w:w="1923" w:type="dxa"/>
          </w:tcPr>
          <w:p w:rsidR="005171F5" w:rsidRPr="00FE68B7" w:rsidRDefault="005171F5" w:rsidP="004D2BFF">
            <w:pPr>
              <w:rPr>
                <w:rFonts w:eastAsia="Calibri"/>
                <w:sz w:val="22"/>
                <w:szCs w:val="22"/>
              </w:rPr>
            </w:pPr>
            <w:r w:rsidRPr="00FE68B7">
              <w:rPr>
                <w:rFonts w:eastAsia="Calibri"/>
                <w:sz w:val="22"/>
                <w:szCs w:val="22"/>
              </w:rPr>
              <w:t>Foreign sales to total sales</w:t>
            </w:r>
          </w:p>
        </w:tc>
        <w:tc>
          <w:tcPr>
            <w:tcW w:w="1151"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Nsig</w:t>
            </w:r>
          </w:p>
        </w:tc>
      </w:tr>
      <w:tr w:rsidR="005171F5" w:rsidRPr="00FE68B7" w:rsidTr="004D2BFF">
        <w:tc>
          <w:tcPr>
            <w:tcW w:w="1245" w:type="dxa"/>
          </w:tcPr>
          <w:p w:rsidR="005171F5" w:rsidRPr="00FE68B7" w:rsidRDefault="005171F5" w:rsidP="004D2BFF">
            <w:pPr>
              <w:rPr>
                <w:rFonts w:eastAsia="Calibri"/>
                <w:sz w:val="22"/>
                <w:szCs w:val="22"/>
              </w:rPr>
            </w:pPr>
            <w:r w:rsidRPr="00FE68B7">
              <w:rPr>
                <w:rFonts w:eastAsia="Calibri"/>
                <w:sz w:val="22"/>
                <w:szCs w:val="22"/>
              </w:rPr>
              <w:t>7</w:t>
            </w:r>
          </w:p>
        </w:tc>
        <w:tc>
          <w:tcPr>
            <w:tcW w:w="1976" w:type="dxa"/>
          </w:tcPr>
          <w:p w:rsidR="005171F5" w:rsidRPr="00FE68B7" w:rsidRDefault="005171F5" w:rsidP="004D2BFF">
            <w:pPr>
              <w:rPr>
                <w:rFonts w:eastAsia="Calibri"/>
                <w:sz w:val="22"/>
                <w:szCs w:val="22"/>
              </w:rPr>
            </w:pPr>
            <w:r w:rsidRPr="00FE68B7">
              <w:rPr>
                <w:rFonts w:eastAsia="Calibri"/>
                <w:sz w:val="22"/>
                <w:szCs w:val="22"/>
              </w:rPr>
              <w:t>Ali et al(2004)</w:t>
            </w:r>
          </w:p>
        </w:tc>
        <w:tc>
          <w:tcPr>
            <w:tcW w:w="1923" w:type="dxa"/>
          </w:tcPr>
          <w:p w:rsidR="005171F5" w:rsidRPr="00FE68B7" w:rsidRDefault="005171F5" w:rsidP="004D2BFF">
            <w:pPr>
              <w:rPr>
                <w:rFonts w:eastAsia="Calibri"/>
                <w:sz w:val="22"/>
                <w:szCs w:val="22"/>
              </w:rPr>
            </w:pPr>
            <w:r w:rsidRPr="00FE68B7">
              <w:rPr>
                <w:rFonts w:eastAsia="Calibri"/>
                <w:sz w:val="22"/>
                <w:szCs w:val="22"/>
              </w:rPr>
              <w:t>Multinational/not multinational</w:t>
            </w:r>
          </w:p>
        </w:tc>
        <w:tc>
          <w:tcPr>
            <w:tcW w:w="1151"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r w:rsidR="005171F5" w:rsidRPr="00FE68B7" w:rsidTr="004D2BFF">
        <w:tc>
          <w:tcPr>
            <w:tcW w:w="1245" w:type="dxa"/>
          </w:tcPr>
          <w:p w:rsidR="005171F5" w:rsidRPr="00FE68B7" w:rsidRDefault="005171F5" w:rsidP="004D2BFF">
            <w:pPr>
              <w:rPr>
                <w:rFonts w:eastAsia="Calibri"/>
                <w:sz w:val="22"/>
                <w:szCs w:val="22"/>
              </w:rPr>
            </w:pPr>
            <w:r w:rsidRPr="00FE68B7">
              <w:rPr>
                <w:rFonts w:eastAsia="Calibri"/>
                <w:sz w:val="22"/>
                <w:szCs w:val="22"/>
              </w:rPr>
              <w:t>8</w:t>
            </w:r>
          </w:p>
        </w:tc>
        <w:tc>
          <w:tcPr>
            <w:tcW w:w="1976" w:type="dxa"/>
          </w:tcPr>
          <w:p w:rsidR="005171F5" w:rsidRPr="00FE68B7" w:rsidRDefault="005171F5" w:rsidP="004D2BFF">
            <w:pPr>
              <w:rPr>
                <w:rFonts w:eastAsia="Calibri"/>
                <w:sz w:val="22"/>
                <w:szCs w:val="22"/>
              </w:rPr>
            </w:pPr>
            <w:r w:rsidRPr="00FE68B7">
              <w:rPr>
                <w:rFonts w:eastAsia="Calibri"/>
                <w:sz w:val="22"/>
                <w:szCs w:val="22"/>
              </w:rPr>
              <w:t>Al-Shammari(2005)</w:t>
            </w:r>
          </w:p>
        </w:tc>
        <w:tc>
          <w:tcPr>
            <w:tcW w:w="1923" w:type="dxa"/>
          </w:tcPr>
          <w:p w:rsidR="005171F5" w:rsidRPr="00FE68B7" w:rsidRDefault="005171F5" w:rsidP="004D2BFF">
            <w:pPr>
              <w:rPr>
                <w:rFonts w:eastAsia="Calibri"/>
                <w:sz w:val="22"/>
                <w:szCs w:val="22"/>
              </w:rPr>
            </w:pPr>
            <w:r w:rsidRPr="00FE68B7">
              <w:rPr>
                <w:rFonts w:eastAsia="Calibri"/>
                <w:sz w:val="22"/>
                <w:szCs w:val="22"/>
              </w:rPr>
              <w:t>Shares held by foreigners/ total share at year end</w:t>
            </w:r>
          </w:p>
        </w:tc>
        <w:tc>
          <w:tcPr>
            <w:tcW w:w="1151" w:type="dxa"/>
          </w:tcPr>
          <w:p w:rsidR="005171F5" w:rsidRPr="00FE68B7" w:rsidRDefault="005171F5" w:rsidP="004D2BFF">
            <w:pPr>
              <w:jc w:val="center"/>
              <w:rPr>
                <w:rFonts w:eastAsia="Calibri"/>
                <w:sz w:val="22"/>
                <w:szCs w:val="22"/>
              </w:rPr>
            </w:pPr>
            <w:r w:rsidRPr="00FE68B7">
              <w:rPr>
                <w:rFonts w:eastAsia="Calibri"/>
                <w:sz w:val="22"/>
                <w:szCs w:val="22"/>
              </w:rPr>
              <w:t>+</w:t>
            </w:r>
          </w:p>
        </w:tc>
        <w:tc>
          <w:tcPr>
            <w:tcW w:w="2230" w:type="dxa"/>
          </w:tcPr>
          <w:p w:rsidR="005171F5" w:rsidRPr="00FE68B7" w:rsidRDefault="005171F5" w:rsidP="004D2BFF">
            <w:pPr>
              <w:jc w:val="center"/>
              <w:rPr>
                <w:rFonts w:eastAsia="Calibri"/>
                <w:sz w:val="22"/>
                <w:szCs w:val="22"/>
              </w:rPr>
            </w:pPr>
            <w:r w:rsidRPr="00FE68B7">
              <w:rPr>
                <w:rFonts w:eastAsia="Calibri"/>
                <w:sz w:val="22"/>
                <w:szCs w:val="22"/>
              </w:rPr>
              <w:t>Sig</w:t>
            </w:r>
          </w:p>
        </w:tc>
      </w:tr>
    </w:tbl>
    <w:p w:rsidR="005171F5" w:rsidRPr="00FE68B7" w:rsidRDefault="005171F5" w:rsidP="005171F5">
      <w:pPr>
        <w:jc w:val="center"/>
        <w:rPr>
          <w:b/>
          <w:sz w:val="22"/>
          <w:szCs w:val="22"/>
        </w:rPr>
      </w:pPr>
    </w:p>
    <w:p w:rsidR="005171F5" w:rsidRPr="00FE68B7" w:rsidRDefault="005171F5" w:rsidP="005171F5">
      <w:pPr>
        <w:jc w:val="center"/>
        <w:rPr>
          <w:b/>
          <w:sz w:val="22"/>
          <w:szCs w:val="22"/>
        </w:rPr>
      </w:pPr>
      <w:r w:rsidRPr="00FE68B7">
        <w:rPr>
          <w:b/>
          <w:sz w:val="22"/>
          <w:szCs w:val="22"/>
        </w:rPr>
        <w:t>Source: Compiled from the literature reviewed by the researcher (2009)</w:t>
      </w:r>
    </w:p>
    <w:p w:rsidR="005171F5" w:rsidRPr="008573C5" w:rsidRDefault="005171F5" w:rsidP="005171F5">
      <w:pPr>
        <w:spacing w:before="100" w:beforeAutospacing="1" w:after="100" w:afterAutospacing="1" w:line="360" w:lineRule="auto"/>
        <w:jc w:val="center"/>
        <w:rPr>
          <w:b/>
          <w:sz w:val="20"/>
          <w:szCs w:val="20"/>
        </w:rPr>
      </w:pPr>
    </w:p>
    <w:p w:rsidR="005171F5" w:rsidRPr="008573C5" w:rsidRDefault="005171F5" w:rsidP="005171F5">
      <w:pPr>
        <w:spacing w:before="100" w:beforeAutospacing="1" w:after="100" w:afterAutospacing="1" w:line="360" w:lineRule="auto"/>
        <w:jc w:val="center"/>
        <w:rPr>
          <w:b/>
          <w:sz w:val="20"/>
          <w:szCs w:val="20"/>
        </w:rPr>
      </w:pPr>
    </w:p>
    <w:p w:rsidR="005171F5" w:rsidRPr="008573C5" w:rsidRDefault="005171F5" w:rsidP="005171F5">
      <w:pPr>
        <w:spacing w:before="100" w:beforeAutospacing="1" w:after="100" w:afterAutospacing="1" w:line="360" w:lineRule="auto"/>
        <w:jc w:val="center"/>
        <w:rPr>
          <w:b/>
          <w:sz w:val="20"/>
          <w:szCs w:val="20"/>
        </w:rPr>
      </w:pPr>
    </w:p>
    <w:p w:rsidR="005171F5" w:rsidRPr="008573C5" w:rsidRDefault="005171F5" w:rsidP="005171F5">
      <w:pPr>
        <w:spacing w:before="100" w:beforeAutospacing="1" w:after="100" w:afterAutospacing="1" w:line="360" w:lineRule="auto"/>
        <w:jc w:val="center"/>
        <w:rPr>
          <w:b/>
          <w:sz w:val="28"/>
          <w:szCs w:val="28"/>
        </w:rPr>
      </w:pPr>
    </w:p>
    <w:p w:rsidR="005171F5" w:rsidRPr="008573C5" w:rsidRDefault="005171F5" w:rsidP="005171F5">
      <w:pPr>
        <w:spacing w:before="100" w:beforeAutospacing="1" w:after="100" w:afterAutospacing="1" w:line="360" w:lineRule="auto"/>
        <w:jc w:val="center"/>
        <w:rPr>
          <w:b/>
          <w:sz w:val="28"/>
          <w:szCs w:val="28"/>
        </w:rPr>
      </w:pPr>
    </w:p>
    <w:p w:rsidR="005171F5" w:rsidRPr="008573C5" w:rsidRDefault="005171F5" w:rsidP="005171F5">
      <w:pPr>
        <w:spacing w:before="100" w:beforeAutospacing="1" w:after="100" w:afterAutospacing="1" w:line="360" w:lineRule="auto"/>
        <w:jc w:val="center"/>
        <w:rPr>
          <w:b/>
          <w:sz w:val="28"/>
          <w:szCs w:val="28"/>
        </w:rPr>
      </w:pPr>
    </w:p>
    <w:p w:rsidR="005171F5" w:rsidRPr="008573C5" w:rsidRDefault="005171F5" w:rsidP="005171F5">
      <w:pPr>
        <w:spacing w:before="100" w:beforeAutospacing="1" w:after="100" w:afterAutospacing="1" w:line="360" w:lineRule="auto"/>
        <w:jc w:val="center"/>
        <w:rPr>
          <w:b/>
          <w:sz w:val="28"/>
          <w:szCs w:val="28"/>
        </w:rPr>
      </w:pPr>
    </w:p>
    <w:p w:rsidR="005171F5" w:rsidRPr="008573C5" w:rsidRDefault="005171F5" w:rsidP="005171F5">
      <w:pPr>
        <w:spacing w:before="100" w:beforeAutospacing="1" w:after="100" w:afterAutospacing="1" w:line="360" w:lineRule="auto"/>
        <w:jc w:val="center"/>
        <w:rPr>
          <w:b/>
          <w:sz w:val="28"/>
          <w:szCs w:val="28"/>
        </w:rPr>
      </w:pPr>
    </w:p>
    <w:p w:rsidR="005171F5" w:rsidRPr="008573C5" w:rsidRDefault="005171F5" w:rsidP="005171F5">
      <w:pPr>
        <w:spacing w:before="100" w:beforeAutospacing="1" w:after="100" w:afterAutospacing="1" w:line="360" w:lineRule="auto"/>
        <w:jc w:val="center"/>
        <w:rPr>
          <w:b/>
          <w:sz w:val="28"/>
          <w:szCs w:val="28"/>
        </w:rPr>
      </w:pPr>
    </w:p>
    <w:p w:rsidR="005171F5" w:rsidRPr="008573C5" w:rsidRDefault="005171F5" w:rsidP="005171F5">
      <w:pPr>
        <w:spacing w:before="100" w:beforeAutospacing="1" w:after="100" w:afterAutospacing="1" w:line="360" w:lineRule="auto"/>
        <w:jc w:val="center"/>
        <w:rPr>
          <w:b/>
          <w:sz w:val="28"/>
          <w:szCs w:val="28"/>
        </w:rPr>
      </w:pPr>
    </w:p>
    <w:p w:rsidR="00FF5EDF" w:rsidRPr="008573C5" w:rsidRDefault="007E78AF" w:rsidP="00016B73">
      <w:pPr>
        <w:spacing w:line="360" w:lineRule="auto"/>
        <w:jc w:val="center"/>
        <w:rPr>
          <w:b/>
          <w:sz w:val="32"/>
          <w:szCs w:val="32"/>
        </w:rPr>
      </w:pPr>
      <w:r w:rsidRPr="008573C5">
        <w:rPr>
          <w:b/>
          <w:sz w:val="32"/>
          <w:szCs w:val="32"/>
        </w:rPr>
        <w:t>C</w:t>
      </w:r>
      <w:r w:rsidR="00FF5EDF" w:rsidRPr="008573C5">
        <w:rPr>
          <w:b/>
          <w:sz w:val="32"/>
          <w:szCs w:val="32"/>
        </w:rPr>
        <w:t>HAPTER THREE</w:t>
      </w:r>
    </w:p>
    <w:p w:rsidR="00FF5EDF" w:rsidRPr="008573C5" w:rsidRDefault="00FF5EDF" w:rsidP="00016B73">
      <w:pPr>
        <w:spacing w:line="360" w:lineRule="auto"/>
        <w:jc w:val="center"/>
        <w:rPr>
          <w:b/>
          <w:sz w:val="32"/>
          <w:szCs w:val="32"/>
        </w:rPr>
      </w:pPr>
      <w:r w:rsidRPr="008573C5">
        <w:rPr>
          <w:b/>
          <w:sz w:val="32"/>
          <w:szCs w:val="32"/>
        </w:rPr>
        <w:t>RESEARCH METHOD</w:t>
      </w:r>
      <w:r w:rsidR="003C7F09" w:rsidRPr="008573C5">
        <w:rPr>
          <w:b/>
          <w:sz w:val="32"/>
          <w:szCs w:val="32"/>
        </w:rPr>
        <w:t>S</w:t>
      </w:r>
    </w:p>
    <w:p w:rsidR="00FF5EDF" w:rsidRPr="008573C5" w:rsidRDefault="00FF5EDF" w:rsidP="00FF5EDF">
      <w:pPr>
        <w:spacing w:before="100" w:beforeAutospacing="1" w:after="100" w:afterAutospacing="1" w:line="360" w:lineRule="auto"/>
        <w:jc w:val="both"/>
        <w:rPr>
          <w:b/>
          <w:sz w:val="28"/>
          <w:szCs w:val="28"/>
        </w:rPr>
      </w:pPr>
      <w:r w:rsidRPr="008573C5">
        <w:rPr>
          <w:b/>
          <w:sz w:val="28"/>
          <w:szCs w:val="28"/>
        </w:rPr>
        <w:t>3.0</w:t>
      </w:r>
      <w:r w:rsidRPr="008573C5">
        <w:rPr>
          <w:b/>
          <w:sz w:val="28"/>
          <w:szCs w:val="28"/>
        </w:rPr>
        <w:tab/>
        <w:t>I</w:t>
      </w:r>
      <w:r w:rsidR="00DB6B55" w:rsidRPr="008573C5">
        <w:rPr>
          <w:b/>
          <w:sz w:val="28"/>
          <w:szCs w:val="28"/>
        </w:rPr>
        <w:t>ntroduction</w:t>
      </w:r>
    </w:p>
    <w:p w:rsidR="00FF5EDF" w:rsidRPr="008573C5" w:rsidRDefault="00FF5EDF" w:rsidP="00FF5EDF">
      <w:pPr>
        <w:spacing w:line="360" w:lineRule="auto"/>
        <w:jc w:val="both"/>
      </w:pPr>
      <w:r w:rsidRPr="008573C5">
        <w:t xml:space="preserve">This chapter explains the research </w:t>
      </w:r>
      <w:r w:rsidR="00816694" w:rsidRPr="008573C5">
        <w:t>methodology that is</w:t>
      </w:r>
      <w:r w:rsidRPr="008573C5">
        <w:t xml:space="preserve"> used to achieve the research objectives. </w:t>
      </w:r>
      <w:r w:rsidR="00816694" w:rsidRPr="008573C5">
        <w:t xml:space="preserve">Chapter 3.1 highlights the research design. </w:t>
      </w:r>
      <w:r w:rsidR="00DD655B" w:rsidRPr="008573C5">
        <w:t>Principally, tw</w:t>
      </w:r>
      <w:r w:rsidR="002A1830" w:rsidRPr="008573C5">
        <w:t xml:space="preserve">o research methods </w:t>
      </w:r>
      <w:r w:rsidR="001506DB" w:rsidRPr="008573C5">
        <w:t>are</w:t>
      </w:r>
      <w:r w:rsidR="002A1830" w:rsidRPr="008573C5">
        <w:t xml:space="preserve"> adopted:</w:t>
      </w:r>
      <w:r w:rsidR="00005744" w:rsidRPr="008573C5">
        <w:t xml:space="preserve"> content analysis and </w:t>
      </w:r>
      <w:r w:rsidR="00DD655B" w:rsidRPr="008573C5">
        <w:t>survey research. Chapter 3.</w:t>
      </w:r>
      <w:r w:rsidR="00816694" w:rsidRPr="008573C5">
        <w:t>2</w:t>
      </w:r>
      <w:r w:rsidR="00DD655B" w:rsidRPr="008573C5">
        <w:t xml:space="preserve"> focuses on the research methods fo</w:t>
      </w:r>
      <w:r w:rsidR="00896DE2" w:rsidRPr="008573C5">
        <w:t>r the content anal</w:t>
      </w:r>
      <w:r w:rsidR="002A1830" w:rsidRPr="008573C5">
        <w:t xml:space="preserve">ysis method. It includes the </w:t>
      </w:r>
      <w:r w:rsidR="00492888" w:rsidRPr="008573C5">
        <w:t xml:space="preserve">content analysis </w:t>
      </w:r>
      <w:r w:rsidR="002A1830" w:rsidRPr="008573C5">
        <w:t xml:space="preserve">study population, </w:t>
      </w:r>
      <w:r w:rsidR="00DD655B" w:rsidRPr="008573C5">
        <w:t xml:space="preserve">sampling </w:t>
      </w:r>
      <w:r w:rsidR="002A1830" w:rsidRPr="008573C5">
        <w:t>technique, data gathering method, disclosure checklist, scoring technique</w:t>
      </w:r>
      <w:r w:rsidR="00492888" w:rsidRPr="008573C5">
        <w:t>,</w:t>
      </w:r>
      <w:r w:rsidR="002A1830" w:rsidRPr="008573C5">
        <w:t xml:space="preserve"> validity test and model development.</w:t>
      </w:r>
      <w:r w:rsidR="00DD655B" w:rsidRPr="008573C5">
        <w:t xml:space="preserve"> </w:t>
      </w:r>
      <w:r w:rsidR="00896DE2" w:rsidRPr="008573C5">
        <w:t>Chapter 3.</w:t>
      </w:r>
      <w:r w:rsidR="00816694" w:rsidRPr="008573C5">
        <w:t>3</w:t>
      </w:r>
      <w:r w:rsidR="00896DE2" w:rsidRPr="008573C5">
        <w:t xml:space="preserve"> focuses on the research methods for the survey research. </w:t>
      </w:r>
      <w:r w:rsidR="002A1830" w:rsidRPr="008573C5">
        <w:t>It includes the study population</w:t>
      </w:r>
      <w:r w:rsidR="00492888" w:rsidRPr="008573C5">
        <w:t xml:space="preserve"> for the survey research</w:t>
      </w:r>
      <w:r w:rsidR="002A1830" w:rsidRPr="008573C5">
        <w:t xml:space="preserve">, </w:t>
      </w:r>
      <w:r w:rsidR="00492888" w:rsidRPr="008573C5">
        <w:t>s</w:t>
      </w:r>
      <w:r w:rsidR="002A1830" w:rsidRPr="008573C5">
        <w:t>ampling technique, data gathering method, d</w:t>
      </w:r>
      <w:r w:rsidR="00492888" w:rsidRPr="008573C5">
        <w:t xml:space="preserve">escription of the questionnaire, </w:t>
      </w:r>
      <w:r w:rsidR="002A1830" w:rsidRPr="008573C5">
        <w:t xml:space="preserve">validity </w:t>
      </w:r>
      <w:r w:rsidR="00492888" w:rsidRPr="008573C5">
        <w:t xml:space="preserve">and reliability </w:t>
      </w:r>
      <w:r w:rsidR="002A1830" w:rsidRPr="008573C5">
        <w:t>test</w:t>
      </w:r>
      <w:r w:rsidR="00492888" w:rsidRPr="008573C5">
        <w:t>s, and a</w:t>
      </w:r>
      <w:r w:rsidR="00E27A11" w:rsidRPr="008573C5">
        <w:t>ctual field work.</w:t>
      </w:r>
      <w:r w:rsidR="00896DE2" w:rsidRPr="008573C5">
        <w:t xml:space="preserve"> The dat</w:t>
      </w:r>
      <w:r w:rsidRPr="008573C5">
        <w:t xml:space="preserve">a </w:t>
      </w:r>
      <w:r w:rsidR="00AC13FE" w:rsidRPr="008573C5">
        <w:t>analys</w:t>
      </w:r>
      <w:r w:rsidR="00003494" w:rsidRPr="008573C5">
        <w:t>e</w:t>
      </w:r>
      <w:r w:rsidR="00D7363F" w:rsidRPr="008573C5">
        <w:t>s method</w:t>
      </w:r>
      <w:r w:rsidR="00003494" w:rsidRPr="008573C5">
        <w:t>s are</w:t>
      </w:r>
      <w:r w:rsidR="00D7363F" w:rsidRPr="008573C5">
        <w:t xml:space="preserve"> enumerated</w:t>
      </w:r>
      <w:r w:rsidR="00896DE2" w:rsidRPr="008573C5">
        <w:t xml:space="preserve"> in Chapter </w:t>
      </w:r>
      <w:r w:rsidRPr="008573C5">
        <w:t xml:space="preserve">3.4, </w:t>
      </w:r>
      <w:r w:rsidR="00896DE2" w:rsidRPr="008573C5">
        <w:t xml:space="preserve">while </w:t>
      </w:r>
      <w:r w:rsidR="00E27A11" w:rsidRPr="008573C5">
        <w:t>the instrument</w:t>
      </w:r>
      <w:r w:rsidR="00AC13FE" w:rsidRPr="008573C5">
        <w:t xml:space="preserve"> for data analysis </w:t>
      </w:r>
      <w:r w:rsidR="008A694A" w:rsidRPr="008573C5">
        <w:t xml:space="preserve">is </w:t>
      </w:r>
      <w:r w:rsidR="007A27F4" w:rsidRPr="008573C5">
        <w:t xml:space="preserve">highlighted in </w:t>
      </w:r>
      <w:r w:rsidR="00896DE2" w:rsidRPr="008573C5">
        <w:t>Chapter 3.5.</w:t>
      </w:r>
      <w:r w:rsidRPr="008573C5">
        <w:t xml:space="preserve"> </w:t>
      </w:r>
    </w:p>
    <w:p w:rsidR="00FF5EDF" w:rsidRPr="008573C5" w:rsidRDefault="005706D8" w:rsidP="00FF5EDF">
      <w:pPr>
        <w:pStyle w:val="NormalWeb"/>
        <w:spacing w:line="360" w:lineRule="auto"/>
        <w:jc w:val="both"/>
        <w:rPr>
          <w:b/>
          <w:sz w:val="28"/>
          <w:szCs w:val="28"/>
        </w:rPr>
      </w:pPr>
      <w:r w:rsidRPr="008573C5">
        <w:rPr>
          <w:b/>
          <w:sz w:val="28"/>
          <w:szCs w:val="28"/>
        </w:rPr>
        <w:t>3.1</w:t>
      </w:r>
      <w:r w:rsidRPr="008573C5">
        <w:rPr>
          <w:b/>
          <w:sz w:val="28"/>
          <w:szCs w:val="28"/>
        </w:rPr>
        <w:tab/>
      </w:r>
      <w:r w:rsidR="00FF5EDF" w:rsidRPr="008573C5">
        <w:rPr>
          <w:b/>
          <w:sz w:val="28"/>
          <w:szCs w:val="28"/>
        </w:rPr>
        <w:t>R</w:t>
      </w:r>
      <w:r w:rsidR="00DB6B55" w:rsidRPr="008573C5">
        <w:rPr>
          <w:b/>
          <w:sz w:val="28"/>
          <w:szCs w:val="28"/>
        </w:rPr>
        <w:t>esearch Design</w:t>
      </w:r>
    </w:p>
    <w:p w:rsidR="00FF5EDF" w:rsidRPr="008573C5" w:rsidRDefault="00FF5EDF" w:rsidP="00FF5EDF">
      <w:pPr>
        <w:spacing w:line="360" w:lineRule="auto"/>
        <w:jc w:val="both"/>
      </w:pPr>
      <w:r w:rsidRPr="008573C5">
        <w:t xml:space="preserve">There </w:t>
      </w:r>
      <w:r w:rsidR="006A4B7A" w:rsidRPr="008573C5">
        <w:t>are</w:t>
      </w:r>
      <w:r w:rsidR="00005744" w:rsidRPr="008573C5">
        <w:t xml:space="preserve"> </w:t>
      </w:r>
      <w:r w:rsidR="00DA4ACA" w:rsidRPr="008573C5">
        <w:t>varieties</w:t>
      </w:r>
      <w:r w:rsidRPr="008573C5">
        <w:t xml:space="preserve"> of approaches employed to determine compliance and to </w:t>
      </w:r>
      <w:r w:rsidRPr="008573C5">
        <w:rPr>
          <w:bCs/>
        </w:rPr>
        <w:t>exa</w:t>
      </w:r>
      <w:r w:rsidR="00E27A11" w:rsidRPr="008573C5">
        <w:rPr>
          <w:bCs/>
        </w:rPr>
        <w:t>mine the factors that influence</w:t>
      </w:r>
      <w:r w:rsidRPr="008573C5">
        <w:rPr>
          <w:bCs/>
        </w:rPr>
        <w:t xml:space="preserve"> the extent of information disclosure in the annual reports of listed firms.</w:t>
      </w:r>
      <w:r w:rsidRPr="008573C5">
        <w:rPr>
          <w:rFonts w:ascii="Times" w:hAnsi="Times" w:cs="Times"/>
        </w:rPr>
        <w:t xml:space="preserve"> </w:t>
      </w:r>
      <w:r w:rsidRPr="008573C5">
        <w:t>Some researchers determine disclosure using a survey of annual report users, preparers, auditors and regulators (</w:t>
      </w:r>
      <w:r w:rsidRPr="008573C5">
        <w:rPr>
          <w:rFonts w:eastAsia="Calibri"/>
        </w:rPr>
        <w:t>McNally et al</w:t>
      </w:r>
      <w:r w:rsidR="00C47364" w:rsidRPr="008573C5">
        <w:rPr>
          <w:rFonts w:eastAsia="Calibri"/>
        </w:rPr>
        <w:t>.</w:t>
      </w:r>
      <w:r w:rsidRPr="008573C5">
        <w:rPr>
          <w:rFonts w:eastAsia="Calibri"/>
        </w:rPr>
        <w:t>, 1982:12; Barako, 2007: 118)</w:t>
      </w:r>
      <w:r w:rsidRPr="008573C5">
        <w:t>, while some others construct a check list for evaluating the content of the annual report</w:t>
      </w:r>
      <w:r w:rsidRPr="008573C5">
        <w:rPr>
          <w:rFonts w:eastAsia="Calibri"/>
        </w:rPr>
        <w:t xml:space="preserve"> (</w:t>
      </w:r>
      <w:r w:rsidRPr="008573C5">
        <w:t xml:space="preserve">Inchausti, 1997:47; </w:t>
      </w:r>
      <w:r w:rsidRPr="008573C5">
        <w:rPr>
          <w:rFonts w:eastAsia="Calibri"/>
        </w:rPr>
        <w:t>Street and Gray,</w:t>
      </w:r>
      <w:r w:rsidR="004777ED" w:rsidRPr="008573C5">
        <w:rPr>
          <w:rFonts w:eastAsia="Calibri"/>
        </w:rPr>
        <w:t xml:space="preserve"> 2001:23</w:t>
      </w:r>
      <w:r w:rsidRPr="008573C5">
        <w:rPr>
          <w:rFonts w:eastAsia="Calibri"/>
        </w:rPr>
        <w:t>)</w:t>
      </w:r>
      <w:r w:rsidRPr="008573C5">
        <w:t xml:space="preserve">. In </w:t>
      </w:r>
      <w:r w:rsidR="006256C2" w:rsidRPr="008573C5">
        <w:t>o</w:t>
      </w:r>
      <w:r w:rsidRPr="008573C5">
        <w:t>ther cases, researchers combine the t</w:t>
      </w:r>
      <w:r w:rsidR="0043648E" w:rsidRPr="008573C5">
        <w:t xml:space="preserve">wo methods (Barrett, 1975:18). </w:t>
      </w:r>
      <w:r w:rsidRPr="008573C5">
        <w:t xml:space="preserve">The research interest is on </w:t>
      </w:r>
      <w:r w:rsidR="006256C2" w:rsidRPr="008573C5">
        <w:t xml:space="preserve">the </w:t>
      </w:r>
      <w:r w:rsidRPr="008573C5">
        <w:t>method whereby, the extent of compliance is determined</w:t>
      </w:r>
      <w:r w:rsidR="006256C2" w:rsidRPr="008573C5">
        <w:t>, firstly,</w:t>
      </w:r>
      <w:r w:rsidR="00816694" w:rsidRPr="008573C5">
        <w:t xml:space="preserve"> by a content analysis of annual financial reports </w:t>
      </w:r>
      <w:r w:rsidR="00AC13FE" w:rsidRPr="008573C5">
        <w:t>and</w:t>
      </w:r>
      <w:r w:rsidR="006256C2" w:rsidRPr="008573C5">
        <w:t>, secondly,</w:t>
      </w:r>
      <w:r w:rsidR="00AC13FE" w:rsidRPr="008573C5">
        <w:t xml:space="preserve"> </w:t>
      </w:r>
      <w:r w:rsidR="00816694" w:rsidRPr="008573C5">
        <w:t>by a survey research method</w:t>
      </w:r>
      <w:r w:rsidR="00AC13FE" w:rsidRPr="008573C5">
        <w:t>.</w:t>
      </w:r>
    </w:p>
    <w:p w:rsidR="004F12A2" w:rsidRPr="008573C5" w:rsidRDefault="004F12A2" w:rsidP="00FF5EDF">
      <w:pPr>
        <w:spacing w:line="360" w:lineRule="auto"/>
        <w:jc w:val="both"/>
        <w:rPr>
          <w:rFonts w:ascii="Times" w:hAnsi="Times" w:cs="Times"/>
        </w:rPr>
      </w:pPr>
    </w:p>
    <w:p w:rsidR="00DB6C67" w:rsidRPr="008573C5" w:rsidRDefault="00816694" w:rsidP="00FF5EDF">
      <w:pPr>
        <w:spacing w:line="360" w:lineRule="auto"/>
        <w:jc w:val="both"/>
        <w:rPr>
          <w:rFonts w:ascii="Times" w:hAnsi="Times" w:cs="Times"/>
        </w:rPr>
      </w:pPr>
      <w:r w:rsidRPr="008573C5">
        <w:rPr>
          <w:rFonts w:ascii="Times" w:hAnsi="Times" w:cs="Times"/>
        </w:rPr>
        <w:t>Firstly,</w:t>
      </w:r>
      <w:r w:rsidR="00FF5EDF" w:rsidRPr="008573C5">
        <w:rPr>
          <w:rFonts w:ascii="Times" w:hAnsi="Times" w:cs="Times"/>
        </w:rPr>
        <w:t xml:space="preserve"> a content analysis of the annual reports of </w:t>
      </w:r>
      <w:r w:rsidR="004F12A2" w:rsidRPr="008573C5">
        <w:rPr>
          <w:rFonts w:ascii="Times" w:hAnsi="Times" w:cs="Times"/>
        </w:rPr>
        <w:t>a cross sectional sample of</w:t>
      </w:r>
      <w:r w:rsidR="00DB6C67" w:rsidRPr="008573C5">
        <w:rPr>
          <w:rFonts w:ascii="Times" w:hAnsi="Times" w:cs="Times"/>
        </w:rPr>
        <w:t xml:space="preserve"> </w:t>
      </w:r>
      <w:r w:rsidR="00FF5EDF" w:rsidRPr="008573C5">
        <w:rPr>
          <w:rFonts w:ascii="Times" w:hAnsi="Times" w:cs="Times"/>
        </w:rPr>
        <w:t xml:space="preserve">ninety listed companies with accounting year end between January and December 2006 </w:t>
      </w:r>
      <w:r w:rsidR="00BC139F" w:rsidRPr="008573C5">
        <w:rPr>
          <w:rFonts w:ascii="Times" w:hAnsi="Times" w:cs="Times"/>
        </w:rPr>
        <w:t>i</w:t>
      </w:r>
      <w:r w:rsidR="00FF5EDF" w:rsidRPr="008573C5">
        <w:rPr>
          <w:rFonts w:ascii="Times" w:hAnsi="Times" w:cs="Times"/>
        </w:rPr>
        <w:t>s conducted.</w:t>
      </w:r>
      <w:r w:rsidR="004F12A2" w:rsidRPr="008573C5">
        <w:rPr>
          <w:rFonts w:ascii="Times" w:hAnsi="Times" w:cs="Times"/>
        </w:rPr>
        <w:t xml:space="preserve"> A cross sectional sample </w:t>
      </w:r>
      <w:r w:rsidR="004907FD" w:rsidRPr="008573C5">
        <w:rPr>
          <w:rFonts w:ascii="Times" w:hAnsi="Times" w:cs="Times"/>
        </w:rPr>
        <w:t xml:space="preserve">for one year </w:t>
      </w:r>
      <w:r w:rsidR="00BC139F" w:rsidRPr="008573C5">
        <w:rPr>
          <w:rFonts w:ascii="Times" w:hAnsi="Times" w:cs="Times"/>
        </w:rPr>
        <w:t>i</w:t>
      </w:r>
      <w:r w:rsidR="004F12A2" w:rsidRPr="008573C5">
        <w:rPr>
          <w:rFonts w:ascii="Times" w:hAnsi="Times" w:cs="Times"/>
        </w:rPr>
        <w:t xml:space="preserve">s utilized </w:t>
      </w:r>
      <w:r w:rsidR="004907FD" w:rsidRPr="008573C5">
        <w:rPr>
          <w:rFonts w:ascii="Times" w:hAnsi="Times" w:cs="Times"/>
        </w:rPr>
        <w:t xml:space="preserve">in order </w:t>
      </w:r>
      <w:r w:rsidR="004F12A2" w:rsidRPr="008573C5">
        <w:rPr>
          <w:rFonts w:ascii="Times" w:hAnsi="Times" w:cs="Times"/>
        </w:rPr>
        <w:t>to minimize the effects of year to year changes in economic</w:t>
      </w:r>
      <w:r w:rsidR="004907FD" w:rsidRPr="008573C5">
        <w:rPr>
          <w:rFonts w:ascii="Times" w:hAnsi="Times" w:cs="Times"/>
        </w:rPr>
        <w:t xml:space="preserve"> conditions.</w:t>
      </w:r>
      <w:r w:rsidR="004F12A2" w:rsidRPr="008573C5">
        <w:rPr>
          <w:rFonts w:ascii="Times" w:hAnsi="Times" w:cs="Times"/>
        </w:rPr>
        <w:t xml:space="preserve"> </w:t>
      </w:r>
      <w:r w:rsidR="00BC139F" w:rsidRPr="008573C5">
        <w:rPr>
          <w:rFonts w:ascii="Times" w:hAnsi="Times" w:cs="Times"/>
        </w:rPr>
        <w:t xml:space="preserve"> Each annual report i</w:t>
      </w:r>
      <w:r w:rsidR="00FF5EDF" w:rsidRPr="008573C5">
        <w:rPr>
          <w:rFonts w:ascii="Times" w:hAnsi="Times" w:cs="Times"/>
        </w:rPr>
        <w:t>s carefully scrutinized</w:t>
      </w:r>
      <w:r w:rsidR="00DB6C67" w:rsidRPr="008573C5">
        <w:rPr>
          <w:rFonts w:ascii="Times" w:hAnsi="Times" w:cs="Times"/>
        </w:rPr>
        <w:t xml:space="preserve"> and scored as a disclosure index based on a researcher-developed checklist.</w:t>
      </w:r>
      <w:r w:rsidR="00FF5EDF" w:rsidRPr="008573C5">
        <w:rPr>
          <w:rFonts w:ascii="Times" w:hAnsi="Times" w:cs="Times"/>
        </w:rPr>
        <w:t xml:space="preserve"> </w:t>
      </w:r>
      <w:r w:rsidR="00DB6C67" w:rsidRPr="008573C5">
        <w:rPr>
          <w:rFonts w:ascii="Times" w:hAnsi="Times" w:cs="Times"/>
        </w:rPr>
        <w:t>The disclosure i</w:t>
      </w:r>
      <w:r w:rsidR="00B8061C" w:rsidRPr="008573C5">
        <w:rPr>
          <w:rFonts w:ascii="Times" w:hAnsi="Times" w:cs="Times"/>
        </w:rPr>
        <w:t xml:space="preserve">ndex method </w:t>
      </w:r>
      <w:r w:rsidR="005E3AFF" w:rsidRPr="008573C5">
        <w:rPr>
          <w:rFonts w:ascii="Times" w:hAnsi="Times" w:cs="Times"/>
        </w:rPr>
        <w:t>was</w:t>
      </w:r>
      <w:r w:rsidR="00B8061C" w:rsidRPr="008573C5">
        <w:rPr>
          <w:rFonts w:ascii="Times" w:hAnsi="Times" w:cs="Times"/>
        </w:rPr>
        <w:t xml:space="preserve"> seen </w:t>
      </w:r>
      <w:r w:rsidR="00DB6C67" w:rsidRPr="008573C5">
        <w:rPr>
          <w:rFonts w:ascii="Times" w:hAnsi="Times" w:cs="Times"/>
        </w:rPr>
        <w:t xml:space="preserve">by researchers in time past (Singhvi, 1968:551; </w:t>
      </w:r>
      <w:r w:rsidR="00B57B07" w:rsidRPr="008573C5">
        <w:rPr>
          <w:rFonts w:ascii="Times" w:hAnsi="Times" w:cs="Times"/>
        </w:rPr>
        <w:t>Singhvi and Desai, 1971:</w:t>
      </w:r>
      <w:r w:rsidR="00DB6C67" w:rsidRPr="008573C5">
        <w:rPr>
          <w:rFonts w:ascii="Times" w:hAnsi="Times" w:cs="Times"/>
        </w:rPr>
        <w:t>130) as an adequate model for financial disclosure and ha</w:t>
      </w:r>
      <w:r w:rsidR="00BC139F" w:rsidRPr="008573C5">
        <w:rPr>
          <w:rFonts w:ascii="Times" w:hAnsi="Times" w:cs="Times"/>
        </w:rPr>
        <w:t xml:space="preserve">ve </w:t>
      </w:r>
      <w:r w:rsidR="00DB6C67" w:rsidRPr="008573C5">
        <w:rPr>
          <w:rFonts w:ascii="Times" w:hAnsi="Times" w:cs="Times"/>
        </w:rPr>
        <w:t>been used over time. M</w:t>
      </w:r>
      <w:r w:rsidR="00FF5EDF" w:rsidRPr="008573C5">
        <w:rPr>
          <w:rFonts w:ascii="Times" w:hAnsi="Times" w:cs="Times"/>
        </w:rPr>
        <w:t xml:space="preserve">ultivariate regression and cluster analysis </w:t>
      </w:r>
      <w:r w:rsidR="00BC139F" w:rsidRPr="008573C5">
        <w:rPr>
          <w:rFonts w:ascii="Times" w:hAnsi="Times" w:cs="Times"/>
        </w:rPr>
        <w:t>i</w:t>
      </w:r>
      <w:r w:rsidR="005E3AFF" w:rsidRPr="008573C5">
        <w:rPr>
          <w:rFonts w:ascii="Times" w:hAnsi="Times" w:cs="Times"/>
        </w:rPr>
        <w:t>s</w:t>
      </w:r>
      <w:r w:rsidR="00FF5EDF" w:rsidRPr="008573C5">
        <w:rPr>
          <w:rFonts w:ascii="Times" w:hAnsi="Times" w:cs="Times"/>
        </w:rPr>
        <w:t xml:space="preserve"> utilized to explain </w:t>
      </w:r>
      <w:r w:rsidR="00DB6C67" w:rsidRPr="008573C5">
        <w:rPr>
          <w:rFonts w:ascii="Times" w:hAnsi="Times" w:cs="Times"/>
        </w:rPr>
        <w:t xml:space="preserve">relationships and </w:t>
      </w:r>
      <w:r w:rsidR="00FF5EDF" w:rsidRPr="008573C5">
        <w:rPr>
          <w:rFonts w:ascii="Times" w:hAnsi="Times" w:cs="Times"/>
        </w:rPr>
        <w:t xml:space="preserve">patterns derived from each of the ninety reports. </w:t>
      </w:r>
    </w:p>
    <w:p w:rsidR="00DB6C67" w:rsidRPr="008573C5" w:rsidRDefault="00DB6C67" w:rsidP="00FF5EDF">
      <w:pPr>
        <w:spacing w:line="360" w:lineRule="auto"/>
        <w:jc w:val="both"/>
        <w:rPr>
          <w:rFonts w:eastAsia="Calibri"/>
        </w:rPr>
      </w:pPr>
    </w:p>
    <w:p w:rsidR="0009509A" w:rsidRPr="008573C5" w:rsidRDefault="00816694" w:rsidP="00CC376F">
      <w:pPr>
        <w:spacing w:before="100" w:beforeAutospacing="1" w:after="100" w:afterAutospacing="1" w:line="360" w:lineRule="auto"/>
        <w:jc w:val="both"/>
      </w:pPr>
      <w:r w:rsidRPr="008573C5">
        <w:rPr>
          <w:rFonts w:ascii="Times" w:hAnsi="Times" w:cs="Times"/>
        </w:rPr>
        <w:t xml:space="preserve">Secondly, a survey research </w:t>
      </w:r>
      <w:r w:rsidR="00651B78" w:rsidRPr="008573C5">
        <w:rPr>
          <w:rFonts w:ascii="Times" w:hAnsi="Times" w:cs="Times"/>
        </w:rPr>
        <w:t>is</w:t>
      </w:r>
      <w:r w:rsidRPr="008573C5">
        <w:rPr>
          <w:rFonts w:ascii="Times" w:hAnsi="Times" w:cs="Times"/>
        </w:rPr>
        <w:t xml:space="preserve"> undertaken by administering </w:t>
      </w:r>
      <w:r w:rsidR="004E3561" w:rsidRPr="008573C5">
        <w:rPr>
          <w:rFonts w:ascii="Times" w:hAnsi="Times" w:cs="Times"/>
        </w:rPr>
        <w:t xml:space="preserve">a questionnaire </w:t>
      </w:r>
      <w:r w:rsidRPr="008573C5">
        <w:rPr>
          <w:rFonts w:ascii="Times" w:hAnsi="Times" w:cs="Times"/>
        </w:rPr>
        <w:t xml:space="preserve">to </w:t>
      </w:r>
      <w:r w:rsidR="0009509A" w:rsidRPr="008573C5">
        <w:t>preparers (accountants), external auditors and users of accounting information (financial analysts, stockbrokers, bankers, regulators and educators) on disclosure practices of listed financial and non-financial companies in Nigeria.</w:t>
      </w:r>
      <w:r w:rsidRPr="008573C5">
        <w:rPr>
          <w:rFonts w:ascii="Times" w:hAnsi="Times" w:cs="Times"/>
        </w:rPr>
        <w:t xml:space="preserve"> The questionnaire</w:t>
      </w:r>
      <w:r w:rsidR="004E3561" w:rsidRPr="008573C5">
        <w:rPr>
          <w:rFonts w:ascii="Times" w:hAnsi="Times" w:cs="Times"/>
        </w:rPr>
        <w:t xml:space="preserve"> was </w:t>
      </w:r>
      <w:r w:rsidRPr="008573C5">
        <w:rPr>
          <w:rFonts w:ascii="Times" w:hAnsi="Times" w:cs="Times"/>
        </w:rPr>
        <w:t xml:space="preserve">designed to facilitate responses that would confirm if listed companies comply with the disclosure requirements of SAS, IFRS and if they voluntarily disclose </w:t>
      </w:r>
      <w:r w:rsidR="0009509A" w:rsidRPr="008573C5">
        <w:rPr>
          <w:rFonts w:ascii="Times" w:hAnsi="Times" w:cs="Times"/>
        </w:rPr>
        <w:t xml:space="preserve">any </w:t>
      </w:r>
      <w:r w:rsidRPr="008573C5">
        <w:rPr>
          <w:rFonts w:ascii="Times" w:hAnsi="Times" w:cs="Times"/>
        </w:rPr>
        <w:t>other</w:t>
      </w:r>
      <w:r w:rsidR="0009509A" w:rsidRPr="008573C5">
        <w:rPr>
          <w:rFonts w:ascii="Times" w:hAnsi="Times" w:cs="Times"/>
        </w:rPr>
        <w:t xml:space="preserve"> relevant </w:t>
      </w:r>
      <w:r w:rsidRPr="008573C5">
        <w:rPr>
          <w:rFonts w:ascii="Times" w:hAnsi="Times" w:cs="Times"/>
        </w:rPr>
        <w:t xml:space="preserve">information. It also solicited responses on factors </w:t>
      </w:r>
      <w:r w:rsidRPr="008573C5">
        <w:t xml:space="preserve">influencing the extent of </w:t>
      </w:r>
      <w:r w:rsidR="0009509A" w:rsidRPr="008573C5">
        <w:t>disclosure and on consequences of non-compliance with the disclosure requirements of accounting standards.</w:t>
      </w:r>
    </w:p>
    <w:p w:rsidR="0043648E" w:rsidRPr="008573C5" w:rsidRDefault="0043648E" w:rsidP="005706D8">
      <w:pPr>
        <w:pStyle w:val="NormalWeb"/>
        <w:spacing w:line="360" w:lineRule="auto"/>
        <w:jc w:val="both"/>
        <w:rPr>
          <w:b/>
          <w:sz w:val="28"/>
          <w:szCs w:val="28"/>
        </w:rPr>
      </w:pPr>
    </w:p>
    <w:p w:rsidR="005706D8" w:rsidRPr="008573C5" w:rsidRDefault="005706D8" w:rsidP="005706D8">
      <w:pPr>
        <w:pStyle w:val="NormalWeb"/>
        <w:spacing w:line="360" w:lineRule="auto"/>
        <w:jc w:val="both"/>
        <w:rPr>
          <w:b/>
          <w:sz w:val="28"/>
          <w:szCs w:val="28"/>
        </w:rPr>
      </w:pPr>
      <w:r w:rsidRPr="008573C5">
        <w:rPr>
          <w:b/>
          <w:sz w:val="28"/>
          <w:szCs w:val="28"/>
        </w:rPr>
        <w:t>3.2</w:t>
      </w:r>
      <w:r w:rsidRPr="008573C5">
        <w:rPr>
          <w:b/>
          <w:sz w:val="28"/>
          <w:szCs w:val="28"/>
        </w:rPr>
        <w:tab/>
        <w:t>Content Analysis Research Method</w:t>
      </w:r>
      <w:r w:rsidRPr="008573C5">
        <w:rPr>
          <w:b/>
          <w:sz w:val="28"/>
          <w:szCs w:val="28"/>
        </w:rPr>
        <w:tab/>
      </w:r>
    </w:p>
    <w:p w:rsidR="00FF5EDF" w:rsidRPr="008573C5" w:rsidRDefault="005706D8" w:rsidP="00CC376F">
      <w:pPr>
        <w:pStyle w:val="NormalWeb"/>
        <w:spacing w:line="360" w:lineRule="auto"/>
        <w:jc w:val="both"/>
      </w:pPr>
      <w:r w:rsidRPr="008573C5">
        <w:rPr>
          <w:b/>
          <w:sz w:val="28"/>
          <w:szCs w:val="28"/>
        </w:rPr>
        <w:t xml:space="preserve">3.2.1 </w:t>
      </w:r>
      <w:r w:rsidRPr="008573C5">
        <w:rPr>
          <w:b/>
          <w:sz w:val="28"/>
          <w:szCs w:val="28"/>
        </w:rPr>
        <w:tab/>
        <w:t>Population of Study</w:t>
      </w:r>
      <w:r w:rsidR="002E3E39" w:rsidRPr="008573C5">
        <w:rPr>
          <w:b/>
          <w:sz w:val="28"/>
          <w:szCs w:val="28"/>
        </w:rPr>
        <w:t xml:space="preserve"> for Content Analysis</w:t>
      </w:r>
    </w:p>
    <w:p w:rsidR="00E74ACC" w:rsidRPr="008573C5" w:rsidRDefault="00E74ACC" w:rsidP="00E74ACC">
      <w:pPr>
        <w:autoSpaceDE w:val="0"/>
        <w:autoSpaceDN w:val="0"/>
        <w:adjustRightInd w:val="0"/>
        <w:spacing w:line="360" w:lineRule="auto"/>
        <w:jc w:val="both"/>
      </w:pPr>
      <w:r w:rsidRPr="008573C5">
        <w:rPr>
          <w:rFonts w:ascii="Times" w:hAnsi="Times" w:cs="Times"/>
        </w:rPr>
        <w:t xml:space="preserve">The </w:t>
      </w:r>
      <w:r w:rsidR="00C47364" w:rsidRPr="008573C5">
        <w:rPr>
          <w:rFonts w:ascii="Times" w:hAnsi="Times" w:cs="Times"/>
        </w:rPr>
        <w:t>population for the content analysis of annual reports include</w:t>
      </w:r>
      <w:r w:rsidR="00B309F8">
        <w:rPr>
          <w:rFonts w:ascii="Times" w:hAnsi="Times" w:cs="Times"/>
        </w:rPr>
        <w:t>d</w:t>
      </w:r>
      <w:r w:rsidRPr="008573C5">
        <w:rPr>
          <w:rFonts w:ascii="Times" w:hAnsi="Times" w:cs="Times"/>
        </w:rPr>
        <w:t xml:space="preserve"> all the listed companies at the first-tier market of the Nigerian Stock exchange</w:t>
      </w:r>
      <w:r w:rsidR="00C47364" w:rsidRPr="008573C5">
        <w:rPr>
          <w:rFonts w:ascii="Times" w:hAnsi="Times" w:cs="Times"/>
        </w:rPr>
        <w:t xml:space="preserve"> in year 2006</w:t>
      </w:r>
      <w:r w:rsidRPr="008573C5">
        <w:rPr>
          <w:rFonts w:ascii="Times" w:hAnsi="Times" w:cs="Times"/>
        </w:rPr>
        <w:t>. As at December 2006</w:t>
      </w:r>
      <w:r w:rsidR="006A4B7A" w:rsidRPr="008573C5">
        <w:rPr>
          <w:rFonts w:ascii="Times" w:hAnsi="Times" w:cs="Times"/>
        </w:rPr>
        <w:t>,</w:t>
      </w:r>
      <w:r w:rsidRPr="008573C5">
        <w:rPr>
          <w:rFonts w:ascii="Times" w:hAnsi="Times" w:cs="Times"/>
        </w:rPr>
        <w:t xml:space="preserve"> a total number of two hundred and two companies (NSE,</w:t>
      </w:r>
      <w:r w:rsidR="00C1247A" w:rsidRPr="008573C5">
        <w:rPr>
          <w:rFonts w:ascii="Times" w:hAnsi="Times" w:cs="Times"/>
        </w:rPr>
        <w:t xml:space="preserve"> </w:t>
      </w:r>
      <w:r w:rsidRPr="008573C5">
        <w:rPr>
          <w:rFonts w:ascii="Times" w:hAnsi="Times" w:cs="Times"/>
        </w:rPr>
        <w:t xml:space="preserve">2007: 37) </w:t>
      </w:r>
      <w:r w:rsidR="00651B78" w:rsidRPr="008573C5">
        <w:rPr>
          <w:rFonts w:ascii="Times" w:hAnsi="Times" w:cs="Times"/>
        </w:rPr>
        <w:t>were</w:t>
      </w:r>
      <w:r w:rsidRPr="008573C5">
        <w:rPr>
          <w:rFonts w:ascii="Times" w:hAnsi="Times" w:cs="Times"/>
        </w:rPr>
        <w:t xml:space="preserve"> quoted at the Nigerian Stock Exchange. Of these, one hundred and eighty six companies </w:t>
      </w:r>
      <w:r w:rsidR="00651B78" w:rsidRPr="008573C5">
        <w:rPr>
          <w:rFonts w:ascii="Times" w:hAnsi="Times" w:cs="Times"/>
        </w:rPr>
        <w:t>were</w:t>
      </w:r>
      <w:r w:rsidRPr="008573C5">
        <w:rPr>
          <w:rFonts w:ascii="Times" w:hAnsi="Times" w:cs="Times"/>
        </w:rPr>
        <w:t xml:space="preserve"> quoted at the first-tier market while sixteen companies </w:t>
      </w:r>
      <w:r w:rsidR="00651B78" w:rsidRPr="008573C5">
        <w:rPr>
          <w:rFonts w:ascii="Times" w:hAnsi="Times" w:cs="Times"/>
        </w:rPr>
        <w:t>were</w:t>
      </w:r>
      <w:r w:rsidRPr="008573C5">
        <w:rPr>
          <w:rFonts w:ascii="Times" w:hAnsi="Times" w:cs="Times"/>
        </w:rPr>
        <w:t xml:space="preserve"> quoted at the second</w:t>
      </w:r>
      <w:r w:rsidR="00D25640" w:rsidRPr="008573C5">
        <w:rPr>
          <w:rFonts w:ascii="Times" w:hAnsi="Times" w:cs="Times"/>
        </w:rPr>
        <w:t>-</w:t>
      </w:r>
      <w:r w:rsidRPr="008573C5">
        <w:rPr>
          <w:rFonts w:ascii="Times" w:hAnsi="Times" w:cs="Times"/>
        </w:rPr>
        <w:t>tier market. The first</w:t>
      </w:r>
      <w:r w:rsidR="00D25640" w:rsidRPr="008573C5">
        <w:rPr>
          <w:rFonts w:ascii="Times" w:hAnsi="Times" w:cs="Times"/>
        </w:rPr>
        <w:t>-</w:t>
      </w:r>
      <w:r w:rsidRPr="008573C5">
        <w:rPr>
          <w:rFonts w:ascii="Times" w:hAnsi="Times" w:cs="Times"/>
        </w:rPr>
        <w:t>tier market comprises thirty</w:t>
      </w:r>
      <w:r w:rsidR="005E3AFF" w:rsidRPr="008573C5">
        <w:rPr>
          <w:rFonts w:ascii="Times" w:hAnsi="Times" w:cs="Times"/>
        </w:rPr>
        <w:t xml:space="preserve"> </w:t>
      </w:r>
      <w:r w:rsidR="00D25640" w:rsidRPr="008573C5">
        <w:rPr>
          <w:rFonts w:ascii="Times" w:hAnsi="Times" w:cs="Times"/>
        </w:rPr>
        <w:t xml:space="preserve">- </w:t>
      </w:r>
      <w:r w:rsidRPr="008573C5">
        <w:rPr>
          <w:rFonts w:ascii="Times" w:hAnsi="Times" w:cs="Times"/>
        </w:rPr>
        <w:t xml:space="preserve">one sectors namely: </w:t>
      </w:r>
      <w:r w:rsidRPr="008573C5">
        <w:t>agriculture, airline, automobile, aviation, breweries, building materials, chemical and paints, commercial services, computer, equipment, conglomerates, construction, engineering, food, foot wear, healthcare, hotel, industrial and domestic products, leasing, machinery, managed funds, maritime, packaging, petroleum marketing, printing and publishing, real estate, road transportation, textiles, banking, insurance, mortgage and foreign.</w:t>
      </w:r>
    </w:p>
    <w:p w:rsidR="00E74ACC" w:rsidRPr="008573C5" w:rsidRDefault="00E74ACC" w:rsidP="00FF5EDF">
      <w:pPr>
        <w:autoSpaceDE w:val="0"/>
        <w:autoSpaceDN w:val="0"/>
        <w:adjustRightInd w:val="0"/>
        <w:spacing w:line="360" w:lineRule="auto"/>
        <w:jc w:val="both"/>
        <w:rPr>
          <w:rFonts w:ascii="Times" w:hAnsi="Times" w:cs="Times"/>
        </w:rPr>
      </w:pPr>
    </w:p>
    <w:p w:rsidR="0043648E" w:rsidRPr="008573C5" w:rsidRDefault="0043648E" w:rsidP="00D02464">
      <w:pPr>
        <w:pStyle w:val="NormalWeb"/>
        <w:spacing w:line="360" w:lineRule="auto"/>
        <w:jc w:val="both"/>
        <w:rPr>
          <w:b/>
          <w:sz w:val="28"/>
          <w:szCs w:val="28"/>
        </w:rPr>
      </w:pPr>
    </w:p>
    <w:p w:rsidR="00B57B07" w:rsidRPr="008573C5" w:rsidRDefault="00B57B07" w:rsidP="00D02464">
      <w:pPr>
        <w:pStyle w:val="NormalWeb"/>
        <w:spacing w:line="360" w:lineRule="auto"/>
        <w:jc w:val="both"/>
      </w:pPr>
      <w:r w:rsidRPr="008573C5">
        <w:rPr>
          <w:b/>
          <w:sz w:val="28"/>
          <w:szCs w:val="28"/>
        </w:rPr>
        <w:t xml:space="preserve">3.2.2 </w:t>
      </w:r>
      <w:r w:rsidRPr="008573C5">
        <w:rPr>
          <w:b/>
          <w:sz w:val="28"/>
          <w:szCs w:val="28"/>
        </w:rPr>
        <w:tab/>
        <w:t>Sample Size and Sampling Technique for Content Analysis</w:t>
      </w:r>
    </w:p>
    <w:p w:rsidR="00EE48C1" w:rsidRPr="008573C5" w:rsidRDefault="00FF5EDF" w:rsidP="00B778C9">
      <w:pPr>
        <w:autoSpaceDE w:val="0"/>
        <w:autoSpaceDN w:val="0"/>
        <w:adjustRightInd w:val="0"/>
        <w:spacing w:before="240" w:line="360" w:lineRule="auto"/>
        <w:jc w:val="both"/>
      </w:pPr>
      <w:r w:rsidRPr="008573C5">
        <w:t xml:space="preserve">In order to gain the advantages of an in-depth study and effective coverage, </w:t>
      </w:r>
      <w:r w:rsidR="00BC139F" w:rsidRPr="008573C5">
        <w:t>samples are</w:t>
      </w:r>
      <w:r w:rsidR="00E85A89" w:rsidRPr="008573C5">
        <w:t xml:space="preserve"> drawn from companies listed </w:t>
      </w:r>
      <w:r w:rsidR="004F0CC0" w:rsidRPr="008573C5">
        <w:t xml:space="preserve">on the first tier market </w:t>
      </w:r>
      <w:r w:rsidR="00E85A89" w:rsidRPr="008573C5">
        <w:t>at the Nigerian Stock Exchange</w:t>
      </w:r>
      <w:r w:rsidR="004F0CC0" w:rsidRPr="008573C5">
        <w:t>. Twenty five</w:t>
      </w:r>
      <w:r w:rsidR="005C1F53" w:rsidRPr="008573C5">
        <w:t xml:space="preserve"> industries </w:t>
      </w:r>
      <w:r w:rsidR="00C46D95" w:rsidRPr="008573C5">
        <w:t>are</w:t>
      </w:r>
      <w:r w:rsidR="004F0CC0" w:rsidRPr="008573C5">
        <w:t xml:space="preserve"> </w:t>
      </w:r>
      <w:r w:rsidR="005C1F53" w:rsidRPr="008573C5">
        <w:t xml:space="preserve">considered </w:t>
      </w:r>
      <w:r w:rsidR="004F0CC0" w:rsidRPr="008573C5">
        <w:t xml:space="preserve">using </w:t>
      </w:r>
      <w:r w:rsidR="005C1F53" w:rsidRPr="008573C5">
        <w:t xml:space="preserve">stratified random sampling </w:t>
      </w:r>
      <w:r w:rsidR="00651B78" w:rsidRPr="008573C5">
        <w:t>method. Stratification i</w:t>
      </w:r>
      <w:r w:rsidR="00EE3A31" w:rsidRPr="008573C5">
        <w:t xml:space="preserve">s done </w:t>
      </w:r>
      <w:r w:rsidR="005C1F53" w:rsidRPr="008573C5">
        <w:t xml:space="preserve">based on </w:t>
      </w:r>
      <w:r w:rsidR="00EE3A31" w:rsidRPr="008573C5">
        <w:t xml:space="preserve">the ratings of </w:t>
      </w:r>
      <w:r w:rsidR="005C1F53" w:rsidRPr="008573C5">
        <w:t xml:space="preserve">companies </w:t>
      </w:r>
      <w:r w:rsidR="00EE3A31" w:rsidRPr="008573C5">
        <w:t>by Nigerian Stock Exchange on d</w:t>
      </w:r>
      <w:r w:rsidR="005C1F53" w:rsidRPr="008573C5">
        <w:t>isclosure practices</w:t>
      </w:r>
      <w:r w:rsidR="00EE3A31" w:rsidRPr="008573C5">
        <w:t xml:space="preserve">. </w:t>
      </w:r>
      <w:r w:rsidR="00651B78" w:rsidRPr="008573C5">
        <w:t>Companies within these industries were</w:t>
      </w:r>
      <w:r w:rsidR="00EE3A31" w:rsidRPr="008573C5">
        <w:t xml:space="preserve"> rated as best</w:t>
      </w:r>
      <w:r w:rsidR="00EE48C1" w:rsidRPr="008573C5">
        <w:t xml:space="preserve"> in disclosure practices</w:t>
      </w:r>
      <w:r w:rsidR="005C1F53" w:rsidRPr="008573C5">
        <w:t xml:space="preserve"> for the year end 2006. </w:t>
      </w:r>
      <w:r w:rsidR="00B86F16" w:rsidRPr="008573C5">
        <w:t>In order to</w:t>
      </w:r>
      <w:r w:rsidR="00EE48C1" w:rsidRPr="008573C5">
        <w:t xml:space="preserve"> select samples within the industries, a</w:t>
      </w:r>
      <w:r w:rsidR="005C1F53" w:rsidRPr="008573C5">
        <w:t xml:space="preserve">ll the companies rated best </w:t>
      </w:r>
      <w:r w:rsidR="00C46D95" w:rsidRPr="008573C5">
        <w:t>are</w:t>
      </w:r>
      <w:r w:rsidR="005C1F53" w:rsidRPr="008573C5">
        <w:t xml:space="preserve"> </w:t>
      </w:r>
      <w:r w:rsidR="00EE48C1" w:rsidRPr="008573C5">
        <w:t xml:space="preserve">first </w:t>
      </w:r>
      <w:r w:rsidR="005C1F53" w:rsidRPr="008573C5">
        <w:t>selected</w:t>
      </w:r>
      <w:r w:rsidR="00EE48C1" w:rsidRPr="008573C5">
        <w:t xml:space="preserve"> an</w:t>
      </w:r>
      <w:r w:rsidR="005C1F53" w:rsidRPr="008573C5">
        <w:t xml:space="preserve">d </w:t>
      </w:r>
      <w:r w:rsidR="00EE48C1" w:rsidRPr="008573C5">
        <w:t>afterwards,</w:t>
      </w:r>
      <w:r w:rsidR="005C1F53" w:rsidRPr="008573C5">
        <w:t xml:space="preserve"> </w:t>
      </w:r>
      <w:r w:rsidR="00A97687" w:rsidRPr="008573C5">
        <w:t xml:space="preserve">simple random selections of all other companies </w:t>
      </w:r>
      <w:r w:rsidR="00C46D95" w:rsidRPr="008573C5">
        <w:t>are</w:t>
      </w:r>
      <w:r w:rsidR="00EE48C1" w:rsidRPr="008573C5">
        <w:t xml:space="preserve"> conducted.</w:t>
      </w:r>
      <w:r w:rsidR="005C1F53" w:rsidRPr="008573C5">
        <w:t xml:space="preserve"> The simple random sampling gives each subject of the study population an equal chance of being selected, thus free from bias and favour (Ujo, 2004:145).</w:t>
      </w:r>
      <w:r w:rsidR="00EE48C1" w:rsidRPr="008573C5">
        <w:t xml:space="preserve"> </w:t>
      </w:r>
      <w:r w:rsidR="00C46D95" w:rsidRPr="008573C5">
        <w:t>In all, n</w:t>
      </w:r>
      <w:r w:rsidR="00C1247A" w:rsidRPr="008573C5">
        <w:t xml:space="preserve">inety </w:t>
      </w:r>
      <w:r w:rsidR="001D7C40" w:rsidRPr="008573C5">
        <w:t xml:space="preserve">(90) </w:t>
      </w:r>
      <w:r w:rsidR="00C1247A" w:rsidRPr="008573C5">
        <w:t xml:space="preserve">listed </w:t>
      </w:r>
      <w:r w:rsidR="001D7C40" w:rsidRPr="008573C5">
        <w:t xml:space="preserve">companies </w:t>
      </w:r>
      <w:r w:rsidR="00651B78" w:rsidRPr="008573C5">
        <w:t>are</w:t>
      </w:r>
      <w:r w:rsidR="001D7C40" w:rsidRPr="008573C5">
        <w:t xml:space="preserve"> selected based on judgmental basis. Th</w:t>
      </w:r>
      <w:r w:rsidR="00EC51EF" w:rsidRPr="008573C5">
        <w:t xml:space="preserve">e sample size </w:t>
      </w:r>
      <w:r w:rsidR="00F6471E" w:rsidRPr="008573C5">
        <w:t xml:space="preserve">represents about 48% </w:t>
      </w:r>
      <w:r w:rsidR="001D7C40" w:rsidRPr="008573C5">
        <w:t>of population of listed Nigerian companies on the first-tier market</w:t>
      </w:r>
      <w:r w:rsidR="00F6471E" w:rsidRPr="008573C5">
        <w:t xml:space="preserve"> at NSE</w:t>
      </w:r>
      <w:r w:rsidR="001D7C40" w:rsidRPr="008573C5">
        <w:t xml:space="preserve">. </w:t>
      </w:r>
      <w:r w:rsidR="00C1247A" w:rsidRPr="008573C5">
        <w:t>S</w:t>
      </w:r>
      <w:r w:rsidR="000F79DC" w:rsidRPr="008573C5">
        <w:t>election i</w:t>
      </w:r>
      <w:r w:rsidR="004D1212" w:rsidRPr="008573C5">
        <w:t>s based on an eff</w:t>
      </w:r>
      <w:r w:rsidR="00AD20A3" w:rsidRPr="008573C5">
        <w:t xml:space="preserve">ort to maintain an industry mix representative of the listed Nigerian companies. </w:t>
      </w:r>
      <w:r w:rsidR="004D1212" w:rsidRPr="008573C5">
        <w:t>The</w:t>
      </w:r>
      <w:r w:rsidR="00EE48C1" w:rsidRPr="008573C5">
        <w:t xml:space="preserve"> </w:t>
      </w:r>
      <w:r w:rsidR="00395752" w:rsidRPr="008573C5">
        <w:t>names of the companies included in the study are listed in Appendix I.</w:t>
      </w:r>
      <w:r w:rsidR="004E59AC" w:rsidRPr="008573C5">
        <w:t xml:space="preserve"> </w:t>
      </w:r>
    </w:p>
    <w:p w:rsidR="005C1F53" w:rsidRPr="008573C5" w:rsidRDefault="00EC51EF" w:rsidP="00B778C9">
      <w:pPr>
        <w:autoSpaceDE w:val="0"/>
        <w:autoSpaceDN w:val="0"/>
        <w:adjustRightInd w:val="0"/>
        <w:spacing w:before="240" w:line="360" w:lineRule="auto"/>
        <w:jc w:val="both"/>
      </w:pPr>
      <w:r w:rsidRPr="008573C5">
        <w:t>The survey of a</w:t>
      </w:r>
      <w:r w:rsidR="005C1F53" w:rsidRPr="008573C5">
        <w:t xml:space="preserve">nnual reports </w:t>
      </w:r>
      <w:r w:rsidRPr="008573C5">
        <w:t>cover</w:t>
      </w:r>
      <w:r w:rsidR="00B309F8">
        <w:t xml:space="preserve">ed </w:t>
      </w:r>
      <w:r w:rsidRPr="008573C5">
        <w:t>companies, which published their annual reports during the period January 31, 2006 and December 31, 2006.</w:t>
      </w:r>
      <w:r w:rsidR="005C1F53" w:rsidRPr="008573C5">
        <w:t xml:space="preserve"> </w:t>
      </w:r>
      <w:r w:rsidR="005C1F53" w:rsidRPr="008573C5">
        <w:rPr>
          <w:rFonts w:ascii="Times" w:hAnsi="Times" w:cs="Times"/>
        </w:rPr>
        <w:t xml:space="preserve">The </w:t>
      </w:r>
      <w:r w:rsidR="00E85A89" w:rsidRPr="008573C5">
        <w:rPr>
          <w:rFonts w:ascii="Times" w:hAnsi="Times" w:cs="Times"/>
        </w:rPr>
        <w:t xml:space="preserve">single </w:t>
      </w:r>
      <w:r w:rsidR="005C1F53" w:rsidRPr="008573C5">
        <w:rPr>
          <w:rFonts w:ascii="Times" w:hAnsi="Times" w:cs="Times"/>
        </w:rPr>
        <w:t>period 2006 is of interest principally because of two factors. First</w:t>
      </w:r>
      <w:r w:rsidR="00AB638B" w:rsidRPr="008573C5">
        <w:rPr>
          <w:rFonts w:ascii="Times" w:hAnsi="Times" w:cs="Times"/>
        </w:rPr>
        <w:t>ly</w:t>
      </w:r>
      <w:r w:rsidR="005C1F53" w:rsidRPr="008573C5">
        <w:rPr>
          <w:rFonts w:ascii="Times" w:hAnsi="Times" w:cs="Times"/>
        </w:rPr>
        <w:t xml:space="preserve">, it was the most recent </w:t>
      </w:r>
      <w:r w:rsidR="00AB638B" w:rsidRPr="008573C5">
        <w:rPr>
          <w:rFonts w:ascii="Times" w:hAnsi="Times" w:cs="Times"/>
        </w:rPr>
        <w:t xml:space="preserve">reporting </w:t>
      </w:r>
      <w:r w:rsidR="005C1F53" w:rsidRPr="008573C5">
        <w:rPr>
          <w:rFonts w:ascii="Times" w:hAnsi="Times" w:cs="Times"/>
        </w:rPr>
        <w:t xml:space="preserve">period </w:t>
      </w:r>
      <w:r w:rsidR="00AB638B" w:rsidRPr="008573C5">
        <w:rPr>
          <w:rFonts w:ascii="Times" w:hAnsi="Times" w:cs="Times"/>
        </w:rPr>
        <w:t>for m</w:t>
      </w:r>
      <w:r w:rsidR="00E85A89" w:rsidRPr="008573C5">
        <w:rPr>
          <w:rFonts w:ascii="Times" w:hAnsi="Times" w:cs="Times"/>
        </w:rPr>
        <w:t>ajority of</w:t>
      </w:r>
      <w:r w:rsidR="00AB638B" w:rsidRPr="008573C5">
        <w:rPr>
          <w:rFonts w:ascii="Times" w:hAnsi="Times" w:cs="Times"/>
        </w:rPr>
        <w:t xml:space="preserve"> </w:t>
      </w:r>
      <w:r w:rsidR="00E85A89" w:rsidRPr="008573C5">
        <w:rPr>
          <w:rFonts w:ascii="Times" w:hAnsi="Times" w:cs="Times"/>
        </w:rPr>
        <w:t xml:space="preserve">the </w:t>
      </w:r>
      <w:r w:rsidR="00AB638B" w:rsidRPr="008573C5">
        <w:rPr>
          <w:rFonts w:ascii="Times" w:hAnsi="Times" w:cs="Times"/>
        </w:rPr>
        <w:t xml:space="preserve">companies </w:t>
      </w:r>
      <w:r w:rsidR="005C1F53" w:rsidRPr="008573C5">
        <w:rPr>
          <w:rFonts w:ascii="Times" w:hAnsi="Times" w:cs="Times"/>
        </w:rPr>
        <w:t>at the start of the study in June 2007</w:t>
      </w:r>
      <w:r w:rsidR="00AB638B" w:rsidRPr="008573C5">
        <w:rPr>
          <w:rFonts w:ascii="Times" w:hAnsi="Times" w:cs="Times"/>
        </w:rPr>
        <w:t>. I</w:t>
      </w:r>
      <w:r w:rsidR="005C1F53" w:rsidRPr="008573C5">
        <w:rPr>
          <w:rFonts w:ascii="Times" w:hAnsi="Times" w:cs="Times"/>
        </w:rPr>
        <w:t>n line with this period, accounting standar</w:t>
      </w:r>
      <w:r w:rsidR="000F79DC" w:rsidRPr="008573C5">
        <w:rPr>
          <w:rFonts w:ascii="Times" w:hAnsi="Times" w:cs="Times"/>
        </w:rPr>
        <w:t>ds in force at the end of 2006 i</w:t>
      </w:r>
      <w:r w:rsidR="00C56D6C" w:rsidRPr="008573C5">
        <w:rPr>
          <w:rFonts w:ascii="Times" w:hAnsi="Times" w:cs="Times"/>
        </w:rPr>
        <w:t>s</w:t>
      </w:r>
      <w:r w:rsidR="005C1F53" w:rsidRPr="008573C5">
        <w:rPr>
          <w:rFonts w:ascii="Times" w:hAnsi="Times" w:cs="Times"/>
        </w:rPr>
        <w:t xml:space="preserve"> implemented</w:t>
      </w:r>
      <w:r w:rsidR="00462D33" w:rsidRPr="008573C5">
        <w:rPr>
          <w:rFonts w:ascii="Times" w:hAnsi="Times" w:cs="Times"/>
        </w:rPr>
        <w:t>. Second</w:t>
      </w:r>
      <w:r w:rsidR="00AB638B" w:rsidRPr="008573C5">
        <w:rPr>
          <w:rFonts w:ascii="Times" w:hAnsi="Times" w:cs="Times"/>
        </w:rPr>
        <w:t>ly</w:t>
      </w:r>
      <w:r w:rsidR="00462D33" w:rsidRPr="008573C5">
        <w:rPr>
          <w:rFonts w:ascii="Times" w:hAnsi="Times" w:cs="Times"/>
        </w:rPr>
        <w:t xml:space="preserve">, a single </w:t>
      </w:r>
      <w:r w:rsidR="005C1F53" w:rsidRPr="008573C5">
        <w:rPr>
          <w:rFonts w:ascii="Times" w:hAnsi="Times" w:cs="Times"/>
        </w:rPr>
        <w:t xml:space="preserve">period </w:t>
      </w:r>
      <w:r w:rsidR="00462D33" w:rsidRPr="008573C5">
        <w:rPr>
          <w:rFonts w:ascii="Times" w:hAnsi="Times" w:cs="Times"/>
        </w:rPr>
        <w:t>eliminates the challenges of economic fluctuations.</w:t>
      </w:r>
      <w:r w:rsidR="00AB638B" w:rsidRPr="008573C5">
        <w:rPr>
          <w:rFonts w:ascii="Times" w:hAnsi="Times" w:cs="Times"/>
        </w:rPr>
        <w:t xml:space="preserve"> </w:t>
      </w:r>
      <w:r w:rsidR="005C1F53" w:rsidRPr="008573C5">
        <w:t>The sectors and the number of companies considered are as in Table 3.</w:t>
      </w:r>
      <w:r w:rsidR="00523484" w:rsidRPr="008573C5">
        <w:t>0</w:t>
      </w:r>
      <w:r w:rsidR="005C1F53" w:rsidRPr="008573C5">
        <w:t>1 below. Each of the companies is numbered from 1 to 90</w:t>
      </w:r>
      <w:r w:rsidR="00AB638B" w:rsidRPr="008573C5">
        <w:t>. The names of</w:t>
      </w:r>
      <w:r w:rsidR="005C1F53" w:rsidRPr="008573C5">
        <w:t xml:space="preserve"> companies, their specific numbers and industry </w:t>
      </w:r>
      <w:r w:rsidR="0043696C" w:rsidRPr="008573C5">
        <w:t>are</w:t>
      </w:r>
      <w:r w:rsidR="005C1F53" w:rsidRPr="008573C5">
        <w:t xml:space="preserve"> as shown in Appendix I.</w:t>
      </w:r>
    </w:p>
    <w:p w:rsidR="005C1F53" w:rsidRPr="008573C5" w:rsidRDefault="005C1F53" w:rsidP="00FF5EDF">
      <w:pPr>
        <w:autoSpaceDE w:val="0"/>
        <w:autoSpaceDN w:val="0"/>
        <w:adjustRightInd w:val="0"/>
        <w:spacing w:line="360" w:lineRule="auto"/>
        <w:jc w:val="both"/>
      </w:pPr>
    </w:p>
    <w:p w:rsidR="006C69D7" w:rsidRPr="008573C5" w:rsidRDefault="006C69D7" w:rsidP="006C69D7">
      <w:pPr>
        <w:autoSpaceDE w:val="0"/>
        <w:autoSpaceDN w:val="0"/>
        <w:adjustRightInd w:val="0"/>
        <w:spacing w:line="360" w:lineRule="auto"/>
        <w:jc w:val="both"/>
        <w:rPr>
          <w:rFonts w:cs="TimesNewRoman,Bold"/>
          <w:b/>
          <w:bCs/>
          <w:sz w:val="28"/>
          <w:szCs w:val="28"/>
        </w:rPr>
      </w:pPr>
      <w:r w:rsidRPr="008573C5">
        <w:rPr>
          <w:rFonts w:cs="TimesNewRoman,Bold"/>
          <w:b/>
          <w:bCs/>
          <w:sz w:val="28"/>
          <w:szCs w:val="28"/>
        </w:rPr>
        <w:t>3.2.3</w:t>
      </w:r>
      <w:r w:rsidRPr="008573C5">
        <w:rPr>
          <w:rFonts w:cs="TimesNewRoman,Bold"/>
          <w:b/>
          <w:bCs/>
          <w:sz w:val="28"/>
          <w:szCs w:val="28"/>
        </w:rPr>
        <w:tab/>
        <w:t>Data Gathering Method for Content Analysis</w:t>
      </w:r>
    </w:p>
    <w:p w:rsidR="006C69D7" w:rsidRPr="008573C5" w:rsidRDefault="006C69D7" w:rsidP="006C69D7">
      <w:pPr>
        <w:autoSpaceDE w:val="0"/>
        <w:autoSpaceDN w:val="0"/>
        <w:adjustRightInd w:val="0"/>
        <w:spacing w:line="360" w:lineRule="auto"/>
        <w:jc w:val="both"/>
      </w:pPr>
      <w:r w:rsidRPr="008573C5">
        <w:t>The data gathering method explai</w:t>
      </w:r>
      <w:r w:rsidR="00B309F8">
        <w:t>ned in this sub section included</w:t>
      </w:r>
      <w:r w:rsidRPr="008573C5">
        <w:t>: sources of data, instrument of data collection, disclosure checklist, selection of accounting standards, and scoring procedure.</w:t>
      </w:r>
    </w:p>
    <w:p w:rsidR="000F79DC" w:rsidRPr="008573C5" w:rsidRDefault="000F79DC" w:rsidP="006C69D7">
      <w:pPr>
        <w:autoSpaceDE w:val="0"/>
        <w:autoSpaceDN w:val="0"/>
        <w:adjustRightInd w:val="0"/>
        <w:spacing w:line="360" w:lineRule="auto"/>
        <w:jc w:val="both"/>
      </w:pPr>
    </w:p>
    <w:p w:rsidR="00B57B07" w:rsidRPr="008573C5" w:rsidRDefault="00924B9E" w:rsidP="00B57B07">
      <w:pPr>
        <w:autoSpaceDE w:val="0"/>
        <w:autoSpaceDN w:val="0"/>
        <w:adjustRightInd w:val="0"/>
        <w:spacing w:line="360" w:lineRule="auto"/>
        <w:jc w:val="center"/>
        <w:rPr>
          <w:b/>
          <w:sz w:val="28"/>
          <w:szCs w:val="28"/>
        </w:rPr>
      </w:pPr>
      <w:r w:rsidRPr="008573C5">
        <w:rPr>
          <w:b/>
          <w:sz w:val="28"/>
          <w:szCs w:val="28"/>
        </w:rPr>
        <w:t>Table 3.</w:t>
      </w:r>
      <w:r w:rsidR="000E6312" w:rsidRPr="008573C5">
        <w:rPr>
          <w:b/>
          <w:sz w:val="28"/>
          <w:szCs w:val="28"/>
        </w:rPr>
        <w:t>0</w:t>
      </w:r>
      <w:r w:rsidRPr="008573C5">
        <w:rPr>
          <w:b/>
          <w:sz w:val="28"/>
          <w:szCs w:val="28"/>
        </w:rPr>
        <w:t xml:space="preserve">1: </w:t>
      </w:r>
      <w:r w:rsidR="00B57B07" w:rsidRPr="008573C5">
        <w:rPr>
          <w:b/>
          <w:sz w:val="28"/>
          <w:szCs w:val="28"/>
        </w:rPr>
        <w:t>Sampled Companies per Industry</w:t>
      </w:r>
    </w:p>
    <w:p w:rsidR="00FF5EDF" w:rsidRPr="008573C5" w:rsidRDefault="006E22C9" w:rsidP="00FF5EDF">
      <w:pPr>
        <w:autoSpaceDE w:val="0"/>
        <w:autoSpaceDN w:val="0"/>
        <w:adjustRightInd w:val="0"/>
        <w:rPr>
          <w:rFonts w:ascii="System" w:eastAsia="Calibri" w:hAnsi="System" w:cs="System"/>
          <w:b/>
          <w:bCs/>
          <w:sz w:val="20"/>
          <w:szCs w:val="20"/>
        </w:rPr>
      </w:pPr>
      <w:r>
        <w:rPr>
          <w:rFonts w:ascii="System" w:eastAsia="Calibri" w:hAnsi="System" w:cs="System"/>
          <w:b/>
          <w:bCs/>
          <w:sz w:val="20"/>
          <w:szCs w:val="20"/>
        </w:rPr>
      </w:r>
      <w:r>
        <w:rPr>
          <w:rFonts w:ascii="System" w:eastAsia="Calibri" w:hAnsi="System" w:cs="System"/>
          <w:b/>
          <w:bCs/>
          <w:sz w:val="20"/>
          <w:szCs w:val="20"/>
        </w:rPr>
        <w:pict>
          <v:group id="_x0000_s46442" editas="canvas" style="width:370.45pt;height:426pt;mso-position-horizontal-relative:char;mso-position-vertical-relative:line" coordsize="7409,8520">
            <o:lock v:ext="edit" aspectratio="t"/>
            <v:shape id="_x0000_s46441" type="#_x0000_t75" style="position:absolute;width:7409;height:8520" o:preferrelative="f">
              <v:fill o:detectmouseclick="t"/>
              <v:path o:extrusionok="t" o:connecttype="none"/>
              <o:lock v:ext="edit" text="t"/>
            </v:shape>
            <v:group id="_x0000_s46643" style="position:absolute;left:129;top:130;width:7151;height:7987" coordorigin="129,130" coordsize="7151,7987">
              <v:rect id="_x0000_s46443" style="position:absolute;left:129;top:130;width:7151;height:403" stroked="f"/>
              <v:rect id="_x0000_s46444" style="position:absolute;left:3302;top:158;width:109;height:276;mso-wrap-style:none" filled="f" stroked="f">
                <v:textbox style="mso-next-textbox:#_x0000_s46444;mso-fit-shape-to-text:t" inset="0,0,0,0">
                  <w:txbxContent>
                    <w:p w:rsidR="00CB6FAE" w:rsidRDefault="00CB6FAE"/>
                  </w:txbxContent>
                </v:textbox>
              </v:rect>
              <v:rect id="_x0000_s46445" style="position:absolute;left:2863;top:1022;width:1151;height:302" stroked="f"/>
              <v:rect id="_x0000_s46446" style="position:absolute;left:3683;top:1051;width:101;height:207;mso-wrap-style:none" filled="f" stroked="f">
                <v:textbox style="mso-next-textbox:#_x0000_s46446;mso-fit-shape-to-text:t" inset="0,0,0,0">
                  <w:txbxContent>
                    <w:p w:rsidR="00CB6FAE" w:rsidRDefault="00CB6FAE">
                      <w:r>
                        <w:rPr>
                          <w:rFonts w:ascii="Arial" w:hAnsi="Arial" w:cs="Arial"/>
                          <w:color w:val="000000"/>
                          <w:sz w:val="18"/>
                          <w:szCs w:val="18"/>
                        </w:rPr>
                        <w:t>3</w:t>
                      </w:r>
                    </w:p>
                  </w:txbxContent>
                </v:textbox>
              </v:rect>
              <v:rect id="_x0000_s46447" style="position:absolute;left:3985;top:1022;width:1108;height:302" stroked="f"/>
              <v:rect id="_x0000_s46448" style="position:absolute;left:4632;top:1051;width:251;height:207;mso-wrap-style:none" filled="f" stroked="f">
                <v:textbox style="mso-next-textbox:#_x0000_s46448;mso-fit-shape-to-text:t" inset="0,0,0,0">
                  <w:txbxContent>
                    <w:p w:rsidR="00CB6FAE" w:rsidRDefault="00CB6FAE">
                      <w:r>
                        <w:rPr>
                          <w:rFonts w:ascii="Arial" w:hAnsi="Arial" w:cs="Arial"/>
                          <w:color w:val="000000"/>
                          <w:sz w:val="18"/>
                          <w:szCs w:val="18"/>
                        </w:rPr>
                        <w:t>3.3</w:t>
                      </w:r>
                    </w:p>
                  </w:txbxContent>
                </v:textbox>
              </v:rect>
              <v:rect id="_x0000_s46449" style="position:absolute;left:5064;top:1022;width:1108;height:302" stroked="f"/>
              <v:rect id="_x0000_s46450" style="position:absolute;left:5711;top:1051;width:251;height:207;mso-wrap-style:none" filled="f" stroked="f">
                <v:textbox style="mso-next-textbox:#_x0000_s46450;mso-fit-shape-to-text:t" inset="0,0,0,0">
                  <w:txbxContent>
                    <w:p w:rsidR="00CB6FAE" w:rsidRDefault="00CB6FAE">
                      <w:r>
                        <w:rPr>
                          <w:rFonts w:ascii="Arial" w:hAnsi="Arial" w:cs="Arial"/>
                          <w:color w:val="000000"/>
                          <w:sz w:val="18"/>
                          <w:szCs w:val="18"/>
                        </w:rPr>
                        <w:t>3.3</w:t>
                      </w:r>
                    </w:p>
                  </w:txbxContent>
                </v:textbox>
              </v:rect>
              <v:rect id="_x0000_s46451" style="position:absolute;left:6143;top:1022;width:1137;height:302" stroked="f"/>
              <v:rect id="_x0000_s46452" style="position:absolute;left:6819;top:1051;width:251;height:207;mso-wrap-style:none" filled="f" stroked="f">
                <v:textbox style="mso-next-textbox:#_x0000_s46452;mso-fit-shape-to-text:t" inset="0,0,0,0">
                  <w:txbxContent>
                    <w:p w:rsidR="00CB6FAE" w:rsidRDefault="00CB6FAE">
                      <w:r>
                        <w:rPr>
                          <w:rFonts w:ascii="Arial" w:hAnsi="Arial" w:cs="Arial"/>
                          <w:color w:val="000000"/>
                          <w:sz w:val="18"/>
                          <w:szCs w:val="18"/>
                        </w:rPr>
                        <w:t>3.3</w:t>
                      </w:r>
                    </w:p>
                  </w:txbxContent>
                </v:textbox>
              </v:rect>
              <v:rect id="_x0000_s46453" style="position:absolute;left:2863;top:1295;width:1151;height:303" stroked="f"/>
              <v:rect id="_x0000_s46454" style="position:absolute;left:3683;top:1324;width:101;height:207;mso-wrap-style:none" filled="f" stroked="f">
                <v:textbox style="mso-next-textbox:#_x0000_s46454;mso-fit-shape-to-text:t" inset="0,0,0,0">
                  <w:txbxContent>
                    <w:p w:rsidR="00CB6FAE" w:rsidRDefault="00CB6FAE">
                      <w:r>
                        <w:rPr>
                          <w:rFonts w:ascii="Arial" w:hAnsi="Arial" w:cs="Arial"/>
                          <w:color w:val="000000"/>
                          <w:sz w:val="18"/>
                          <w:szCs w:val="18"/>
                        </w:rPr>
                        <w:t>2</w:t>
                      </w:r>
                    </w:p>
                  </w:txbxContent>
                </v:textbox>
              </v:rect>
              <v:rect id="_x0000_s46455" style="position:absolute;left:3985;top:1295;width:1108;height:303" stroked="f"/>
              <v:rect id="_x0000_s46456" style="position:absolute;left:4632;top:1324;width:251;height:207;mso-wrap-style:none" filled="f" stroked="f">
                <v:textbox style="mso-next-textbox:#_x0000_s46456;mso-fit-shape-to-text:t" inset="0,0,0,0">
                  <w:txbxContent>
                    <w:p w:rsidR="00CB6FAE" w:rsidRDefault="00CB6FAE">
                      <w:r>
                        <w:rPr>
                          <w:rFonts w:ascii="Arial" w:hAnsi="Arial" w:cs="Arial"/>
                          <w:color w:val="000000"/>
                          <w:sz w:val="18"/>
                          <w:szCs w:val="18"/>
                        </w:rPr>
                        <w:t>2.2</w:t>
                      </w:r>
                    </w:p>
                  </w:txbxContent>
                </v:textbox>
              </v:rect>
              <v:rect id="_x0000_s46457" style="position:absolute;left:5064;top:1295;width:1108;height:303" stroked="f"/>
              <v:rect id="_x0000_s46458" style="position:absolute;left:5711;top:1324;width:251;height:207;mso-wrap-style:none" filled="f" stroked="f">
                <v:textbox style="mso-next-textbox:#_x0000_s46458;mso-fit-shape-to-text:t" inset="0,0,0,0">
                  <w:txbxContent>
                    <w:p w:rsidR="00CB6FAE" w:rsidRDefault="00CB6FAE">
                      <w:r>
                        <w:rPr>
                          <w:rFonts w:ascii="Arial" w:hAnsi="Arial" w:cs="Arial"/>
                          <w:color w:val="000000"/>
                          <w:sz w:val="18"/>
                          <w:szCs w:val="18"/>
                        </w:rPr>
                        <w:t>2.2</w:t>
                      </w:r>
                    </w:p>
                  </w:txbxContent>
                </v:textbox>
              </v:rect>
              <v:rect id="_x0000_s46459" style="position:absolute;left:6143;top:1295;width:1137;height:303" stroked="f"/>
              <v:rect id="_x0000_s46460" style="position:absolute;left:6819;top:1324;width:251;height:207;mso-wrap-style:none" filled="f" stroked="f">
                <v:textbox style="mso-next-textbox:#_x0000_s46460;mso-fit-shape-to-text:t" inset="0,0,0,0">
                  <w:txbxContent>
                    <w:p w:rsidR="00CB6FAE" w:rsidRDefault="00CB6FAE">
                      <w:r>
                        <w:rPr>
                          <w:rFonts w:ascii="Arial" w:hAnsi="Arial" w:cs="Arial"/>
                          <w:color w:val="000000"/>
                          <w:sz w:val="18"/>
                          <w:szCs w:val="18"/>
                        </w:rPr>
                        <w:t>5.6</w:t>
                      </w:r>
                    </w:p>
                  </w:txbxContent>
                </v:textbox>
              </v:rect>
              <v:rect id="_x0000_s46461" style="position:absolute;left:2863;top:1569;width:1151;height:302" stroked="f"/>
              <v:rect id="_x0000_s46462" style="position:absolute;left:3683;top:1598;width:101;height:207;mso-wrap-style:none" filled="f" stroked="f">
                <v:textbox style="mso-next-textbox:#_x0000_s46462;mso-fit-shape-to-text:t" inset="0,0,0,0">
                  <w:txbxContent>
                    <w:p w:rsidR="00CB6FAE" w:rsidRDefault="00CB6FAE">
                      <w:r>
                        <w:rPr>
                          <w:rFonts w:ascii="Arial" w:hAnsi="Arial" w:cs="Arial"/>
                          <w:color w:val="000000"/>
                          <w:sz w:val="18"/>
                          <w:szCs w:val="18"/>
                        </w:rPr>
                        <w:t>1</w:t>
                      </w:r>
                    </w:p>
                  </w:txbxContent>
                </v:textbox>
              </v:rect>
              <v:rect id="_x0000_s46463" style="position:absolute;left:3985;top:1569;width:1108;height:302" stroked="f"/>
              <v:rect id="_x0000_s46464" style="position:absolute;left:4632;top:1598;width:251;height:207;mso-wrap-style:none" filled="f" stroked="f">
                <v:textbox style="mso-next-textbox:#_x0000_s46464;mso-fit-shape-to-text:t" inset="0,0,0,0">
                  <w:txbxContent>
                    <w:p w:rsidR="00CB6FAE" w:rsidRDefault="00CB6FAE">
                      <w:r>
                        <w:rPr>
                          <w:rFonts w:ascii="Arial" w:hAnsi="Arial" w:cs="Arial"/>
                          <w:color w:val="000000"/>
                          <w:sz w:val="18"/>
                          <w:szCs w:val="18"/>
                        </w:rPr>
                        <w:t>1.1</w:t>
                      </w:r>
                    </w:p>
                  </w:txbxContent>
                </v:textbox>
              </v:rect>
              <v:rect id="_x0000_s46465" style="position:absolute;left:5064;top:1569;width:1108;height:302" stroked="f"/>
              <v:rect id="_x0000_s46466" style="position:absolute;left:5711;top:1598;width:251;height:207;mso-wrap-style:none" filled="f" stroked="f">
                <v:textbox style="mso-next-textbox:#_x0000_s46466;mso-fit-shape-to-text:t" inset="0,0,0,0">
                  <w:txbxContent>
                    <w:p w:rsidR="00CB6FAE" w:rsidRDefault="00CB6FAE">
                      <w:r>
                        <w:rPr>
                          <w:rFonts w:ascii="Arial" w:hAnsi="Arial" w:cs="Arial"/>
                          <w:color w:val="000000"/>
                          <w:sz w:val="18"/>
                          <w:szCs w:val="18"/>
                        </w:rPr>
                        <w:t>1.1</w:t>
                      </w:r>
                    </w:p>
                  </w:txbxContent>
                </v:textbox>
              </v:rect>
              <v:rect id="_x0000_s46467" style="position:absolute;left:6143;top:1569;width:1137;height:302" stroked="f"/>
              <v:rect id="_x0000_s46468" style="position:absolute;left:6819;top:1598;width:251;height:207;mso-wrap-style:none" filled="f" stroked="f">
                <v:textbox style="mso-next-textbox:#_x0000_s46468;mso-fit-shape-to-text:t" inset="0,0,0,0">
                  <w:txbxContent>
                    <w:p w:rsidR="00CB6FAE" w:rsidRDefault="00CB6FAE">
                      <w:r>
                        <w:rPr>
                          <w:rFonts w:ascii="Arial" w:hAnsi="Arial" w:cs="Arial"/>
                          <w:color w:val="000000"/>
                          <w:sz w:val="18"/>
                          <w:szCs w:val="18"/>
                        </w:rPr>
                        <w:t>6.7</w:t>
                      </w:r>
                    </w:p>
                  </w:txbxContent>
                </v:textbox>
              </v:rect>
              <v:rect id="_x0000_s46469" style="position:absolute;left:2863;top:1842;width:1151;height:302" stroked="f"/>
              <v:rect id="_x0000_s46470" style="position:absolute;left:3596;top:1871;width:201;height:207;mso-wrap-style:none" filled="f" stroked="f">
                <v:textbox style="mso-next-textbox:#_x0000_s46470;mso-fit-shape-to-text:t" inset="0,0,0,0">
                  <w:txbxContent>
                    <w:p w:rsidR="00CB6FAE" w:rsidRDefault="00CB6FAE">
                      <w:r>
                        <w:rPr>
                          <w:rFonts w:ascii="Arial" w:hAnsi="Arial" w:cs="Arial"/>
                          <w:color w:val="000000"/>
                          <w:sz w:val="18"/>
                          <w:szCs w:val="18"/>
                        </w:rPr>
                        <w:t>16</w:t>
                      </w:r>
                    </w:p>
                  </w:txbxContent>
                </v:textbox>
              </v:rect>
              <v:rect id="_x0000_s46471" style="position:absolute;left:3985;top:1842;width:1108;height:302" stroked="f"/>
              <v:rect id="_x0000_s46472" style="position:absolute;left:4546;top:1871;width:351;height:207;mso-wrap-style:none" filled="f" stroked="f">
                <v:textbox style="mso-next-textbox:#_x0000_s46472;mso-fit-shape-to-text:t" inset="0,0,0,0">
                  <w:txbxContent>
                    <w:p w:rsidR="00CB6FAE" w:rsidRDefault="00CB6FAE">
                      <w:r>
                        <w:rPr>
                          <w:rFonts w:ascii="Arial" w:hAnsi="Arial" w:cs="Arial"/>
                          <w:color w:val="000000"/>
                          <w:sz w:val="18"/>
                          <w:szCs w:val="18"/>
                        </w:rPr>
                        <w:t>17.8</w:t>
                      </w:r>
                    </w:p>
                  </w:txbxContent>
                </v:textbox>
              </v:rect>
              <v:rect id="_x0000_s46473" style="position:absolute;left:5064;top:1842;width:1108;height:302" stroked="f"/>
              <v:rect id="_x0000_s46474" style="position:absolute;left:5625;top:1871;width:351;height:207;mso-wrap-style:none" filled="f" stroked="f">
                <v:textbox style="mso-next-textbox:#_x0000_s46474;mso-fit-shape-to-text:t" inset="0,0,0,0">
                  <w:txbxContent>
                    <w:p w:rsidR="00CB6FAE" w:rsidRDefault="00CB6FAE">
                      <w:r>
                        <w:rPr>
                          <w:rFonts w:ascii="Arial" w:hAnsi="Arial" w:cs="Arial"/>
                          <w:color w:val="000000"/>
                          <w:sz w:val="18"/>
                          <w:szCs w:val="18"/>
                        </w:rPr>
                        <w:t>17.8</w:t>
                      </w:r>
                    </w:p>
                  </w:txbxContent>
                </v:textbox>
              </v:rect>
              <v:rect id="_x0000_s46475" style="position:absolute;left:6143;top:1842;width:1137;height:302" stroked="f"/>
              <v:rect id="_x0000_s46476" style="position:absolute;left:6733;top:1871;width:351;height:207;mso-wrap-style:none" filled="f" stroked="f">
                <v:textbox style="mso-next-textbox:#_x0000_s46476;mso-fit-shape-to-text:t" inset="0,0,0,0">
                  <w:txbxContent>
                    <w:p w:rsidR="00CB6FAE" w:rsidRDefault="00CB6FAE">
                      <w:r>
                        <w:rPr>
                          <w:rFonts w:ascii="Arial" w:hAnsi="Arial" w:cs="Arial"/>
                          <w:color w:val="000000"/>
                          <w:sz w:val="18"/>
                          <w:szCs w:val="18"/>
                        </w:rPr>
                        <w:t>24.4</w:t>
                      </w:r>
                    </w:p>
                  </w:txbxContent>
                </v:textbox>
              </v:rect>
              <v:rect id="_x0000_s46477" style="position:absolute;left:2863;top:2116;width:1151;height:302" stroked="f"/>
              <v:rect id="_x0000_s46478" style="position:absolute;left:3683;top:2144;width:101;height:207;mso-wrap-style:none" filled="f" stroked="f">
                <v:textbox style="mso-next-textbox:#_x0000_s46478;mso-fit-shape-to-text:t" inset="0,0,0,0">
                  <w:txbxContent>
                    <w:p w:rsidR="00CB6FAE" w:rsidRDefault="00CB6FAE">
                      <w:r>
                        <w:rPr>
                          <w:rFonts w:ascii="Arial" w:hAnsi="Arial" w:cs="Arial"/>
                          <w:color w:val="000000"/>
                          <w:sz w:val="18"/>
                          <w:szCs w:val="18"/>
                        </w:rPr>
                        <w:t>2</w:t>
                      </w:r>
                    </w:p>
                  </w:txbxContent>
                </v:textbox>
              </v:rect>
              <v:rect id="_x0000_s46479" style="position:absolute;left:3985;top:2116;width:1108;height:302" stroked="f"/>
              <v:rect id="_x0000_s46480" style="position:absolute;left:4632;top:2144;width:251;height:207;mso-wrap-style:none" filled="f" stroked="f">
                <v:textbox style="mso-next-textbox:#_x0000_s46480;mso-fit-shape-to-text:t" inset="0,0,0,0">
                  <w:txbxContent>
                    <w:p w:rsidR="00CB6FAE" w:rsidRDefault="00CB6FAE">
                      <w:r>
                        <w:rPr>
                          <w:rFonts w:ascii="Arial" w:hAnsi="Arial" w:cs="Arial"/>
                          <w:color w:val="000000"/>
                          <w:sz w:val="18"/>
                          <w:szCs w:val="18"/>
                        </w:rPr>
                        <w:t>2.2</w:t>
                      </w:r>
                    </w:p>
                  </w:txbxContent>
                </v:textbox>
              </v:rect>
              <v:rect id="_x0000_s46481" style="position:absolute;left:5064;top:2116;width:1108;height:302" stroked="f"/>
              <v:rect id="_x0000_s46482" style="position:absolute;left:5711;top:2144;width:251;height:207;mso-wrap-style:none" filled="f" stroked="f">
                <v:textbox style="mso-next-textbox:#_x0000_s46482;mso-fit-shape-to-text:t" inset="0,0,0,0">
                  <w:txbxContent>
                    <w:p w:rsidR="00CB6FAE" w:rsidRDefault="00CB6FAE">
                      <w:r>
                        <w:rPr>
                          <w:rFonts w:ascii="Arial" w:hAnsi="Arial" w:cs="Arial"/>
                          <w:color w:val="000000"/>
                          <w:sz w:val="18"/>
                          <w:szCs w:val="18"/>
                        </w:rPr>
                        <w:t>2.2</w:t>
                      </w:r>
                    </w:p>
                  </w:txbxContent>
                </v:textbox>
              </v:rect>
              <v:rect id="_x0000_s46483" style="position:absolute;left:6143;top:2116;width:1137;height:302" stroked="f"/>
              <v:rect id="_x0000_s46484" style="position:absolute;left:6733;top:2144;width:351;height:207;mso-wrap-style:none" filled="f" stroked="f">
                <v:textbox style="mso-next-textbox:#_x0000_s46484;mso-fit-shape-to-text:t" inset="0,0,0,0">
                  <w:txbxContent>
                    <w:p w:rsidR="00CB6FAE" w:rsidRDefault="00CB6FAE">
                      <w:r>
                        <w:rPr>
                          <w:rFonts w:ascii="Arial" w:hAnsi="Arial" w:cs="Arial"/>
                          <w:color w:val="000000"/>
                          <w:sz w:val="18"/>
                          <w:szCs w:val="18"/>
                        </w:rPr>
                        <w:t>26.7</w:t>
                      </w:r>
                    </w:p>
                  </w:txbxContent>
                </v:textbox>
              </v:rect>
              <v:rect id="_x0000_s46485" style="position:absolute;left:2863;top:2389;width:1151;height:302" stroked="f"/>
              <v:rect id="_x0000_s46486" style="position:absolute;left:3683;top:2418;width:101;height:207;mso-wrap-style:none" filled="f" stroked="f">
                <v:textbox style="mso-next-textbox:#_x0000_s46486;mso-fit-shape-to-text:t" inset="0,0,0,0">
                  <w:txbxContent>
                    <w:p w:rsidR="00CB6FAE" w:rsidRDefault="00CB6FAE">
                      <w:r>
                        <w:rPr>
                          <w:rFonts w:ascii="Arial" w:hAnsi="Arial" w:cs="Arial"/>
                          <w:color w:val="000000"/>
                          <w:sz w:val="18"/>
                          <w:szCs w:val="18"/>
                        </w:rPr>
                        <w:t>4</w:t>
                      </w:r>
                    </w:p>
                  </w:txbxContent>
                </v:textbox>
              </v:rect>
              <v:rect id="_x0000_s46487" style="position:absolute;left:3985;top:2389;width:1108;height:302" stroked="f"/>
              <v:rect id="_x0000_s46488" style="position:absolute;left:4632;top:2418;width:251;height:207;mso-wrap-style:none" filled="f" stroked="f">
                <v:textbox style="mso-next-textbox:#_x0000_s46488;mso-fit-shape-to-text:t" inset="0,0,0,0">
                  <w:txbxContent>
                    <w:p w:rsidR="00CB6FAE" w:rsidRDefault="00CB6FAE">
                      <w:r>
                        <w:rPr>
                          <w:rFonts w:ascii="Arial" w:hAnsi="Arial" w:cs="Arial"/>
                          <w:color w:val="000000"/>
                          <w:sz w:val="18"/>
                          <w:szCs w:val="18"/>
                        </w:rPr>
                        <w:t>4.4</w:t>
                      </w:r>
                    </w:p>
                  </w:txbxContent>
                </v:textbox>
              </v:rect>
              <v:rect id="_x0000_s46489" style="position:absolute;left:5064;top:2389;width:1108;height:302" stroked="f"/>
              <v:rect id="_x0000_s46490" style="position:absolute;left:5711;top:2418;width:251;height:207;mso-wrap-style:none" filled="f" stroked="f">
                <v:textbox style="mso-next-textbox:#_x0000_s46490;mso-fit-shape-to-text:t" inset="0,0,0,0">
                  <w:txbxContent>
                    <w:p w:rsidR="00CB6FAE" w:rsidRDefault="00CB6FAE">
                      <w:r>
                        <w:rPr>
                          <w:rFonts w:ascii="Arial" w:hAnsi="Arial" w:cs="Arial"/>
                          <w:color w:val="000000"/>
                          <w:sz w:val="18"/>
                          <w:szCs w:val="18"/>
                        </w:rPr>
                        <w:t>4.4</w:t>
                      </w:r>
                    </w:p>
                  </w:txbxContent>
                </v:textbox>
              </v:rect>
              <v:rect id="_x0000_s46491" style="position:absolute;left:6143;top:2389;width:1137;height:302" stroked="f"/>
              <v:rect id="_x0000_s46492" style="position:absolute;left:6733;top:2418;width:351;height:207;mso-wrap-style:none" filled="f" stroked="f">
                <v:textbox style="mso-next-textbox:#_x0000_s46492;mso-fit-shape-to-text:t" inset="0,0,0,0">
                  <w:txbxContent>
                    <w:p w:rsidR="00CB6FAE" w:rsidRDefault="00CB6FAE">
                      <w:r>
                        <w:rPr>
                          <w:rFonts w:ascii="Arial" w:hAnsi="Arial" w:cs="Arial"/>
                          <w:color w:val="000000"/>
                          <w:sz w:val="18"/>
                          <w:szCs w:val="18"/>
                        </w:rPr>
                        <w:t>31.1</w:t>
                      </w:r>
                    </w:p>
                  </w:txbxContent>
                </v:textbox>
              </v:rect>
              <v:rect id="_x0000_s46493" style="position:absolute;left:2863;top:2663;width:1151;height:302" stroked="f"/>
              <v:rect id="_x0000_s46494" style="position:absolute;left:3683;top:2691;width:101;height:207;mso-wrap-style:none" filled="f" stroked="f">
                <v:textbox style="mso-next-textbox:#_x0000_s46494;mso-fit-shape-to-text:t" inset="0,0,0,0">
                  <w:txbxContent>
                    <w:p w:rsidR="00CB6FAE" w:rsidRDefault="00CB6FAE">
                      <w:r>
                        <w:rPr>
                          <w:rFonts w:ascii="Arial" w:hAnsi="Arial" w:cs="Arial"/>
                          <w:color w:val="000000"/>
                          <w:sz w:val="18"/>
                          <w:szCs w:val="18"/>
                        </w:rPr>
                        <w:t>2</w:t>
                      </w:r>
                    </w:p>
                  </w:txbxContent>
                </v:textbox>
              </v:rect>
              <v:rect id="_x0000_s46495" style="position:absolute;left:3985;top:2663;width:1108;height:302" stroked="f"/>
              <v:rect id="_x0000_s46496" style="position:absolute;left:4632;top:2691;width:251;height:207;mso-wrap-style:none" filled="f" stroked="f">
                <v:textbox style="mso-next-textbox:#_x0000_s46496;mso-fit-shape-to-text:t" inset="0,0,0,0">
                  <w:txbxContent>
                    <w:p w:rsidR="00CB6FAE" w:rsidRDefault="00CB6FAE">
                      <w:r>
                        <w:rPr>
                          <w:rFonts w:ascii="Arial" w:hAnsi="Arial" w:cs="Arial"/>
                          <w:color w:val="000000"/>
                          <w:sz w:val="18"/>
                          <w:szCs w:val="18"/>
                        </w:rPr>
                        <w:t>2.2</w:t>
                      </w:r>
                    </w:p>
                  </w:txbxContent>
                </v:textbox>
              </v:rect>
              <v:rect id="_x0000_s46497" style="position:absolute;left:5064;top:2663;width:1108;height:302" stroked="f"/>
              <v:rect id="_x0000_s46498" style="position:absolute;left:5711;top:2691;width:251;height:207;mso-wrap-style:none" filled="f" stroked="f">
                <v:textbox style="mso-next-textbox:#_x0000_s46498;mso-fit-shape-to-text:t" inset="0,0,0,0">
                  <w:txbxContent>
                    <w:p w:rsidR="00CB6FAE" w:rsidRDefault="00CB6FAE">
                      <w:r>
                        <w:rPr>
                          <w:rFonts w:ascii="Arial" w:hAnsi="Arial" w:cs="Arial"/>
                          <w:color w:val="000000"/>
                          <w:sz w:val="18"/>
                          <w:szCs w:val="18"/>
                        </w:rPr>
                        <w:t>2.2</w:t>
                      </w:r>
                    </w:p>
                  </w:txbxContent>
                </v:textbox>
              </v:rect>
              <v:rect id="_x0000_s46499" style="position:absolute;left:6143;top:2663;width:1137;height:302" stroked="f"/>
              <v:rect id="_x0000_s46500" style="position:absolute;left:6733;top:2691;width:351;height:207;mso-wrap-style:none" filled="f" stroked="f">
                <v:textbox style="mso-next-textbox:#_x0000_s46500;mso-fit-shape-to-text:t" inset="0,0,0,0">
                  <w:txbxContent>
                    <w:p w:rsidR="00CB6FAE" w:rsidRDefault="00CB6FAE">
                      <w:r>
                        <w:rPr>
                          <w:rFonts w:ascii="Arial" w:hAnsi="Arial" w:cs="Arial"/>
                          <w:color w:val="000000"/>
                          <w:sz w:val="18"/>
                          <w:szCs w:val="18"/>
                        </w:rPr>
                        <w:t>33.3</w:t>
                      </w:r>
                    </w:p>
                  </w:txbxContent>
                </v:textbox>
              </v:rect>
              <v:rect id="_x0000_s46501" style="position:absolute;left:2863;top:2936;width:1151;height:302" stroked="f"/>
              <v:rect id="_x0000_s46502" style="position:absolute;left:3683;top:2965;width:101;height:207;mso-wrap-style:none" filled="f" stroked="f">
                <v:textbox style="mso-next-textbox:#_x0000_s46502;mso-fit-shape-to-text:t" inset="0,0,0,0">
                  <w:txbxContent>
                    <w:p w:rsidR="00CB6FAE" w:rsidRDefault="00CB6FAE">
                      <w:r>
                        <w:rPr>
                          <w:rFonts w:ascii="Arial" w:hAnsi="Arial" w:cs="Arial"/>
                          <w:color w:val="000000"/>
                          <w:sz w:val="18"/>
                          <w:szCs w:val="18"/>
                        </w:rPr>
                        <w:t>1</w:t>
                      </w:r>
                    </w:p>
                  </w:txbxContent>
                </v:textbox>
              </v:rect>
              <v:rect id="_x0000_s46503" style="position:absolute;left:3985;top:2936;width:1108;height:302" stroked="f"/>
              <v:rect id="_x0000_s46504" style="position:absolute;left:4632;top:2965;width:251;height:207;mso-wrap-style:none" filled="f" stroked="f">
                <v:textbox style="mso-next-textbox:#_x0000_s46504;mso-fit-shape-to-text:t" inset="0,0,0,0">
                  <w:txbxContent>
                    <w:p w:rsidR="00CB6FAE" w:rsidRDefault="00CB6FAE">
                      <w:r>
                        <w:rPr>
                          <w:rFonts w:ascii="Arial" w:hAnsi="Arial" w:cs="Arial"/>
                          <w:color w:val="000000"/>
                          <w:sz w:val="18"/>
                          <w:szCs w:val="18"/>
                        </w:rPr>
                        <w:t>1.1</w:t>
                      </w:r>
                    </w:p>
                  </w:txbxContent>
                </v:textbox>
              </v:rect>
              <v:rect id="_x0000_s46505" style="position:absolute;left:5064;top:2936;width:1108;height:302" stroked="f"/>
              <v:rect id="_x0000_s46506" style="position:absolute;left:5711;top:2965;width:251;height:207;mso-wrap-style:none" filled="f" stroked="f">
                <v:textbox style="mso-next-textbox:#_x0000_s46506;mso-fit-shape-to-text:t" inset="0,0,0,0">
                  <w:txbxContent>
                    <w:p w:rsidR="00CB6FAE" w:rsidRDefault="00CB6FAE">
                      <w:r>
                        <w:rPr>
                          <w:rFonts w:ascii="Arial" w:hAnsi="Arial" w:cs="Arial"/>
                          <w:color w:val="000000"/>
                          <w:sz w:val="18"/>
                          <w:szCs w:val="18"/>
                        </w:rPr>
                        <w:t>1.1</w:t>
                      </w:r>
                    </w:p>
                  </w:txbxContent>
                </v:textbox>
              </v:rect>
              <v:rect id="_x0000_s46507" style="position:absolute;left:6143;top:2936;width:1137;height:302" stroked="f"/>
              <v:rect id="_x0000_s46508" style="position:absolute;left:6733;top:2965;width:351;height:207;mso-wrap-style:none" filled="f" stroked="f">
                <v:textbox style="mso-next-textbox:#_x0000_s46508;mso-fit-shape-to-text:t" inset="0,0,0,0">
                  <w:txbxContent>
                    <w:p w:rsidR="00CB6FAE" w:rsidRDefault="00CB6FAE">
                      <w:r>
                        <w:rPr>
                          <w:rFonts w:ascii="Arial" w:hAnsi="Arial" w:cs="Arial"/>
                          <w:color w:val="000000"/>
                          <w:sz w:val="18"/>
                          <w:szCs w:val="18"/>
                        </w:rPr>
                        <w:t>34.4</w:t>
                      </w:r>
                    </w:p>
                  </w:txbxContent>
                </v:textbox>
              </v:rect>
              <v:rect id="_x0000_s46509" style="position:absolute;left:2863;top:3209;width:1151;height:303" stroked="f"/>
              <v:rect id="_x0000_s46510" style="position:absolute;left:3683;top:3238;width:101;height:207;mso-wrap-style:none" filled="f" stroked="f">
                <v:textbox style="mso-next-textbox:#_x0000_s46510;mso-fit-shape-to-text:t" inset="0,0,0,0">
                  <w:txbxContent>
                    <w:p w:rsidR="00CB6FAE" w:rsidRDefault="00CB6FAE">
                      <w:r>
                        <w:rPr>
                          <w:rFonts w:ascii="Arial" w:hAnsi="Arial" w:cs="Arial"/>
                          <w:color w:val="000000"/>
                          <w:sz w:val="18"/>
                          <w:szCs w:val="18"/>
                        </w:rPr>
                        <w:t>2</w:t>
                      </w:r>
                    </w:p>
                  </w:txbxContent>
                </v:textbox>
              </v:rect>
              <v:rect id="_x0000_s46511" style="position:absolute;left:3985;top:3209;width:1108;height:303" stroked="f"/>
              <v:rect id="_x0000_s46512" style="position:absolute;left:4632;top:3238;width:251;height:207;mso-wrap-style:none" filled="f" stroked="f">
                <v:textbox style="mso-next-textbox:#_x0000_s46512;mso-fit-shape-to-text:t" inset="0,0,0,0">
                  <w:txbxContent>
                    <w:p w:rsidR="00CB6FAE" w:rsidRDefault="00CB6FAE">
                      <w:r>
                        <w:rPr>
                          <w:rFonts w:ascii="Arial" w:hAnsi="Arial" w:cs="Arial"/>
                          <w:color w:val="000000"/>
                          <w:sz w:val="18"/>
                          <w:szCs w:val="18"/>
                        </w:rPr>
                        <w:t>2.2</w:t>
                      </w:r>
                    </w:p>
                  </w:txbxContent>
                </v:textbox>
              </v:rect>
              <v:rect id="_x0000_s46513" style="position:absolute;left:5064;top:3209;width:1108;height:303" stroked="f"/>
              <v:rect id="_x0000_s46514" style="position:absolute;left:5711;top:3238;width:251;height:207;mso-wrap-style:none" filled="f" stroked="f">
                <v:textbox style="mso-next-textbox:#_x0000_s46514;mso-fit-shape-to-text:t" inset="0,0,0,0">
                  <w:txbxContent>
                    <w:p w:rsidR="00CB6FAE" w:rsidRDefault="00CB6FAE">
                      <w:r>
                        <w:rPr>
                          <w:rFonts w:ascii="Arial" w:hAnsi="Arial" w:cs="Arial"/>
                          <w:color w:val="000000"/>
                          <w:sz w:val="18"/>
                          <w:szCs w:val="18"/>
                        </w:rPr>
                        <w:t>2.2</w:t>
                      </w:r>
                    </w:p>
                  </w:txbxContent>
                </v:textbox>
              </v:rect>
              <v:rect id="_x0000_s46515" style="position:absolute;left:6143;top:3209;width:1137;height:303" stroked="f"/>
              <v:rect id="_x0000_s46516" style="position:absolute;left:6733;top:3238;width:351;height:207;mso-wrap-style:none" filled="f" stroked="f">
                <v:textbox style="mso-next-textbox:#_x0000_s46516;mso-fit-shape-to-text:t" inset="0,0,0,0">
                  <w:txbxContent>
                    <w:p w:rsidR="00CB6FAE" w:rsidRDefault="00CB6FAE">
                      <w:r>
                        <w:rPr>
                          <w:rFonts w:ascii="Arial" w:hAnsi="Arial" w:cs="Arial"/>
                          <w:color w:val="000000"/>
                          <w:sz w:val="18"/>
                          <w:szCs w:val="18"/>
                        </w:rPr>
                        <w:t>36.7</w:t>
                      </w:r>
                    </w:p>
                  </w:txbxContent>
                </v:textbox>
              </v:rect>
              <v:rect id="_x0000_s46517" style="position:absolute;left:2863;top:3483;width:1151;height:302" stroked="f"/>
              <v:rect id="_x0000_s46518" style="position:absolute;left:3683;top:3512;width:101;height:207;mso-wrap-style:none" filled="f" stroked="f">
                <v:textbox style="mso-next-textbox:#_x0000_s46518;mso-fit-shape-to-text:t" inset="0,0,0,0">
                  <w:txbxContent>
                    <w:p w:rsidR="00CB6FAE" w:rsidRDefault="00CB6FAE">
                      <w:r>
                        <w:rPr>
                          <w:rFonts w:ascii="Arial" w:hAnsi="Arial" w:cs="Arial"/>
                          <w:color w:val="000000"/>
                          <w:sz w:val="18"/>
                          <w:szCs w:val="18"/>
                        </w:rPr>
                        <w:t>7</w:t>
                      </w:r>
                    </w:p>
                  </w:txbxContent>
                </v:textbox>
              </v:rect>
              <v:rect id="_x0000_s46519" style="position:absolute;left:3985;top:3483;width:1108;height:302" stroked="f"/>
              <v:rect id="_x0000_s46520" style="position:absolute;left:4632;top:3512;width:251;height:207;mso-wrap-style:none" filled="f" stroked="f">
                <v:textbox style="mso-next-textbox:#_x0000_s46520;mso-fit-shape-to-text:t" inset="0,0,0,0">
                  <w:txbxContent>
                    <w:p w:rsidR="00CB6FAE" w:rsidRDefault="00CB6FAE">
                      <w:r>
                        <w:rPr>
                          <w:rFonts w:ascii="Arial" w:hAnsi="Arial" w:cs="Arial"/>
                          <w:color w:val="000000"/>
                          <w:sz w:val="18"/>
                          <w:szCs w:val="18"/>
                        </w:rPr>
                        <w:t>7.8</w:t>
                      </w:r>
                    </w:p>
                  </w:txbxContent>
                </v:textbox>
              </v:rect>
              <v:rect id="_x0000_s46521" style="position:absolute;left:5064;top:3483;width:1108;height:302" stroked="f"/>
              <v:rect id="_x0000_s46522" style="position:absolute;left:5711;top:3512;width:251;height:207;mso-wrap-style:none" filled="f" stroked="f">
                <v:textbox style="mso-next-textbox:#_x0000_s46522;mso-fit-shape-to-text:t" inset="0,0,0,0">
                  <w:txbxContent>
                    <w:p w:rsidR="00CB6FAE" w:rsidRDefault="00CB6FAE">
                      <w:r>
                        <w:rPr>
                          <w:rFonts w:ascii="Arial" w:hAnsi="Arial" w:cs="Arial"/>
                          <w:color w:val="000000"/>
                          <w:sz w:val="18"/>
                          <w:szCs w:val="18"/>
                        </w:rPr>
                        <w:t>7.8</w:t>
                      </w:r>
                    </w:p>
                  </w:txbxContent>
                </v:textbox>
              </v:rect>
              <v:rect id="_x0000_s46523" style="position:absolute;left:6143;top:3483;width:1137;height:302" stroked="f"/>
              <v:rect id="_x0000_s46524" style="position:absolute;left:6733;top:3512;width:351;height:207;mso-wrap-style:none" filled="f" stroked="f">
                <v:textbox style="mso-next-textbox:#_x0000_s46524;mso-fit-shape-to-text:t" inset="0,0,0,0">
                  <w:txbxContent>
                    <w:p w:rsidR="00CB6FAE" w:rsidRDefault="00CB6FAE">
                      <w:r>
                        <w:rPr>
                          <w:rFonts w:ascii="Arial" w:hAnsi="Arial" w:cs="Arial"/>
                          <w:color w:val="000000"/>
                          <w:sz w:val="18"/>
                          <w:szCs w:val="18"/>
                        </w:rPr>
                        <w:t>44.4</w:t>
                      </w:r>
                    </w:p>
                  </w:txbxContent>
                </v:textbox>
              </v:rect>
              <v:rect id="_x0000_s46525" style="position:absolute;left:2863;top:3756;width:1151;height:303" stroked="f"/>
              <v:rect id="_x0000_s46526" style="position:absolute;left:3683;top:3785;width:101;height:207;mso-wrap-style:none" filled="f" stroked="f">
                <v:textbox style="mso-next-textbox:#_x0000_s46526;mso-fit-shape-to-text:t" inset="0,0,0,0">
                  <w:txbxContent>
                    <w:p w:rsidR="00CB6FAE" w:rsidRDefault="00CB6FAE">
                      <w:r>
                        <w:rPr>
                          <w:rFonts w:ascii="Arial" w:hAnsi="Arial" w:cs="Arial"/>
                          <w:color w:val="000000"/>
                          <w:sz w:val="18"/>
                          <w:szCs w:val="18"/>
                        </w:rPr>
                        <w:t>2</w:t>
                      </w:r>
                    </w:p>
                  </w:txbxContent>
                </v:textbox>
              </v:rect>
              <v:rect id="_x0000_s46527" style="position:absolute;left:3985;top:3756;width:1108;height:303" stroked="f"/>
              <v:rect id="_x0000_s46528" style="position:absolute;left:4632;top:3785;width:251;height:207;mso-wrap-style:none" filled="f" stroked="f">
                <v:textbox style="mso-next-textbox:#_x0000_s46528;mso-fit-shape-to-text:t" inset="0,0,0,0">
                  <w:txbxContent>
                    <w:p w:rsidR="00CB6FAE" w:rsidRDefault="00CB6FAE">
                      <w:r>
                        <w:rPr>
                          <w:rFonts w:ascii="Arial" w:hAnsi="Arial" w:cs="Arial"/>
                          <w:color w:val="000000"/>
                          <w:sz w:val="18"/>
                          <w:szCs w:val="18"/>
                        </w:rPr>
                        <w:t>2.2</w:t>
                      </w:r>
                    </w:p>
                  </w:txbxContent>
                </v:textbox>
              </v:rect>
              <v:rect id="_x0000_s46529" style="position:absolute;left:5064;top:3756;width:1108;height:303" stroked="f"/>
              <v:rect id="_x0000_s46530" style="position:absolute;left:5711;top:3785;width:251;height:207;mso-wrap-style:none" filled="f" stroked="f">
                <v:textbox style="mso-next-textbox:#_x0000_s46530;mso-fit-shape-to-text:t" inset="0,0,0,0">
                  <w:txbxContent>
                    <w:p w:rsidR="00CB6FAE" w:rsidRDefault="00CB6FAE">
                      <w:r>
                        <w:rPr>
                          <w:rFonts w:ascii="Arial" w:hAnsi="Arial" w:cs="Arial"/>
                          <w:color w:val="000000"/>
                          <w:sz w:val="18"/>
                          <w:szCs w:val="18"/>
                        </w:rPr>
                        <w:t>2.2</w:t>
                      </w:r>
                    </w:p>
                  </w:txbxContent>
                </v:textbox>
              </v:rect>
              <v:rect id="_x0000_s46531" style="position:absolute;left:6143;top:3756;width:1137;height:303" stroked="f"/>
              <v:rect id="_x0000_s46532" style="position:absolute;left:6733;top:3785;width:351;height:207;mso-wrap-style:none" filled="f" stroked="f">
                <v:textbox style="mso-next-textbox:#_x0000_s46532;mso-fit-shape-to-text:t" inset="0,0,0,0">
                  <w:txbxContent>
                    <w:p w:rsidR="00CB6FAE" w:rsidRDefault="00CB6FAE">
                      <w:r>
                        <w:rPr>
                          <w:rFonts w:ascii="Arial" w:hAnsi="Arial" w:cs="Arial"/>
                          <w:color w:val="000000"/>
                          <w:sz w:val="18"/>
                          <w:szCs w:val="18"/>
                        </w:rPr>
                        <w:t>46.7</w:t>
                      </w:r>
                    </w:p>
                  </w:txbxContent>
                </v:textbox>
              </v:rect>
              <v:rect id="_x0000_s46533" style="position:absolute;left:2863;top:4030;width:1151;height:302" stroked="f"/>
              <v:rect id="_x0000_s46534" style="position:absolute;left:3683;top:4059;width:101;height:207;mso-wrap-style:none" filled="f" stroked="f">
                <v:textbox style="mso-next-textbox:#_x0000_s46534;mso-fit-shape-to-text:t" inset="0,0,0,0">
                  <w:txbxContent>
                    <w:p w:rsidR="00CB6FAE" w:rsidRDefault="00CB6FAE">
                      <w:r>
                        <w:rPr>
                          <w:rFonts w:ascii="Arial" w:hAnsi="Arial" w:cs="Arial"/>
                          <w:color w:val="000000"/>
                          <w:sz w:val="18"/>
                          <w:szCs w:val="18"/>
                        </w:rPr>
                        <w:t>1</w:t>
                      </w:r>
                    </w:p>
                  </w:txbxContent>
                </v:textbox>
              </v:rect>
              <v:rect id="_x0000_s46535" style="position:absolute;left:3985;top:4030;width:1108;height:302" stroked="f"/>
              <v:rect id="_x0000_s46536" style="position:absolute;left:4632;top:4059;width:251;height:207;mso-wrap-style:none" filled="f" stroked="f">
                <v:textbox style="mso-next-textbox:#_x0000_s46536;mso-fit-shape-to-text:t" inset="0,0,0,0">
                  <w:txbxContent>
                    <w:p w:rsidR="00CB6FAE" w:rsidRDefault="00CB6FAE">
                      <w:r>
                        <w:rPr>
                          <w:rFonts w:ascii="Arial" w:hAnsi="Arial" w:cs="Arial"/>
                          <w:color w:val="000000"/>
                          <w:sz w:val="18"/>
                          <w:szCs w:val="18"/>
                        </w:rPr>
                        <w:t>1.1</w:t>
                      </w:r>
                    </w:p>
                  </w:txbxContent>
                </v:textbox>
              </v:rect>
              <v:rect id="_x0000_s46537" style="position:absolute;left:5064;top:4030;width:1108;height:302" stroked="f"/>
              <v:rect id="_x0000_s46538" style="position:absolute;left:5711;top:4059;width:251;height:207;mso-wrap-style:none" filled="f" stroked="f">
                <v:textbox style="mso-next-textbox:#_x0000_s46538;mso-fit-shape-to-text:t" inset="0,0,0,0">
                  <w:txbxContent>
                    <w:p w:rsidR="00CB6FAE" w:rsidRDefault="00CB6FAE">
                      <w:r>
                        <w:rPr>
                          <w:rFonts w:ascii="Arial" w:hAnsi="Arial" w:cs="Arial"/>
                          <w:color w:val="000000"/>
                          <w:sz w:val="18"/>
                          <w:szCs w:val="18"/>
                        </w:rPr>
                        <w:t>1.1</w:t>
                      </w:r>
                    </w:p>
                  </w:txbxContent>
                </v:textbox>
              </v:rect>
              <v:rect id="_x0000_s46539" style="position:absolute;left:6143;top:4030;width:1137;height:302" stroked="f"/>
              <v:rect id="_x0000_s46540" style="position:absolute;left:6733;top:4059;width:351;height:207;mso-wrap-style:none" filled="f" stroked="f">
                <v:textbox style="mso-next-textbox:#_x0000_s46540;mso-fit-shape-to-text:t" inset="0,0,0,0">
                  <w:txbxContent>
                    <w:p w:rsidR="00CB6FAE" w:rsidRDefault="00CB6FAE">
                      <w:r>
                        <w:rPr>
                          <w:rFonts w:ascii="Arial" w:hAnsi="Arial" w:cs="Arial"/>
                          <w:color w:val="000000"/>
                          <w:sz w:val="18"/>
                          <w:szCs w:val="18"/>
                        </w:rPr>
                        <w:t>47.8</w:t>
                      </w:r>
                    </w:p>
                  </w:txbxContent>
                </v:textbox>
              </v:rect>
              <v:rect id="_x0000_s46541" style="position:absolute;left:2863;top:4303;width:1151;height:302" stroked="f"/>
              <v:rect id="_x0000_s46542" style="position:absolute;left:3683;top:4332;width:101;height:207;mso-wrap-style:none" filled="f" stroked="f">
                <v:textbox style="mso-next-textbox:#_x0000_s46542;mso-fit-shape-to-text:t" inset="0,0,0,0">
                  <w:txbxContent>
                    <w:p w:rsidR="00CB6FAE" w:rsidRDefault="00CB6FAE">
                      <w:r>
                        <w:rPr>
                          <w:rFonts w:ascii="Arial" w:hAnsi="Arial" w:cs="Arial"/>
                          <w:color w:val="000000"/>
                          <w:sz w:val="18"/>
                          <w:szCs w:val="18"/>
                        </w:rPr>
                        <w:t>6</w:t>
                      </w:r>
                    </w:p>
                  </w:txbxContent>
                </v:textbox>
              </v:rect>
              <v:rect id="_x0000_s46543" style="position:absolute;left:3985;top:4303;width:1108;height:302" stroked="f"/>
              <v:rect id="_x0000_s46544" style="position:absolute;left:4632;top:4332;width:251;height:207;mso-wrap-style:none" filled="f" stroked="f">
                <v:textbox style="mso-next-textbox:#_x0000_s46544;mso-fit-shape-to-text:t" inset="0,0,0,0">
                  <w:txbxContent>
                    <w:p w:rsidR="00CB6FAE" w:rsidRDefault="00CB6FAE">
                      <w:r>
                        <w:rPr>
                          <w:rFonts w:ascii="Arial" w:hAnsi="Arial" w:cs="Arial"/>
                          <w:color w:val="000000"/>
                          <w:sz w:val="18"/>
                          <w:szCs w:val="18"/>
                        </w:rPr>
                        <w:t>6.7</w:t>
                      </w:r>
                    </w:p>
                  </w:txbxContent>
                </v:textbox>
              </v:rect>
              <v:rect id="_x0000_s46545" style="position:absolute;left:5064;top:4303;width:1108;height:302" stroked="f"/>
              <v:rect id="_x0000_s46546" style="position:absolute;left:5711;top:4332;width:251;height:207;mso-wrap-style:none" filled="f" stroked="f">
                <v:textbox style="mso-next-textbox:#_x0000_s46546;mso-fit-shape-to-text:t" inset="0,0,0,0">
                  <w:txbxContent>
                    <w:p w:rsidR="00CB6FAE" w:rsidRDefault="00CB6FAE">
                      <w:r>
                        <w:rPr>
                          <w:rFonts w:ascii="Arial" w:hAnsi="Arial" w:cs="Arial"/>
                          <w:color w:val="000000"/>
                          <w:sz w:val="18"/>
                          <w:szCs w:val="18"/>
                        </w:rPr>
                        <w:t>6.7</w:t>
                      </w:r>
                    </w:p>
                  </w:txbxContent>
                </v:textbox>
              </v:rect>
              <v:rect id="_x0000_s46547" style="position:absolute;left:6143;top:4303;width:1137;height:302" stroked="f"/>
              <v:rect id="_x0000_s46548" style="position:absolute;left:6733;top:4332;width:351;height:207;mso-wrap-style:none" filled="f" stroked="f">
                <v:textbox style="mso-next-textbox:#_x0000_s46548;mso-fit-shape-to-text:t" inset="0,0,0,0">
                  <w:txbxContent>
                    <w:p w:rsidR="00CB6FAE" w:rsidRDefault="00CB6FAE">
                      <w:r>
                        <w:rPr>
                          <w:rFonts w:ascii="Arial" w:hAnsi="Arial" w:cs="Arial"/>
                          <w:color w:val="000000"/>
                          <w:sz w:val="18"/>
                          <w:szCs w:val="18"/>
                        </w:rPr>
                        <w:t>54.4</w:t>
                      </w:r>
                    </w:p>
                  </w:txbxContent>
                </v:textbox>
              </v:rect>
              <v:rect id="_x0000_s46549" style="position:absolute;left:2863;top:4577;width:1151;height:302" stroked="f"/>
              <v:rect id="_x0000_s46550" style="position:absolute;left:3683;top:4605;width:101;height:207;mso-wrap-style:none" filled="f" stroked="f">
                <v:textbox style="mso-next-textbox:#_x0000_s46550;mso-fit-shape-to-text:t" inset="0,0,0,0">
                  <w:txbxContent>
                    <w:p w:rsidR="00CB6FAE" w:rsidRDefault="00CB6FAE">
                      <w:r>
                        <w:rPr>
                          <w:rFonts w:ascii="Arial" w:hAnsi="Arial" w:cs="Arial"/>
                          <w:color w:val="000000"/>
                          <w:sz w:val="18"/>
                          <w:szCs w:val="18"/>
                        </w:rPr>
                        <w:t>5</w:t>
                      </w:r>
                    </w:p>
                  </w:txbxContent>
                </v:textbox>
              </v:rect>
              <v:rect id="_x0000_s46551" style="position:absolute;left:3985;top:4577;width:1108;height:302" stroked="f"/>
              <v:rect id="_x0000_s46552" style="position:absolute;left:4632;top:4605;width:251;height:207;mso-wrap-style:none" filled="f" stroked="f">
                <v:textbox style="mso-next-textbox:#_x0000_s46552;mso-fit-shape-to-text:t" inset="0,0,0,0">
                  <w:txbxContent>
                    <w:p w:rsidR="00CB6FAE" w:rsidRDefault="00CB6FAE">
                      <w:r>
                        <w:rPr>
                          <w:rFonts w:ascii="Arial" w:hAnsi="Arial" w:cs="Arial"/>
                          <w:color w:val="000000"/>
                          <w:sz w:val="18"/>
                          <w:szCs w:val="18"/>
                        </w:rPr>
                        <w:t>5.6</w:t>
                      </w:r>
                    </w:p>
                  </w:txbxContent>
                </v:textbox>
              </v:rect>
              <v:rect id="_x0000_s46553" style="position:absolute;left:5064;top:4577;width:1108;height:302" stroked="f"/>
              <v:rect id="_x0000_s46554" style="position:absolute;left:5711;top:4605;width:251;height:207;mso-wrap-style:none" filled="f" stroked="f">
                <v:textbox style="mso-next-textbox:#_x0000_s46554;mso-fit-shape-to-text:t" inset="0,0,0,0">
                  <w:txbxContent>
                    <w:p w:rsidR="00CB6FAE" w:rsidRDefault="00CB6FAE">
                      <w:r>
                        <w:rPr>
                          <w:rFonts w:ascii="Arial" w:hAnsi="Arial" w:cs="Arial"/>
                          <w:color w:val="000000"/>
                          <w:sz w:val="18"/>
                          <w:szCs w:val="18"/>
                        </w:rPr>
                        <w:t>5.6</w:t>
                      </w:r>
                    </w:p>
                  </w:txbxContent>
                </v:textbox>
              </v:rect>
              <v:rect id="_x0000_s46555" style="position:absolute;left:6143;top:4577;width:1137;height:302" stroked="f"/>
              <v:rect id="_x0000_s46556" style="position:absolute;left:6733;top:4605;width:351;height:207;mso-wrap-style:none" filled="f" stroked="f">
                <v:textbox style="mso-next-textbox:#_x0000_s46556;mso-fit-shape-to-text:t" inset="0,0,0,0">
                  <w:txbxContent>
                    <w:p w:rsidR="00CB6FAE" w:rsidRDefault="00CB6FAE">
                      <w:r>
                        <w:rPr>
                          <w:rFonts w:ascii="Arial" w:hAnsi="Arial" w:cs="Arial"/>
                          <w:color w:val="000000"/>
                          <w:sz w:val="18"/>
                          <w:szCs w:val="18"/>
                        </w:rPr>
                        <w:t>60.0</w:t>
                      </w:r>
                    </w:p>
                  </w:txbxContent>
                </v:textbox>
              </v:rect>
              <v:rect id="_x0000_s46557" style="position:absolute;left:2863;top:4850;width:1151;height:302" stroked="f"/>
              <v:rect id="_x0000_s46558" style="position:absolute;left:3683;top:4879;width:101;height:207;mso-wrap-style:none" filled="f" stroked="f">
                <v:textbox style="mso-next-textbox:#_x0000_s46558;mso-fit-shape-to-text:t" inset="0,0,0,0">
                  <w:txbxContent>
                    <w:p w:rsidR="00CB6FAE" w:rsidRDefault="00CB6FAE">
                      <w:r>
                        <w:rPr>
                          <w:rFonts w:ascii="Arial" w:hAnsi="Arial" w:cs="Arial"/>
                          <w:color w:val="000000"/>
                          <w:sz w:val="18"/>
                          <w:szCs w:val="18"/>
                        </w:rPr>
                        <w:t>1</w:t>
                      </w:r>
                    </w:p>
                  </w:txbxContent>
                </v:textbox>
              </v:rect>
              <v:rect id="_x0000_s46559" style="position:absolute;left:3985;top:4850;width:1108;height:302" stroked="f"/>
              <v:rect id="_x0000_s46560" style="position:absolute;left:4632;top:4879;width:251;height:207;mso-wrap-style:none" filled="f" stroked="f">
                <v:textbox style="mso-next-textbox:#_x0000_s46560;mso-fit-shape-to-text:t" inset="0,0,0,0">
                  <w:txbxContent>
                    <w:p w:rsidR="00CB6FAE" w:rsidRDefault="00CB6FAE">
                      <w:r>
                        <w:rPr>
                          <w:rFonts w:ascii="Arial" w:hAnsi="Arial" w:cs="Arial"/>
                          <w:color w:val="000000"/>
                          <w:sz w:val="18"/>
                          <w:szCs w:val="18"/>
                        </w:rPr>
                        <w:t>1.1</w:t>
                      </w:r>
                    </w:p>
                  </w:txbxContent>
                </v:textbox>
              </v:rect>
              <v:rect id="_x0000_s46561" style="position:absolute;left:5064;top:4850;width:1108;height:302" stroked="f"/>
              <v:rect id="_x0000_s46562" style="position:absolute;left:5711;top:4879;width:251;height:207;mso-wrap-style:none" filled="f" stroked="f">
                <v:textbox style="mso-next-textbox:#_x0000_s46562;mso-fit-shape-to-text:t" inset="0,0,0,0">
                  <w:txbxContent>
                    <w:p w:rsidR="00CB6FAE" w:rsidRDefault="00CB6FAE">
                      <w:r>
                        <w:rPr>
                          <w:rFonts w:ascii="Arial" w:hAnsi="Arial" w:cs="Arial"/>
                          <w:color w:val="000000"/>
                          <w:sz w:val="18"/>
                          <w:szCs w:val="18"/>
                        </w:rPr>
                        <w:t>1.1</w:t>
                      </w:r>
                    </w:p>
                  </w:txbxContent>
                </v:textbox>
              </v:rect>
              <v:rect id="_x0000_s46563" style="position:absolute;left:6143;top:4850;width:1137;height:302" stroked="f"/>
              <v:rect id="_x0000_s46564" style="position:absolute;left:6733;top:4879;width:351;height:207;mso-wrap-style:none" filled="f" stroked="f">
                <v:textbox style="mso-next-textbox:#_x0000_s46564;mso-fit-shape-to-text:t" inset="0,0,0,0">
                  <w:txbxContent>
                    <w:p w:rsidR="00CB6FAE" w:rsidRDefault="00CB6FAE">
                      <w:r>
                        <w:rPr>
                          <w:rFonts w:ascii="Arial" w:hAnsi="Arial" w:cs="Arial"/>
                          <w:color w:val="000000"/>
                          <w:sz w:val="18"/>
                          <w:szCs w:val="18"/>
                        </w:rPr>
                        <w:t>61.1</w:t>
                      </w:r>
                    </w:p>
                  </w:txbxContent>
                </v:textbox>
              </v:rect>
              <v:rect id="_x0000_s46565" style="position:absolute;left:2863;top:5124;width:1151;height:532" stroked="f"/>
              <v:rect id="_x0000_s46566" style="position:absolute;left:3683;top:5267;width:101;height:207;mso-wrap-style:none" filled="f" stroked="f">
                <v:textbox style="mso-next-textbox:#_x0000_s46566;mso-fit-shape-to-text:t" inset="0,0,0,0">
                  <w:txbxContent>
                    <w:p w:rsidR="00CB6FAE" w:rsidRDefault="00CB6FAE">
                      <w:r>
                        <w:rPr>
                          <w:rFonts w:ascii="Arial" w:hAnsi="Arial" w:cs="Arial"/>
                          <w:color w:val="000000"/>
                          <w:sz w:val="18"/>
                          <w:szCs w:val="18"/>
                        </w:rPr>
                        <w:t>5</w:t>
                      </w:r>
                    </w:p>
                  </w:txbxContent>
                </v:textbox>
              </v:rect>
              <v:rect id="_x0000_s46567" style="position:absolute;left:3985;top:5124;width:1108;height:532" stroked="f"/>
              <v:rect id="_x0000_s46568" style="position:absolute;left:4632;top:5267;width:251;height:207;mso-wrap-style:none" filled="f" stroked="f">
                <v:textbox style="mso-next-textbox:#_x0000_s46568;mso-fit-shape-to-text:t" inset="0,0,0,0">
                  <w:txbxContent>
                    <w:p w:rsidR="00CB6FAE" w:rsidRDefault="00CB6FAE">
                      <w:r>
                        <w:rPr>
                          <w:rFonts w:ascii="Arial" w:hAnsi="Arial" w:cs="Arial"/>
                          <w:color w:val="000000"/>
                          <w:sz w:val="18"/>
                          <w:szCs w:val="18"/>
                        </w:rPr>
                        <w:t>5.6</w:t>
                      </w:r>
                    </w:p>
                  </w:txbxContent>
                </v:textbox>
              </v:rect>
              <v:rect id="_x0000_s46569" style="position:absolute;left:5064;top:5124;width:1108;height:532" stroked="f"/>
              <v:rect id="_x0000_s46570" style="position:absolute;left:5711;top:5267;width:251;height:207;mso-wrap-style:none" filled="f" stroked="f">
                <v:textbox style="mso-next-textbox:#_x0000_s46570;mso-fit-shape-to-text:t" inset="0,0,0,0">
                  <w:txbxContent>
                    <w:p w:rsidR="00CB6FAE" w:rsidRDefault="00CB6FAE">
                      <w:r>
                        <w:rPr>
                          <w:rFonts w:ascii="Arial" w:hAnsi="Arial" w:cs="Arial"/>
                          <w:color w:val="000000"/>
                          <w:sz w:val="18"/>
                          <w:szCs w:val="18"/>
                        </w:rPr>
                        <w:t>5.6</w:t>
                      </w:r>
                    </w:p>
                  </w:txbxContent>
                </v:textbox>
              </v:rect>
              <v:rect id="_x0000_s46571" style="position:absolute;left:6143;top:5124;width:1137;height:532" stroked="f"/>
              <v:rect id="_x0000_s46572" style="position:absolute;left:6733;top:5267;width:351;height:207;mso-wrap-style:none" filled="f" stroked="f">
                <v:textbox style="mso-next-textbox:#_x0000_s46572;mso-fit-shape-to-text:t" inset="0,0,0,0">
                  <w:txbxContent>
                    <w:p w:rsidR="00CB6FAE" w:rsidRDefault="00CB6FAE">
                      <w:r>
                        <w:rPr>
                          <w:rFonts w:ascii="Arial" w:hAnsi="Arial" w:cs="Arial"/>
                          <w:color w:val="000000"/>
                          <w:sz w:val="18"/>
                          <w:szCs w:val="18"/>
                        </w:rPr>
                        <w:t>66.7</w:t>
                      </w:r>
                    </w:p>
                  </w:txbxContent>
                </v:textbox>
              </v:rect>
              <v:rect id="_x0000_s46573" style="position:absolute;left:2863;top:5627;width:1151;height:302" stroked="f"/>
              <v:rect id="_x0000_s46574" style="position:absolute;left:3596;top:5656;width:201;height:207;mso-wrap-style:none" filled="f" stroked="f">
                <v:textbox style="mso-next-textbox:#_x0000_s46574;mso-fit-shape-to-text:t" inset="0,0,0,0">
                  <w:txbxContent>
                    <w:p w:rsidR="00CB6FAE" w:rsidRDefault="00CB6FAE">
                      <w:r>
                        <w:rPr>
                          <w:rFonts w:ascii="Arial" w:hAnsi="Arial" w:cs="Arial"/>
                          <w:color w:val="000000"/>
                          <w:sz w:val="18"/>
                          <w:szCs w:val="18"/>
                        </w:rPr>
                        <w:t>11</w:t>
                      </w:r>
                    </w:p>
                  </w:txbxContent>
                </v:textbox>
              </v:rect>
              <v:rect id="_x0000_s46575" style="position:absolute;left:3985;top:5627;width:1108;height:302" stroked="f"/>
              <v:rect id="_x0000_s46576" style="position:absolute;left:4546;top:5656;width:351;height:207;mso-wrap-style:none" filled="f" stroked="f">
                <v:textbox style="mso-next-textbox:#_x0000_s46576;mso-fit-shape-to-text:t" inset="0,0,0,0">
                  <w:txbxContent>
                    <w:p w:rsidR="00CB6FAE" w:rsidRDefault="00CB6FAE">
                      <w:r>
                        <w:rPr>
                          <w:rFonts w:ascii="Arial" w:hAnsi="Arial" w:cs="Arial"/>
                          <w:color w:val="000000"/>
                          <w:sz w:val="18"/>
                          <w:szCs w:val="18"/>
                        </w:rPr>
                        <w:t>12.2</w:t>
                      </w:r>
                    </w:p>
                  </w:txbxContent>
                </v:textbox>
              </v:rect>
              <v:rect id="_x0000_s46577" style="position:absolute;left:5064;top:5627;width:1108;height:302" stroked="f"/>
              <v:rect id="_x0000_s46578" style="position:absolute;left:5625;top:5656;width:351;height:207;mso-wrap-style:none" filled="f" stroked="f">
                <v:textbox style="mso-next-textbox:#_x0000_s46578;mso-fit-shape-to-text:t" inset="0,0,0,0">
                  <w:txbxContent>
                    <w:p w:rsidR="00CB6FAE" w:rsidRDefault="00CB6FAE">
                      <w:r>
                        <w:rPr>
                          <w:rFonts w:ascii="Arial" w:hAnsi="Arial" w:cs="Arial"/>
                          <w:color w:val="000000"/>
                          <w:sz w:val="18"/>
                          <w:szCs w:val="18"/>
                        </w:rPr>
                        <w:t>12.2</w:t>
                      </w:r>
                    </w:p>
                  </w:txbxContent>
                </v:textbox>
              </v:rect>
              <v:rect id="_x0000_s46579" style="position:absolute;left:6143;top:5627;width:1137;height:302" stroked="f"/>
              <v:rect id="_x0000_s46580" style="position:absolute;left:6733;top:5656;width:351;height:207;mso-wrap-style:none" filled="f" stroked="f">
                <v:textbox style="mso-next-textbox:#_x0000_s46580;mso-fit-shape-to-text:t" inset="0,0,0,0">
                  <w:txbxContent>
                    <w:p w:rsidR="00CB6FAE" w:rsidRDefault="00CB6FAE">
                      <w:r>
                        <w:rPr>
                          <w:rFonts w:ascii="Arial" w:hAnsi="Arial" w:cs="Arial"/>
                          <w:color w:val="000000"/>
                          <w:sz w:val="18"/>
                          <w:szCs w:val="18"/>
                        </w:rPr>
                        <w:t>78.9</w:t>
                      </w:r>
                    </w:p>
                  </w:txbxContent>
                </v:textbox>
              </v:rect>
              <v:rect id="_x0000_s46581" style="position:absolute;left:2863;top:5901;width:1151;height:302" stroked="f"/>
              <v:rect id="_x0000_s46582" style="position:absolute;left:3683;top:5929;width:101;height:207;mso-wrap-style:none" filled="f" stroked="f">
                <v:textbox style="mso-next-textbox:#_x0000_s46582;mso-fit-shape-to-text:t" inset="0,0,0,0">
                  <w:txbxContent>
                    <w:p w:rsidR="00CB6FAE" w:rsidRDefault="00CB6FAE">
                      <w:r>
                        <w:rPr>
                          <w:rFonts w:ascii="Arial" w:hAnsi="Arial" w:cs="Arial"/>
                          <w:color w:val="000000"/>
                          <w:sz w:val="18"/>
                          <w:szCs w:val="18"/>
                        </w:rPr>
                        <w:t>1</w:t>
                      </w:r>
                    </w:p>
                  </w:txbxContent>
                </v:textbox>
              </v:rect>
              <v:rect id="_x0000_s46583" style="position:absolute;left:3985;top:5901;width:1108;height:302" stroked="f"/>
              <v:rect id="_x0000_s46584" style="position:absolute;left:4632;top:5929;width:251;height:207;mso-wrap-style:none" filled="f" stroked="f">
                <v:textbox style="mso-next-textbox:#_x0000_s46584;mso-fit-shape-to-text:t" inset="0,0,0,0">
                  <w:txbxContent>
                    <w:p w:rsidR="00CB6FAE" w:rsidRDefault="00CB6FAE">
                      <w:r>
                        <w:rPr>
                          <w:rFonts w:ascii="Arial" w:hAnsi="Arial" w:cs="Arial"/>
                          <w:color w:val="000000"/>
                          <w:sz w:val="18"/>
                          <w:szCs w:val="18"/>
                        </w:rPr>
                        <w:t>1.1</w:t>
                      </w:r>
                    </w:p>
                  </w:txbxContent>
                </v:textbox>
              </v:rect>
              <v:rect id="_x0000_s46585" style="position:absolute;left:5064;top:5901;width:1108;height:302" stroked="f"/>
              <v:rect id="_x0000_s46586" style="position:absolute;left:5711;top:5929;width:251;height:207;mso-wrap-style:none" filled="f" stroked="f">
                <v:textbox style="mso-next-textbox:#_x0000_s46586;mso-fit-shape-to-text:t" inset="0,0,0,0">
                  <w:txbxContent>
                    <w:p w:rsidR="00CB6FAE" w:rsidRDefault="00CB6FAE">
                      <w:r>
                        <w:rPr>
                          <w:rFonts w:ascii="Arial" w:hAnsi="Arial" w:cs="Arial"/>
                          <w:color w:val="000000"/>
                          <w:sz w:val="18"/>
                          <w:szCs w:val="18"/>
                        </w:rPr>
                        <w:t>1.1</w:t>
                      </w:r>
                    </w:p>
                  </w:txbxContent>
                </v:textbox>
              </v:rect>
              <v:rect id="_x0000_s46587" style="position:absolute;left:6143;top:5901;width:1137;height:302" stroked="f"/>
              <v:rect id="_x0000_s46588" style="position:absolute;left:6733;top:5929;width:351;height:207;mso-wrap-style:none" filled="f" stroked="f">
                <v:textbox style="mso-next-textbox:#_x0000_s46588;mso-fit-shape-to-text:t" inset="0,0,0,0">
                  <w:txbxContent>
                    <w:p w:rsidR="00CB6FAE" w:rsidRDefault="00CB6FAE">
                      <w:r>
                        <w:rPr>
                          <w:rFonts w:ascii="Arial" w:hAnsi="Arial" w:cs="Arial"/>
                          <w:color w:val="000000"/>
                          <w:sz w:val="18"/>
                          <w:szCs w:val="18"/>
                        </w:rPr>
                        <w:t>80.0</w:t>
                      </w:r>
                    </w:p>
                  </w:txbxContent>
                </v:textbox>
              </v:rect>
              <v:rect id="_x0000_s46589" style="position:absolute;left:2863;top:6174;width:1151;height:302" stroked="f"/>
              <v:rect id="_x0000_s46590" style="position:absolute;left:3683;top:6203;width:101;height:207;mso-wrap-style:none" filled="f" stroked="f">
                <v:textbox style="mso-next-textbox:#_x0000_s46590;mso-fit-shape-to-text:t" inset="0,0,0,0">
                  <w:txbxContent>
                    <w:p w:rsidR="00CB6FAE" w:rsidRDefault="00CB6FAE">
                      <w:r>
                        <w:rPr>
                          <w:rFonts w:ascii="Arial" w:hAnsi="Arial" w:cs="Arial"/>
                          <w:color w:val="000000"/>
                          <w:sz w:val="18"/>
                          <w:szCs w:val="18"/>
                        </w:rPr>
                        <w:t>1</w:t>
                      </w:r>
                    </w:p>
                  </w:txbxContent>
                </v:textbox>
              </v:rect>
              <v:rect id="_x0000_s46591" style="position:absolute;left:3985;top:6174;width:1108;height:302" stroked="f"/>
              <v:rect id="_x0000_s46592" style="position:absolute;left:4632;top:6203;width:251;height:207;mso-wrap-style:none" filled="f" stroked="f">
                <v:textbox style="mso-next-textbox:#_x0000_s46592;mso-fit-shape-to-text:t" inset="0,0,0,0">
                  <w:txbxContent>
                    <w:p w:rsidR="00CB6FAE" w:rsidRDefault="00CB6FAE">
                      <w:r>
                        <w:rPr>
                          <w:rFonts w:ascii="Arial" w:hAnsi="Arial" w:cs="Arial"/>
                          <w:color w:val="000000"/>
                          <w:sz w:val="18"/>
                          <w:szCs w:val="18"/>
                        </w:rPr>
                        <w:t>1.1</w:t>
                      </w:r>
                    </w:p>
                  </w:txbxContent>
                </v:textbox>
              </v:rect>
              <v:rect id="_x0000_s46593" style="position:absolute;left:5064;top:6174;width:1108;height:302" stroked="f"/>
              <v:rect id="_x0000_s46594" style="position:absolute;left:5711;top:6203;width:251;height:207;mso-wrap-style:none" filled="f" stroked="f">
                <v:textbox style="mso-next-textbox:#_x0000_s46594;mso-fit-shape-to-text:t" inset="0,0,0,0">
                  <w:txbxContent>
                    <w:p w:rsidR="00CB6FAE" w:rsidRDefault="00CB6FAE">
                      <w:r>
                        <w:rPr>
                          <w:rFonts w:ascii="Arial" w:hAnsi="Arial" w:cs="Arial"/>
                          <w:color w:val="000000"/>
                          <w:sz w:val="18"/>
                          <w:szCs w:val="18"/>
                        </w:rPr>
                        <w:t>1.1</w:t>
                      </w:r>
                    </w:p>
                  </w:txbxContent>
                </v:textbox>
              </v:rect>
              <v:rect id="_x0000_s46595" style="position:absolute;left:6143;top:6174;width:1137;height:302" stroked="f"/>
              <v:rect id="_x0000_s46596" style="position:absolute;left:6733;top:6203;width:351;height:207;mso-wrap-style:none" filled="f" stroked="f">
                <v:textbox style="mso-next-textbox:#_x0000_s46596;mso-fit-shape-to-text:t" inset="0,0,0,0">
                  <w:txbxContent>
                    <w:p w:rsidR="00CB6FAE" w:rsidRDefault="00CB6FAE">
                      <w:r>
                        <w:rPr>
                          <w:rFonts w:ascii="Arial" w:hAnsi="Arial" w:cs="Arial"/>
                          <w:color w:val="000000"/>
                          <w:sz w:val="18"/>
                          <w:szCs w:val="18"/>
                        </w:rPr>
                        <w:t>81.1</w:t>
                      </w:r>
                    </w:p>
                  </w:txbxContent>
                </v:textbox>
              </v:rect>
              <v:rect id="_x0000_s46597" style="position:absolute;left:2863;top:6448;width:1151;height:302" stroked="f"/>
              <v:rect id="_x0000_s46598" style="position:absolute;left:3683;top:6476;width:101;height:207;mso-wrap-style:none" filled="f" stroked="f">
                <v:textbox style="mso-next-textbox:#_x0000_s46598;mso-fit-shape-to-text:t" inset="0,0,0,0">
                  <w:txbxContent>
                    <w:p w:rsidR="00CB6FAE" w:rsidRDefault="00CB6FAE">
                      <w:r>
                        <w:rPr>
                          <w:rFonts w:ascii="Arial" w:hAnsi="Arial" w:cs="Arial"/>
                          <w:color w:val="000000"/>
                          <w:sz w:val="18"/>
                          <w:szCs w:val="18"/>
                        </w:rPr>
                        <w:t>5</w:t>
                      </w:r>
                    </w:p>
                  </w:txbxContent>
                </v:textbox>
              </v:rect>
              <v:rect id="_x0000_s46599" style="position:absolute;left:3985;top:6448;width:1108;height:302" stroked="f"/>
              <v:rect id="_x0000_s46600" style="position:absolute;left:4632;top:6476;width:251;height:207;mso-wrap-style:none" filled="f" stroked="f">
                <v:textbox style="mso-next-textbox:#_x0000_s46600;mso-fit-shape-to-text:t" inset="0,0,0,0">
                  <w:txbxContent>
                    <w:p w:rsidR="00CB6FAE" w:rsidRDefault="00CB6FAE">
                      <w:r>
                        <w:rPr>
                          <w:rFonts w:ascii="Arial" w:hAnsi="Arial" w:cs="Arial"/>
                          <w:color w:val="000000"/>
                          <w:sz w:val="18"/>
                          <w:szCs w:val="18"/>
                        </w:rPr>
                        <w:t>5.6</w:t>
                      </w:r>
                    </w:p>
                  </w:txbxContent>
                </v:textbox>
              </v:rect>
              <v:rect id="_x0000_s46601" style="position:absolute;left:5064;top:6448;width:1108;height:302" stroked="f"/>
              <v:rect id="_x0000_s46602" style="position:absolute;left:5711;top:6476;width:251;height:207;mso-wrap-style:none" filled="f" stroked="f">
                <v:textbox style="mso-next-textbox:#_x0000_s46602;mso-fit-shape-to-text:t" inset="0,0,0,0">
                  <w:txbxContent>
                    <w:p w:rsidR="00CB6FAE" w:rsidRDefault="00CB6FAE">
                      <w:r>
                        <w:rPr>
                          <w:rFonts w:ascii="Arial" w:hAnsi="Arial" w:cs="Arial"/>
                          <w:color w:val="000000"/>
                          <w:sz w:val="18"/>
                          <w:szCs w:val="18"/>
                        </w:rPr>
                        <w:t>5.6</w:t>
                      </w:r>
                    </w:p>
                  </w:txbxContent>
                </v:textbox>
              </v:rect>
              <v:rect id="_x0000_s46603" style="position:absolute;left:6143;top:6448;width:1137;height:302" stroked="f"/>
              <v:rect id="_x0000_s46604" style="position:absolute;left:6733;top:6476;width:351;height:207;mso-wrap-style:none" filled="f" stroked="f">
                <v:textbox style="mso-next-textbox:#_x0000_s46604;mso-fit-shape-to-text:t" inset="0,0,0,0">
                  <w:txbxContent>
                    <w:p w:rsidR="00CB6FAE" w:rsidRDefault="00CB6FAE">
                      <w:r>
                        <w:rPr>
                          <w:rFonts w:ascii="Arial" w:hAnsi="Arial" w:cs="Arial"/>
                          <w:color w:val="000000"/>
                          <w:sz w:val="18"/>
                          <w:szCs w:val="18"/>
                        </w:rPr>
                        <w:t>86.7</w:t>
                      </w:r>
                    </w:p>
                  </w:txbxContent>
                </v:textbox>
              </v:rect>
              <v:rect id="_x0000_s46605" style="position:absolute;left:2863;top:6721;width:1151;height:302" stroked="f"/>
              <v:rect id="_x0000_s46606" style="position:absolute;left:3683;top:6750;width:101;height:207;mso-wrap-style:none" filled="f" stroked="f">
                <v:textbox style="mso-next-textbox:#_x0000_s46606;mso-fit-shape-to-text:t" inset="0,0,0,0">
                  <w:txbxContent>
                    <w:p w:rsidR="00CB6FAE" w:rsidRDefault="00CB6FAE">
                      <w:r>
                        <w:rPr>
                          <w:rFonts w:ascii="Arial" w:hAnsi="Arial" w:cs="Arial"/>
                          <w:color w:val="000000"/>
                          <w:sz w:val="18"/>
                          <w:szCs w:val="18"/>
                        </w:rPr>
                        <w:t>7</w:t>
                      </w:r>
                    </w:p>
                  </w:txbxContent>
                </v:textbox>
              </v:rect>
              <v:rect id="_x0000_s46607" style="position:absolute;left:3985;top:6721;width:1108;height:302" stroked="f"/>
              <v:rect id="_x0000_s46608" style="position:absolute;left:4632;top:6750;width:251;height:207;mso-wrap-style:none" filled="f" stroked="f">
                <v:textbox style="mso-next-textbox:#_x0000_s46608;mso-fit-shape-to-text:t" inset="0,0,0,0">
                  <w:txbxContent>
                    <w:p w:rsidR="00CB6FAE" w:rsidRDefault="00CB6FAE">
                      <w:r>
                        <w:rPr>
                          <w:rFonts w:ascii="Arial" w:hAnsi="Arial" w:cs="Arial"/>
                          <w:color w:val="000000"/>
                          <w:sz w:val="18"/>
                          <w:szCs w:val="18"/>
                        </w:rPr>
                        <w:t>7.8</w:t>
                      </w:r>
                    </w:p>
                  </w:txbxContent>
                </v:textbox>
              </v:rect>
              <v:rect id="_x0000_s46609" style="position:absolute;left:5064;top:6721;width:1108;height:302" stroked="f"/>
              <v:rect id="_x0000_s46610" style="position:absolute;left:5711;top:6750;width:251;height:207;mso-wrap-style:none" filled="f" stroked="f">
                <v:textbox style="mso-next-textbox:#_x0000_s46610;mso-fit-shape-to-text:t" inset="0,0,0,0">
                  <w:txbxContent>
                    <w:p w:rsidR="00CB6FAE" w:rsidRDefault="00CB6FAE">
                      <w:r>
                        <w:rPr>
                          <w:rFonts w:ascii="Arial" w:hAnsi="Arial" w:cs="Arial"/>
                          <w:color w:val="000000"/>
                          <w:sz w:val="18"/>
                          <w:szCs w:val="18"/>
                        </w:rPr>
                        <w:t>7.8</w:t>
                      </w:r>
                    </w:p>
                  </w:txbxContent>
                </v:textbox>
              </v:rect>
              <v:rect id="_x0000_s46611" style="position:absolute;left:6143;top:6721;width:1137;height:302" stroked="f"/>
              <v:rect id="_x0000_s46612" style="position:absolute;left:6733;top:6750;width:351;height:207;mso-wrap-style:none" filled="f" stroked="f">
                <v:textbox style="mso-next-textbox:#_x0000_s46612;mso-fit-shape-to-text:t" inset="0,0,0,0">
                  <w:txbxContent>
                    <w:p w:rsidR="00CB6FAE" w:rsidRDefault="00CB6FAE">
                      <w:r>
                        <w:rPr>
                          <w:rFonts w:ascii="Arial" w:hAnsi="Arial" w:cs="Arial"/>
                          <w:color w:val="000000"/>
                          <w:sz w:val="18"/>
                          <w:szCs w:val="18"/>
                        </w:rPr>
                        <w:t>94.4</w:t>
                      </w:r>
                    </w:p>
                  </w:txbxContent>
                </v:textbox>
              </v:rect>
              <v:rect id="_x0000_s46613" style="position:absolute;left:2863;top:6994;width:1151;height:303" stroked="f"/>
              <v:rect id="_x0000_s46614" style="position:absolute;left:3683;top:7023;width:101;height:207;mso-wrap-style:none" filled="f" stroked="f">
                <v:textbox style="mso-next-textbox:#_x0000_s46614;mso-fit-shape-to-text:t" inset="0,0,0,0">
                  <w:txbxContent>
                    <w:p w:rsidR="00CB6FAE" w:rsidRDefault="00CB6FAE">
                      <w:r>
                        <w:rPr>
                          <w:rFonts w:ascii="Arial" w:hAnsi="Arial" w:cs="Arial"/>
                          <w:color w:val="000000"/>
                          <w:sz w:val="18"/>
                          <w:szCs w:val="18"/>
                        </w:rPr>
                        <w:t>1</w:t>
                      </w:r>
                    </w:p>
                  </w:txbxContent>
                </v:textbox>
              </v:rect>
              <v:rect id="_x0000_s46615" style="position:absolute;left:3985;top:6994;width:1108;height:303" stroked="f"/>
              <v:rect id="_x0000_s46616" style="position:absolute;left:4632;top:7023;width:251;height:207;mso-wrap-style:none" filled="f" stroked="f">
                <v:textbox style="mso-next-textbox:#_x0000_s46616;mso-fit-shape-to-text:t" inset="0,0,0,0">
                  <w:txbxContent>
                    <w:p w:rsidR="00CB6FAE" w:rsidRDefault="00CB6FAE">
                      <w:r>
                        <w:rPr>
                          <w:rFonts w:ascii="Arial" w:hAnsi="Arial" w:cs="Arial"/>
                          <w:color w:val="000000"/>
                          <w:sz w:val="18"/>
                          <w:szCs w:val="18"/>
                        </w:rPr>
                        <w:t>1.1</w:t>
                      </w:r>
                    </w:p>
                  </w:txbxContent>
                </v:textbox>
              </v:rect>
              <v:rect id="_x0000_s46617" style="position:absolute;left:5064;top:6994;width:1108;height:303" stroked="f"/>
              <v:rect id="_x0000_s46618" style="position:absolute;left:5711;top:7023;width:251;height:207;mso-wrap-style:none" filled="f" stroked="f">
                <v:textbox style="mso-next-textbox:#_x0000_s46618;mso-fit-shape-to-text:t" inset="0,0,0,0">
                  <w:txbxContent>
                    <w:p w:rsidR="00CB6FAE" w:rsidRDefault="00CB6FAE">
                      <w:r>
                        <w:rPr>
                          <w:rFonts w:ascii="Arial" w:hAnsi="Arial" w:cs="Arial"/>
                          <w:color w:val="000000"/>
                          <w:sz w:val="18"/>
                          <w:szCs w:val="18"/>
                        </w:rPr>
                        <w:t>1.1</w:t>
                      </w:r>
                    </w:p>
                  </w:txbxContent>
                </v:textbox>
              </v:rect>
              <v:rect id="_x0000_s46619" style="position:absolute;left:6143;top:6994;width:1137;height:303" stroked="f"/>
              <v:rect id="_x0000_s46620" style="position:absolute;left:6733;top:7023;width:351;height:207;mso-wrap-style:none" filled="f" stroked="f">
                <v:textbox style="mso-next-textbox:#_x0000_s46620;mso-fit-shape-to-text:t" inset="0,0,0,0">
                  <w:txbxContent>
                    <w:p w:rsidR="00CB6FAE" w:rsidRDefault="00CB6FAE">
                      <w:r>
                        <w:rPr>
                          <w:rFonts w:ascii="Arial" w:hAnsi="Arial" w:cs="Arial"/>
                          <w:color w:val="000000"/>
                          <w:sz w:val="18"/>
                          <w:szCs w:val="18"/>
                        </w:rPr>
                        <w:t>95.6</w:t>
                      </w:r>
                    </w:p>
                  </w:txbxContent>
                </v:textbox>
              </v:rect>
              <v:rect id="_x0000_s46621" style="position:absolute;left:2863;top:7268;width:1151;height:302" stroked="f"/>
              <v:rect id="_x0000_s46622" style="position:absolute;left:3683;top:7297;width:101;height:207;mso-wrap-style:none" filled="f" stroked="f">
                <v:textbox style="mso-next-textbox:#_x0000_s46622;mso-fit-shape-to-text:t" inset="0,0,0,0">
                  <w:txbxContent>
                    <w:p w:rsidR="00CB6FAE" w:rsidRDefault="00CB6FAE">
                      <w:r>
                        <w:rPr>
                          <w:rFonts w:ascii="Arial" w:hAnsi="Arial" w:cs="Arial"/>
                          <w:color w:val="000000"/>
                          <w:sz w:val="18"/>
                          <w:szCs w:val="18"/>
                        </w:rPr>
                        <w:t>1</w:t>
                      </w:r>
                    </w:p>
                  </w:txbxContent>
                </v:textbox>
              </v:rect>
              <v:rect id="_x0000_s46623" style="position:absolute;left:3985;top:7268;width:1108;height:302" stroked="f"/>
              <v:rect id="_x0000_s46624" style="position:absolute;left:4632;top:7297;width:251;height:207;mso-wrap-style:none" filled="f" stroked="f">
                <v:textbox style="mso-next-textbox:#_x0000_s46624;mso-fit-shape-to-text:t" inset="0,0,0,0">
                  <w:txbxContent>
                    <w:p w:rsidR="00CB6FAE" w:rsidRDefault="00CB6FAE">
                      <w:r>
                        <w:rPr>
                          <w:rFonts w:ascii="Arial" w:hAnsi="Arial" w:cs="Arial"/>
                          <w:color w:val="000000"/>
                          <w:sz w:val="18"/>
                          <w:szCs w:val="18"/>
                        </w:rPr>
                        <w:t>1.1</w:t>
                      </w:r>
                    </w:p>
                  </w:txbxContent>
                </v:textbox>
              </v:rect>
              <v:rect id="_x0000_s46625" style="position:absolute;left:5064;top:7268;width:1108;height:302" stroked="f"/>
              <v:rect id="_x0000_s46626" style="position:absolute;left:5711;top:7297;width:251;height:207;mso-wrap-style:none" filled="f" stroked="f">
                <v:textbox style="mso-next-textbox:#_x0000_s46626;mso-fit-shape-to-text:t" inset="0,0,0,0">
                  <w:txbxContent>
                    <w:p w:rsidR="00CB6FAE" w:rsidRDefault="00CB6FAE">
                      <w:r>
                        <w:rPr>
                          <w:rFonts w:ascii="Arial" w:hAnsi="Arial" w:cs="Arial"/>
                          <w:color w:val="000000"/>
                          <w:sz w:val="18"/>
                          <w:szCs w:val="18"/>
                        </w:rPr>
                        <w:t>1.1</w:t>
                      </w:r>
                    </w:p>
                  </w:txbxContent>
                </v:textbox>
              </v:rect>
              <v:rect id="_x0000_s46627" style="position:absolute;left:6143;top:7268;width:1137;height:302" stroked="f"/>
              <v:rect id="_x0000_s46628" style="position:absolute;left:6733;top:7297;width:351;height:207;mso-wrap-style:none" filled="f" stroked="f">
                <v:textbox style="mso-next-textbox:#_x0000_s46628;mso-fit-shape-to-text:t" inset="0,0,0,0">
                  <w:txbxContent>
                    <w:p w:rsidR="00CB6FAE" w:rsidRDefault="00CB6FAE">
                      <w:r>
                        <w:rPr>
                          <w:rFonts w:ascii="Arial" w:hAnsi="Arial" w:cs="Arial"/>
                          <w:color w:val="000000"/>
                          <w:sz w:val="18"/>
                          <w:szCs w:val="18"/>
                        </w:rPr>
                        <w:t>96.7</w:t>
                      </w:r>
                    </w:p>
                  </w:txbxContent>
                </v:textbox>
              </v:rect>
              <v:rect id="_x0000_s46629" style="position:absolute;left:2863;top:7541;width:1151;height:303" stroked="f"/>
              <v:rect id="_x0000_s46630" style="position:absolute;left:3683;top:7570;width:101;height:207;mso-wrap-style:none" filled="f" stroked="f">
                <v:textbox style="mso-next-textbox:#_x0000_s46630;mso-fit-shape-to-text:t" inset="0,0,0,0">
                  <w:txbxContent>
                    <w:p w:rsidR="00CB6FAE" w:rsidRDefault="00CB6FAE">
                      <w:r>
                        <w:rPr>
                          <w:rFonts w:ascii="Arial" w:hAnsi="Arial" w:cs="Arial"/>
                          <w:color w:val="000000"/>
                          <w:sz w:val="18"/>
                          <w:szCs w:val="18"/>
                        </w:rPr>
                        <w:t>2</w:t>
                      </w:r>
                    </w:p>
                  </w:txbxContent>
                </v:textbox>
              </v:rect>
              <v:rect id="_x0000_s46631" style="position:absolute;left:3985;top:7541;width:1108;height:303" stroked="f"/>
              <v:rect id="_x0000_s46632" style="position:absolute;left:4632;top:7570;width:251;height:207;mso-wrap-style:none" filled="f" stroked="f">
                <v:textbox style="mso-next-textbox:#_x0000_s46632;mso-fit-shape-to-text:t" inset="0,0,0,0">
                  <w:txbxContent>
                    <w:p w:rsidR="00CB6FAE" w:rsidRDefault="00CB6FAE">
                      <w:r>
                        <w:rPr>
                          <w:rFonts w:ascii="Arial" w:hAnsi="Arial" w:cs="Arial"/>
                          <w:color w:val="000000"/>
                          <w:sz w:val="18"/>
                          <w:szCs w:val="18"/>
                        </w:rPr>
                        <w:t>2.2</w:t>
                      </w:r>
                    </w:p>
                  </w:txbxContent>
                </v:textbox>
              </v:rect>
              <v:rect id="_x0000_s46633" style="position:absolute;left:5064;top:7541;width:1108;height:303" stroked="f"/>
              <v:rect id="_x0000_s46634" style="position:absolute;left:5711;top:7570;width:251;height:207;mso-wrap-style:none" filled="f" stroked="f">
                <v:textbox style="mso-next-textbox:#_x0000_s46634;mso-fit-shape-to-text:t" inset="0,0,0,0">
                  <w:txbxContent>
                    <w:p w:rsidR="00CB6FAE" w:rsidRDefault="00CB6FAE">
                      <w:r>
                        <w:rPr>
                          <w:rFonts w:ascii="Arial" w:hAnsi="Arial" w:cs="Arial"/>
                          <w:color w:val="000000"/>
                          <w:sz w:val="18"/>
                          <w:szCs w:val="18"/>
                        </w:rPr>
                        <w:t>2.2</w:t>
                      </w:r>
                    </w:p>
                  </w:txbxContent>
                </v:textbox>
              </v:rect>
              <v:rect id="_x0000_s46635" style="position:absolute;left:6143;top:7541;width:1137;height:303" stroked="f"/>
              <v:rect id="_x0000_s46636" style="position:absolute;left:6733;top:7570;width:351;height:207;mso-wrap-style:none" filled="f" stroked="f">
                <v:textbox style="mso-next-textbox:#_x0000_s46636;mso-fit-shape-to-text:t" inset="0,0,0,0">
                  <w:txbxContent>
                    <w:p w:rsidR="00CB6FAE" w:rsidRDefault="00CB6FAE">
                      <w:r>
                        <w:rPr>
                          <w:rFonts w:ascii="Arial" w:hAnsi="Arial" w:cs="Arial"/>
                          <w:color w:val="000000"/>
                          <w:sz w:val="18"/>
                          <w:szCs w:val="18"/>
                        </w:rPr>
                        <w:t>98.9</w:t>
                      </w:r>
                    </w:p>
                  </w:txbxContent>
                </v:textbox>
              </v:rect>
              <v:rect id="_x0000_s46637" style="position:absolute;left:2863;top:7815;width:1151;height:302" stroked="f"/>
              <v:rect id="_x0000_s46638" style="position:absolute;left:3683;top:7844;width:101;height:207;mso-wrap-style:none" filled="f" stroked="f">
                <v:textbox style="mso-next-textbox:#_x0000_s46638;mso-fit-shape-to-text:t" inset="0,0,0,0">
                  <w:txbxContent>
                    <w:p w:rsidR="00CB6FAE" w:rsidRDefault="00CB6FAE">
                      <w:r>
                        <w:rPr>
                          <w:rFonts w:ascii="Arial" w:hAnsi="Arial" w:cs="Arial"/>
                          <w:color w:val="000000"/>
                          <w:sz w:val="18"/>
                          <w:szCs w:val="18"/>
                        </w:rPr>
                        <w:t>1</w:t>
                      </w:r>
                    </w:p>
                  </w:txbxContent>
                </v:textbox>
              </v:rect>
              <v:rect id="_x0000_s46639" style="position:absolute;left:3985;top:7815;width:1108;height:302" stroked="f"/>
              <v:rect id="_x0000_s46640" style="position:absolute;left:4632;top:7844;width:251;height:207;mso-wrap-style:none" filled="f" stroked="f">
                <v:textbox style="mso-next-textbox:#_x0000_s46640;mso-fit-shape-to-text:t" inset="0,0,0,0">
                  <w:txbxContent>
                    <w:p w:rsidR="00CB6FAE" w:rsidRDefault="00CB6FAE">
                      <w:r>
                        <w:rPr>
                          <w:rFonts w:ascii="Arial" w:hAnsi="Arial" w:cs="Arial"/>
                          <w:color w:val="000000"/>
                          <w:sz w:val="18"/>
                          <w:szCs w:val="18"/>
                        </w:rPr>
                        <w:t>1.1</w:t>
                      </w:r>
                    </w:p>
                  </w:txbxContent>
                </v:textbox>
              </v:rect>
              <v:rect id="_x0000_s46641" style="position:absolute;left:5064;top:7815;width:1108;height:302" stroked="f"/>
              <v:rect id="_x0000_s46642" style="position:absolute;left:5711;top:7844;width:251;height:207;mso-wrap-style:none" filled="f" stroked="f">
                <v:textbox style="mso-next-textbox:#_x0000_s46642;mso-fit-shape-to-text:t" inset="0,0,0,0">
                  <w:txbxContent>
                    <w:p w:rsidR="00CB6FAE" w:rsidRDefault="00CB6FAE">
                      <w:r>
                        <w:rPr>
                          <w:rFonts w:ascii="Arial" w:hAnsi="Arial" w:cs="Arial"/>
                          <w:color w:val="000000"/>
                          <w:sz w:val="18"/>
                          <w:szCs w:val="18"/>
                        </w:rPr>
                        <w:t>1.1</w:t>
                      </w:r>
                    </w:p>
                  </w:txbxContent>
                </v:textbox>
              </v:rect>
            </v:group>
            <v:rect id="_x0000_s46644" style="position:absolute;left:6143;top:7815;width:1137;height:302" stroked="f"/>
            <v:rect id="_x0000_s46645" style="position:absolute;left:6647;top:7844;width:451;height:207;mso-wrap-style:none" filled="f" stroked="f">
              <v:textbox style="mso-next-textbox:#_x0000_s46645;mso-fit-shape-to-text:t" inset="0,0,0,0">
                <w:txbxContent>
                  <w:p w:rsidR="00CB6FAE" w:rsidRDefault="00CB6FAE">
                    <w:r>
                      <w:rPr>
                        <w:rFonts w:ascii="Arial" w:hAnsi="Arial" w:cs="Arial"/>
                        <w:color w:val="000000"/>
                        <w:sz w:val="18"/>
                        <w:szCs w:val="18"/>
                      </w:rPr>
                      <w:t>100.0</w:t>
                    </w:r>
                  </w:p>
                </w:txbxContent>
              </v:textbox>
            </v:rect>
            <v:rect id="_x0000_s46646" style="position:absolute;left:2863;top:8088;width:1151;height:302" stroked="f"/>
            <v:rect id="_x0000_s46647" style="position:absolute;left:3596;top:8117;width:201;height:207;mso-wrap-style:none" filled="f" stroked="f">
              <v:textbox style="mso-next-textbox:#_x0000_s46647;mso-fit-shape-to-text:t" inset="0,0,0,0">
                <w:txbxContent>
                  <w:p w:rsidR="00CB6FAE" w:rsidRDefault="00CB6FAE">
                    <w:r>
                      <w:rPr>
                        <w:rFonts w:ascii="Arial" w:hAnsi="Arial" w:cs="Arial"/>
                        <w:color w:val="000000"/>
                        <w:sz w:val="18"/>
                        <w:szCs w:val="18"/>
                      </w:rPr>
                      <w:t>90</w:t>
                    </w:r>
                  </w:p>
                </w:txbxContent>
              </v:textbox>
            </v:rect>
            <v:rect id="_x0000_s46648" style="position:absolute;left:3985;top:8088;width:1108;height:302" stroked="f"/>
            <v:rect id="_x0000_s46649" style="position:absolute;left:4460;top:8117;width:451;height:207;mso-wrap-style:none" filled="f" stroked="f">
              <v:textbox style="mso-next-textbox:#_x0000_s46649;mso-fit-shape-to-text:t" inset="0,0,0,0">
                <w:txbxContent>
                  <w:p w:rsidR="00CB6FAE" w:rsidRDefault="00CB6FAE">
                    <w:r>
                      <w:rPr>
                        <w:rFonts w:ascii="Arial" w:hAnsi="Arial" w:cs="Arial"/>
                        <w:color w:val="000000"/>
                        <w:sz w:val="18"/>
                        <w:szCs w:val="18"/>
                      </w:rPr>
                      <w:t>100.0</w:t>
                    </w:r>
                  </w:p>
                </w:txbxContent>
              </v:textbox>
            </v:rect>
            <v:rect id="_x0000_s46650" style="position:absolute;left:5064;top:8088;width:1108;height:302" stroked="f"/>
            <v:rect id="_x0000_s46651" style="position:absolute;left:5539;top:8117;width:451;height:207;mso-wrap-style:none" filled="f" stroked="f">
              <v:textbox style="mso-next-textbox:#_x0000_s46651;mso-fit-shape-to-text:t" inset="0,0,0,0">
                <w:txbxContent>
                  <w:p w:rsidR="00CB6FAE" w:rsidRDefault="00CB6FAE">
                    <w:r>
                      <w:rPr>
                        <w:rFonts w:ascii="Arial" w:hAnsi="Arial" w:cs="Arial"/>
                        <w:color w:val="000000"/>
                        <w:sz w:val="18"/>
                        <w:szCs w:val="18"/>
                      </w:rPr>
                      <w:t>100.0</w:t>
                    </w:r>
                  </w:p>
                </w:txbxContent>
              </v:textbox>
            </v:rect>
            <v:rect id="_x0000_s46652" style="position:absolute;left:6143;top:8088;width:1137;height:302" stroked="f"/>
            <v:rect id="_x0000_s46653" style="position:absolute;left:144;top:518;width:2748;height:533" stroked="f"/>
            <v:rect id="_x0000_s46654" style="position:absolute;left:660;top:1051;width:2029;height:302" stroked="f"/>
            <v:rect id="_x0000_s46655" style="position:absolute;left:978;top:1036;width:861;height:207;mso-wrap-style:none" filled="f" stroked="f">
              <v:textbox style="mso-next-textbox:#_x0000_s46655;mso-fit-shape-to-text:t" inset="0,0,0,0">
                <w:txbxContent>
                  <w:p w:rsidR="00CB6FAE" w:rsidRDefault="00CB6FAE">
                    <w:r>
                      <w:rPr>
                        <w:rFonts w:ascii="Arial" w:hAnsi="Arial" w:cs="Arial"/>
                        <w:color w:val="000000"/>
                        <w:sz w:val="18"/>
                        <w:szCs w:val="18"/>
                      </w:rPr>
                      <w:t>Agriculture</w:t>
                    </w:r>
                  </w:p>
                </w:txbxContent>
              </v:textbox>
            </v:rect>
            <v:rect id="_x0000_s46656" style="position:absolute;left:863;top:1295;width:2029;height:303" stroked="f"/>
            <v:rect id="_x0000_s46657" style="position:absolute;left:978;top:1310;width:1661;height:207;mso-wrap-style:none" filled="f" stroked="f">
              <v:textbox style="mso-next-textbox:#_x0000_s46657;mso-fit-shape-to-text:t" inset="0,0,0,0">
                <w:txbxContent>
                  <w:p w:rsidR="00CB6FAE" w:rsidRDefault="00CB6FAE">
                    <w:r>
                      <w:rPr>
                        <w:rFonts w:ascii="Arial" w:hAnsi="Arial" w:cs="Arial"/>
                        <w:color w:val="000000"/>
                        <w:sz w:val="18"/>
                        <w:szCs w:val="18"/>
                      </w:rPr>
                      <w:t>Automobile and Tyre</w:t>
                    </w:r>
                  </w:p>
                </w:txbxContent>
              </v:textbox>
            </v:rect>
            <v:rect id="_x0000_s46658" style="position:absolute;left:892;top:1555;width:2029;height:302" stroked="f"/>
            <v:rect id="_x0000_s46659" style="position:absolute;left:978;top:1583;width:641;height:207;mso-wrap-style:none" filled="f" stroked="f">
              <v:textbox style="mso-next-textbox:#_x0000_s46659;mso-fit-shape-to-text:t" inset="0,0,0,0">
                <w:txbxContent>
                  <w:p w:rsidR="00CB6FAE" w:rsidRDefault="00CB6FAE">
                    <w:r>
                      <w:rPr>
                        <w:rFonts w:ascii="Arial" w:hAnsi="Arial" w:cs="Arial"/>
                        <w:color w:val="000000"/>
                        <w:sz w:val="18"/>
                        <w:szCs w:val="18"/>
                      </w:rPr>
                      <w:t>Aviation</w:t>
                    </w:r>
                  </w:p>
                </w:txbxContent>
              </v:textbox>
            </v:rect>
            <v:rect id="_x0000_s46660" style="position:absolute;left:863;top:1842;width:2029;height:302" stroked="f"/>
            <v:rect id="_x0000_s46661" style="position:absolute;left:978;top:1857;width:651;height:207;mso-wrap-style:none" filled="f" stroked="f">
              <v:textbox style="mso-next-textbox:#_x0000_s46661;mso-fit-shape-to-text:t" inset="0,0,0,0">
                <w:txbxContent>
                  <w:p w:rsidR="00CB6FAE" w:rsidRDefault="00CB6FAE">
                    <w:r>
                      <w:rPr>
                        <w:rFonts w:ascii="Arial" w:hAnsi="Arial" w:cs="Arial"/>
                        <w:color w:val="000000"/>
                        <w:sz w:val="18"/>
                        <w:szCs w:val="18"/>
                      </w:rPr>
                      <w:t>Banking</w:t>
                    </w:r>
                  </w:p>
                </w:txbxContent>
              </v:textbox>
            </v:rect>
            <v:rect id="_x0000_s46662" style="position:absolute;left:863;top:2116;width:2029;height:302" stroked="f"/>
            <v:rect id="_x0000_s46663" style="position:absolute;left:978;top:2130;width:801;height:207;mso-wrap-style:none" filled="f" stroked="f">
              <v:textbox style="mso-next-textbox:#_x0000_s46663;mso-fit-shape-to-text:t" inset="0,0,0,0">
                <w:txbxContent>
                  <w:p w:rsidR="00CB6FAE" w:rsidRDefault="00CB6FAE">
                    <w:r>
                      <w:rPr>
                        <w:rFonts w:ascii="Arial" w:hAnsi="Arial" w:cs="Arial"/>
                        <w:color w:val="000000"/>
                        <w:sz w:val="18"/>
                        <w:szCs w:val="18"/>
                      </w:rPr>
                      <w:t>Breweries</w:t>
                    </w:r>
                  </w:p>
                </w:txbxContent>
              </v:textbox>
            </v:rect>
            <v:rect id="_x0000_s46664" style="position:absolute;left:863;top:2389;width:2029;height:302" stroked="f"/>
            <v:rect id="_x0000_s46665" style="position:absolute;left:978;top:2403;width:1421;height:207;mso-wrap-style:none" filled="f" stroked="f">
              <v:textbox style="mso-next-textbox:#_x0000_s46665;mso-fit-shape-to-text:t" inset="0,0,0,0">
                <w:txbxContent>
                  <w:p w:rsidR="00CB6FAE" w:rsidRDefault="00CB6FAE">
                    <w:r>
                      <w:rPr>
                        <w:rFonts w:ascii="Arial" w:hAnsi="Arial" w:cs="Arial"/>
                        <w:color w:val="000000"/>
                        <w:sz w:val="18"/>
                        <w:szCs w:val="18"/>
                      </w:rPr>
                      <w:t>Building Materials</w:t>
                    </w:r>
                  </w:p>
                </w:txbxContent>
              </v:textbox>
            </v:rect>
            <v:rect id="_x0000_s46666" style="position:absolute;left:863;top:2663;width:2029;height:302" stroked="f"/>
            <v:rect id="_x0000_s46667" style="position:absolute;left:978;top:2677;width:1651;height:207;mso-wrap-style:none" filled="f" stroked="f">
              <v:textbox style="mso-next-textbox:#_x0000_s46667;mso-fit-shape-to-text:t" inset="0,0,0,0">
                <w:txbxContent>
                  <w:p w:rsidR="00CB6FAE" w:rsidRDefault="00CB6FAE">
                    <w:r>
                      <w:rPr>
                        <w:rFonts w:ascii="Arial" w:hAnsi="Arial" w:cs="Arial"/>
                        <w:color w:val="000000"/>
                        <w:sz w:val="18"/>
                        <w:szCs w:val="18"/>
                      </w:rPr>
                      <w:t>Chemical and Paints</w:t>
                    </w:r>
                  </w:p>
                </w:txbxContent>
              </v:textbox>
            </v:rect>
            <v:rect id="_x0000_s46668" style="position:absolute;left:863;top:2936;width:2029;height:302" stroked="f"/>
            <v:rect id="_x0000_s46669" style="position:absolute;left:978;top:2950;width:961;height:207;mso-wrap-style:none" filled="f" stroked="f">
              <v:textbox style="mso-next-textbox:#_x0000_s46669;mso-fit-shape-to-text:t" inset="0,0,0,0">
                <w:txbxContent>
                  <w:p w:rsidR="00CB6FAE" w:rsidRDefault="00CB6FAE">
                    <w:r>
                      <w:rPr>
                        <w:rFonts w:ascii="Arial" w:hAnsi="Arial" w:cs="Arial"/>
                        <w:color w:val="000000"/>
                        <w:sz w:val="18"/>
                        <w:szCs w:val="18"/>
                      </w:rPr>
                      <w:t>Commercial</w:t>
                    </w:r>
                  </w:p>
                </w:txbxContent>
              </v:textbox>
            </v:rect>
            <v:rect id="_x0000_s46670" style="position:absolute;left:863;top:3209;width:2029;height:303" stroked="f"/>
            <v:rect id="_x0000_s46671" style="position:absolute;left:978;top:3224;width:791;height:207;mso-wrap-style:none" filled="f" stroked="f">
              <v:textbox style="mso-next-textbox:#_x0000_s46671;mso-fit-shape-to-text:t" inset="0,0,0,0">
                <w:txbxContent>
                  <w:p w:rsidR="00CB6FAE" w:rsidRDefault="00CB6FAE">
                    <w:r>
                      <w:rPr>
                        <w:rFonts w:ascii="Arial" w:hAnsi="Arial" w:cs="Arial"/>
                        <w:color w:val="000000"/>
                        <w:sz w:val="18"/>
                        <w:szCs w:val="18"/>
                      </w:rPr>
                      <w:t>Computer</w:t>
                    </w:r>
                  </w:p>
                </w:txbxContent>
              </v:textbox>
            </v:rect>
            <v:rect id="_x0000_s46672" style="position:absolute;left:863;top:3483;width:2029;height:302" stroked="f"/>
            <v:rect id="_x0000_s46673" style="position:absolute;left:978;top:3497;width:1131;height:207;mso-wrap-style:none" filled="f" stroked="f">
              <v:textbox style="mso-next-textbox:#_x0000_s46673;mso-fit-shape-to-text:t" inset="0,0,0,0">
                <w:txbxContent>
                  <w:p w:rsidR="00CB6FAE" w:rsidRDefault="00CB6FAE">
                    <w:r>
                      <w:rPr>
                        <w:rFonts w:ascii="Arial" w:hAnsi="Arial" w:cs="Arial"/>
                        <w:color w:val="000000"/>
                        <w:sz w:val="18"/>
                        <w:szCs w:val="18"/>
                      </w:rPr>
                      <w:t>Conglomerate</w:t>
                    </w:r>
                  </w:p>
                </w:txbxContent>
              </v:textbox>
            </v:rect>
            <v:rect id="_x0000_s46674" style="position:absolute;left:863;top:3756;width:2029;height:303" stroked="f"/>
            <v:rect id="_x0000_s46675" style="position:absolute;left:978;top:3771;width:1011;height:207;mso-wrap-style:none" filled="f" stroked="f">
              <v:textbox style="mso-next-textbox:#_x0000_s46675;mso-fit-shape-to-text:t" inset="0,0,0,0">
                <w:txbxContent>
                  <w:p w:rsidR="00CB6FAE" w:rsidRDefault="00CB6FAE">
                    <w:r>
                      <w:rPr>
                        <w:rFonts w:ascii="Arial" w:hAnsi="Arial" w:cs="Arial"/>
                        <w:color w:val="000000"/>
                        <w:sz w:val="18"/>
                        <w:szCs w:val="18"/>
                      </w:rPr>
                      <w:t>Construction</w:t>
                    </w:r>
                  </w:p>
                </w:txbxContent>
              </v:textbox>
            </v:rect>
            <v:rect id="_x0000_s46676" style="position:absolute;left:863;top:4030;width:2029;height:302" stroked="f"/>
            <v:rect id="_x0000_s46677" style="position:absolute;left:978;top:4044;width:961;height:207;mso-wrap-style:none" filled="f" stroked="f">
              <v:textbox style="mso-next-textbox:#_x0000_s46677;mso-fit-shape-to-text:t" inset="0,0,0,0">
                <w:txbxContent>
                  <w:p w:rsidR="00CB6FAE" w:rsidRDefault="00CB6FAE">
                    <w:r>
                      <w:rPr>
                        <w:rFonts w:ascii="Arial" w:hAnsi="Arial" w:cs="Arial"/>
                        <w:color w:val="000000"/>
                        <w:sz w:val="18"/>
                        <w:szCs w:val="18"/>
                      </w:rPr>
                      <w:t>Engineering</w:t>
                    </w:r>
                  </w:p>
                </w:txbxContent>
              </v:textbox>
            </v:rect>
            <v:rect id="_x0000_s46678" style="position:absolute;left:863;top:4303;width:2029;height:302" stroked="f"/>
            <v:rect id="_x0000_s46679" style="position:absolute;left:978;top:4318;width:411;height:207;mso-wrap-style:none" filled="f" stroked="f">
              <v:textbox style="mso-next-textbox:#_x0000_s46679;mso-fit-shape-to-text:t" inset="0,0,0,0">
                <w:txbxContent>
                  <w:p w:rsidR="00CB6FAE" w:rsidRDefault="00CB6FAE">
                    <w:r>
                      <w:rPr>
                        <w:rFonts w:ascii="Arial" w:hAnsi="Arial" w:cs="Arial"/>
                        <w:color w:val="000000"/>
                        <w:sz w:val="18"/>
                        <w:szCs w:val="18"/>
                      </w:rPr>
                      <w:t>Food</w:t>
                    </w:r>
                  </w:p>
                </w:txbxContent>
              </v:textbox>
            </v:rect>
            <v:rect id="_x0000_s46680" style="position:absolute;left:863;top:4577;width:2029;height:302" stroked="f"/>
            <v:rect id="_x0000_s46681" style="position:absolute;left:978;top:4591;width:911;height:207;mso-wrap-style:none" filled="f" stroked="f">
              <v:textbox style="mso-next-textbox:#_x0000_s46681;mso-fit-shape-to-text:t" inset="0,0,0,0">
                <w:txbxContent>
                  <w:p w:rsidR="00CB6FAE" w:rsidRDefault="00CB6FAE">
                    <w:r>
                      <w:rPr>
                        <w:rFonts w:ascii="Arial" w:hAnsi="Arial" w:cs="Arial"/>
                        <w:color w:val="000000"/>
                        <w:sz w:val="18"/>
                        <w:szCs w:val="18"/>
                      </w:rPr>
                      <w:t>HealthCare</w:t>
                    </w:r>
                  </w:p>
                </w:txbxContent>
              </v:textbox>
            </v:rect>
            <v:rect id="_x0000_s46682" style="position:absolute;left:863;top:4850;width:2029;height:302" stroked="f"/>
            <v:rect id="_x0000_s46683" style="position:absolute;left:978;top:4864;width:421;height:207;mso-wrap-style:none" filled="f" stroked="f">
              <v:textbox style="mso-next-textbox:#_x0000_s46683;mso-fit-shape-to-text:t" inset="0,0,0,0">
                <w:txbxContent>
                  <w:p w:rsidR="00CB6FAE" w:rsidRDefault="00CB6FAE">
                    <w:r>
                      <w:rPr>
                        <w:rFonts w:ascii="Arial" w:hAnsi="Arial" w:cs="Arial"/>
                        <w:color w:val="000000"/>
                        <w:sz w:val="18"/>
                        <w:szCs w:val="18"/>
                      </w:rPr>
                      <w:t>Hotel</w:t>
                    </w:r>
                  </w:p>
                </w:txbxContent>
              </v:textbox>
            </v:rect>
            <v:rect id="_x0000_s46684" style="position:absolute;left:863;top:5124;width:2029;height:532" stroked="f"/>
            <v:rect id="_x0000_s46685" style="position:absolute;left:978;top:5138;width:1481;height:207;mso-wrap-style:none" filled="f" stroked="f">
              <v:textbox style="mso-next-textbox:#_x0000_s46685;mso-fit-shape-to-text:t" inset="0,0,0,0">
                <w:txbxContent>
                  <w:p w:rsidR="00CB6FAE" w:rsidRDefault="00CB6FAE">
                    <w:r>
                      <w:rPr>
                        <w:rFonts w:ascii="Arial" w:hAnsi="Arial" w:cs="Arial"/>
                        <w:color w:val="000000"/>
                        <w:sz w:val="18"/>
                        <w:szCs w:val="18"/>
                      </w:rPr>
                      <w:t>Indusrial/Domestic</w:t>
                    </w:r>
                  </w:p>
                </w:txbxContent>
              </v:textbox>
            </v:rect>
            <v:rect id="_x0000_s46686" style="position:absolute;left:978;top:5368;width:711;height:207;mso-wrap-style:none" filled="f" stroked="f">
              <v:textbox style="mso-next-textbox:#_x0000_s46686;mso-fit-shape-to-text:t" inset="0,0,0,0">
                <w:txbxContent>
                  <w:p w:rsidR="00CB6FAE" w:rsidRDefault="00CB6FAE">
                    <w:r>
                      <w:rPr>
                        <w:rFonts w:ascii="Arial" w:hAnsi="Arial" w:cs="Arial"/>
                        <w:color w:val="000000"/>
                        <w:sz w:val="18"/>
                        <w:szCs w:val="18"/>
                      </w:rPr>
                      <w:t>Products</w:t>
                    </w:r>
                  </w:p>
                </w:txbxContent>
              </v:textbox>
            </v:rect>
            <v:rect id="_x0000_s46687" style="position:absolute;left:863;top:5627;width:2029;height:302" stroked="f"/>
            <v:rect id="_x0000_s46688" style="position:absolute;left:978;top:5642;width:791;height:207;mso-wrap-style:none" filled="f" stroked="f">
              <v:textbox style="mso-next-textbox:#_x0000_s46688;mso-fit-shape-to-text:t" inset="0,0,0,0">
                <w:txbxContent>
                  <w:p w:rsidR="00CB6FAE" w:rsidRDefault="00CB6FAE">
                    <w:r>
                      <w:rPr>
                        <w:rFonts w:ascii="Arial" w:hAnsi="Arial" w:cs="Arial"/>
                        <w:color w:val="000000"/>
                        <w:sz w:val="18"/>
                        <w:szCs w:val="18"/>
                      </w:rPr>
                      <w:t>Insurance</w:t>
                    </w:r>
                  </w:p>
                </w:txbxContent>
              </v:textbox>
            </v:rect>
            <v:rect id="_x0000_s46689" style="position:absolute;left:863;top:5901;width:2029;height:302" stroked="f"/>
            <v:rect id="_x0000_s46690" style="position:absolute;left:978;top:5915;width:691;height:207;mso-wrap-style:none" filled="f" stroked="f">
              <v:textbox style="mso-next-textbox:#_x0000_s46690;mso-fit-shape-to-text:t" inset="0,0,0,0">
                <w:txbxContent>
                  <w:p w:rsidR="00CB6FAE" w:rsidRDefault="00CB6FAE">
                    <w:r>
                      <w:rPr>
                        <w:rFonts w:ascii="Arial" w:hAnsi="Arial" w:cs="Arial"/>
                        <w:color w:val="000000"/>
                        <w:sz w:val="18"/>
                        <w:szCs w:val="18"/>
                      </w:rPr>
                      <w:t>Maritime</w:t>
                    </w:r>
                  </w:p>
                </w:txbxContent>
              </v:textbox>
            </v:rect>
            <v:rect id="_x0000_s46691" style="position:absolute;left:863;top:6174;width:2029;height:302" stroked="f"/>
            <v:rect id="_x0000_s46692" style="position:absolute;left:978;top:6189;width:761;height:207;mso-wrap-style:none" filled="f" stroked="f">
              <v:textbox style="mso-next-textbox:#_x0000_s46692;mso-fit-shape-to-text:t" inset="0,0,0,0">
                <w:txbxContent>
                  <w:p w:rsidR="00CB6FAE" w:rsidRDefault="00CB6FAE">
                    <w:r>
                      <w:rPr>
                        <w:rFonts w:ascii="Arial" w:hAnsi="Arial" w:cs="Arial"/>
                        <w:color w:val="000000"/>
                        <w:sz w:val="18"/>
                        <w:szCs w:val="18"/>
                      </w:rPr>
                      <w:t>Mortgage</w:t>
                    </w:r>
                  </w:p>
                </w:txbxContent>
              </v:textbox>
            </v:rect>
            <v:rect id="_x0000_s46693" style="position:absolute;left:863;top:6448;width:2029;height:302" stroked="f"/>
            <v:rect id="_x0000_s46694" style="position:absolute;left:978;top:6462;width:841;height:207;mso-wrap-style:none" filled="f" stroked="f">
              <v:textbox style="mso-next-textbox:#_x0000_s46694;mso-fit-shape-to-text:t" inset="0,0,0,0">
                <w:txbxContent>
                  <w:p w:rsidR="00CB6FAE" w:rsidRDefault="00CB6FAE">
                    <w:r>
                      <w:rPr>
                        <w:rFonts w:ascii="Arial" w:hAnsi="Arial" w:cs="Arial"/>
                        <w:color w:val="000000"/>
                        <w:sz w:val="18"/>
                        <w:szCs w:val="18"/>
                      </w:rPr>
                      <w:t>Packaging</w:t>
                    </w:r>
                  </w:p>
                </w:txbxContent>
              </v:textbox>
            </v:rect>
            <v:rect id="_x0000_s46695" style="position:absolute;left:863;top:6721;width:2029;height:302" stroked="f"/>
            <v:rect id="_x0000_s46696" style="position:absolute;left:978;top:6735;width:821;height:207;mso-wrap-style:none" filled="f" stroked="f">
              <v:textbox style="mso-next-textbox:#_x0000_s46696;mso-fit-shape-to-text:t" inset="0,0,0,0">
                <w:txbxContent>
                  <w:p w:rsidR="00CB6FAE" w:rsidRDefault="00CB6FAE">
                    <w:r>
                      <w:rPr>
                        <w:rFonts w:ascii="Arial" w:hAnsi="Arial" w:cs="Arial"/>
                        <w:color w:val="000000"/>
                        <w:sz w:val="18"/>
                        <w:szCs w:val="18"/>
                      </w:rPr>
                      <w:t>Petroleum</w:t>
                    </w:r>
                  </w:p>
                </w:txbxContent>
              </v:textbox>
            </v:rect>
            <v:rect id="_x0000_s46697" style="position:absolute;left:863;top:6994;width:2029;height:303" stroked="f"/>
            <v:rect id="_x0000_s46698" style="position:absolute;left:978;top:7009;width:611;height:207;mso-wrap-style:none" filled="f" stroked="f">
              <v:textbox style="mso-next-textbox:#_x0000_s46698;mso-fit-shape-to-text:t" inset="0,0,0,0">
                <w:txbxContent>
                  <w:p w:rsidR="00CB6FAE" w:rsidRDefault="00CB6FAE">
                    <w:r>
                      <w:rPr>
                        <w:rFonts w:ascii="Arial" w:hAnsi="Arial" w:cs="Arial"/>
                        <w:color w:val="000000"/>
                        <w:sz w:val="18"/>
                        <w:szCs w:val="18"/>
                      </w:rPr>
                      <w:t>Printing</w:t>
                    </w:r>
                  </w:p>
                </w:txbxContent>
              </v:textbox>
            </v:rect>
            <v:rect id="_x0000_s46699" style="position:absolute;left:863;top:7268;width:2029;height:302" stroked="f"/>
            <v:rect id="_x0000_s46700" style="position:absolute;left:978;top:7282;width:931;height:207;mso-wrap-style:none" filled="f" stroked="f">
              <v:textbox style="mso-next-textbox:#_x0000_s46700;mso-fit-shape-to-text:t" inset="0,0,0,0">
                <w:txbxContent>
                  <w:p w:rsidR="00CB6FAE" w:rsidRDefault="00CB6FAE">
                    <w:r>
                      <w:rPr>
                        <w:rFonts w:ascii="Arial" w:hAnsi="Arial" w:cs="Arial"/>
                        <w:color w:val="000000"/>
                        <w:sz w:val="18"/>
                        <w:szCs w:val="18"/>
                      </w:rPr>
                      <w:t>Real Estate</w:t>
                    </w:r>
                  </w:p>
                </w:txbxContent>
              </v:textbox>
            </v:rect>
            <v:rect id="_x0000_s46701" style="position:absolute;left:863;top:7541;width:2029;height:303" stroked="f"/>
            <v:rect id="_x0000_s46702" style="position:absolute;left:978;top:7556;width:531;height:207;mso-wrap-style:none" filled="f" stroked="f">
              <v:textbox style="mso-next-textbox:#_x0000_s46702;mso-fit-shape-to-text:t" inset="0,0,0,0">
                <w:txbxContent>
                  <w:p w:rsidR="00CB6FAE" w:rsidRDefault="00CB6FAE">
                    <w:r>
                      <w:rPr>
                        <w:rFonts w:ascii="Arial" w:hAnsi="Arial" w:cs="Arial"/>
                        <w:color w:val="000000"/>
                        <w:sz w:val="18"/>
                        <w:szCs w:val="18"/>
                      </w:rPr>
                      <w:t>Textile</w:t>
                    </w:r>
                  </w:p>
                </w:txbxContent>
              </v:textbox>
            </v:rect>
            <v:rect id="_x0000_s46703" style="position:absolute;left:863;top:7815;width:2029;height:302" stroked="f"/>
            <v:rect id="_x0000_s46704" style="position:absolute;left:978;top:7829;width:611;height:207;mso-wrap-style:none" filled="f" stroked="f">
              <v:textbox style="mso-next-textbox:#_x0000_s46704;mso-fit-shape-to-text:t" inset="0,0,0,0">
                <w:txbxContent>
                  <w:p w:rsidR="00CB6FAE" w:rsidRDefault="00CB6FAE">
                    <w:r>
                      <w:rPr>
                        <w:rFonts w:ascii="Arial" w:hAnsi="Arial" w:cs="Arial"/>
                        <w:color w:val="000000"/>
                        <w:sz w:val="18"/>
                        <w:szCs w:val="18"/>
                      </w:rPr>
                      <w:t>Foreign</w:t>
                    </w:r>
                  </w:p>
                </w:txbxContent>
              </v:textbox>
            </v:rect>
            <v:rect id="_x0000_s46705" style="position:absolute;left:863;top:8088;width:2029;height:302" stroked="f"/>
            <v:rect id="_x0000_s46706" style="position:absolute;left:978;top:8103;width:401;height:207;mso-wrap-style:none" filled="f" stroked="f">
              <v:textbox style="mso-next-textbox:#_x0000_s46706;mso-fit-shape-to-text:t" inset="0,0,0,0">
                <w:txbxContent>
                  <w:p w:rsidR="00CB6FAE" w:rsidRDefault="00CB6FAE">
                    <w:r>
                      <w:rPr>
                        <w:rFonts w:ascii="Arial" w:hAnsi="Arial" w:cs="Arial"/>
                        <w:color w:val="000000"/>
                        <w:sz w:val="18"/>
                        <w:szCs w:val="18"/>
                      </w:rPr>
                      <w:t>Total</w:t>
                    </w:r>
                  </w:p>
                </w:txbxContent>
              </v:textbox>
            </v:rect>
            <v:rect id="_x0000_s46707" style="position:absolute;left:144;top:1022;width:748;height:7368" stroked="f"/>
            <v:rect id="_x0000_s46708" style="position:absolute;left:259;top:1036;width:401;height:207;mso-wrap-style:none" filled="f" stroked="f">
              <v:textbox style="mso-next-textbox:#_x0000_s46708;mso-fit-shape-to-text:t" inset="0,0,0,0">
                <w:txbxContent>
                  <w:p w:rsidR="00CB6FAE" w:rsidRDefault="00CB6FAE">
                    <w:r>
                      <w:rPr>
                        <w:rFonts w:ascii="Arial" w:hAnsi="Arial" w:cs="Arial"/>
                        <w:color w:val="000000"/>
                        <w:sz w:val="18"/>
                        <w:szCs w:val="18"/>
                      </w:rPr>
                      <w:t>Valid</w:t>
                    </w:r>
                  </w:p>
                </w:txbxContent>
              </v:textbox>
            </v:rect>
            <v:rect id="_x0000_s46709" style="position:absolute;left:2863;top:518;width:1151;height:533" stroked="f"/>
            <v:rect id="_x0000_s46710" style="position:absolute;left:3000;top:792;width:1091;height:207;mso-wrap-style:none" filled="f" stroked="f">
              <v:textbox style="mso-next-textbox:#_x0000_s46710;mso-fit-shape-to-text:t" inset="0,0,0,0">
                <w:txbxContent>
                  <w:p w:rsidR="00CB6FAE" w:rsidRDefault="00CB6FAE">
                    <w:r>
                      <w:rPr>
                        <w:rFonts w:ascii="Arial" w:hAnsi="Arial" w:cs="Arial"/>
                        <w:color w:val="000000"/>
                        <w:sz w:val="18"/>
                        <w:szCs w:val="18"/>
                      </w:rPr>
                      <w:t>No of Sample</w:t>
                    </w:r>
                  </w:p>
                </w:txbxContent>
              </v:textbox>
            </v:rect>
            <v:rect id="_x0000_s46711" style="position:absolute;left:3951;top:534;width:1108;height:533" stroked="f"/>
            <v:rect id="_x0000_s46712" style="position:absolute;left:4201;top:792;width:621;height:207;mso-wrap-style:none" filled="f" stroked="f">
              <v:textbox style="mso-next-textbox:#_x0000_s46712;mso-fit-shape-to-text:t" inset="0,0,0,0">
                <w:txbxContent>
                  <w:p w:rsidR="00CB6FAE" w:rsidRDefault="00CB6FAE">
                    <w:r>
                      <w:rPr>
                        <w:rFonts w:ascii="Arial" w:hAnsi="Arial" w:cs="Arial"/>
                        <w:color w:val="000000"/>
                        <w:sz w:val="18"/>
                        <w:szCs w:val="18"/>
                      </w:rPr>
                      <w:t>Percent</w:t>
                    </w:r>
                  </w:p>
                </w:txbxContent>
              </v:textbox>
            </v:rect>
            <v:rect id="_x0000_s46713" style="position:absolute;left:5064;top:518;width:1108;height:533" stroked="f"/>
            <v:rect id="_x0000_s46714" style="position:absolute;left:5374;top:562;width:401;height:207;mso-wrap-style:none" filled="f" stroked="f">
              <v:textbox style="mso-next-textbox:#_x0000_s46714;mso-fit-shape-to-text:t" inset="0,0,0,0">
                <w:txbxContent>
                  <w:p w:rsidR="00CB6FAE" w:rsidRDefault="00CB6FAE">
                    <w:r>
                      <w:rPr>
                        <w:rFonts w:ascii="Arial" w:hAnsi="Arial" w:cs="Arial"/>
                        <w:color w:val="000000"/>
                        <w:sz w:val="18"/>
                        <w:szCs w:val="18"/>
                      </w:rPr>
                      <w:t>Valid</w:t>
                    </w:r>
                  </w:p>
                </w:txbxContent>
              </v:textbox>
            </v:rect>
            <v:rect id="_x0000_s46715" style="position:absolute;left:5280;top:792;width:621;height:207;mso-wrap-style:none" filled="f" stroked="f">
              <v:textbox style="mso-next-textbox:#_x0000_s46715;mso-fit-shape-to-text:t" inset="0,0,0,0">
                <w:txbxContent>
                  <w:p w:rsidR="00CB6FAE" w:rsidRDefault="00CB6FAE">
                    <w:r>
                      <w:rPr>
                        <w:rFonts w:ascii="Arial" w:hAnsi="Arial" w:cs="Arial"/>
                        <w:color w:val="000000"/>
                        <w:sz w:val="18"/>
                        <w:szCs w:val="18"/>
                      </w:rPr>
                      <w:t>Percent</w:t>
                    </w:r>
                  </w:p>
                </w:txbxContent>
              </v:textbox>
            </v:rect>
            <v:rect id="_x0000_s46716" style="position:absolute;left:6143;top:518;width:1137;height:533" stroked="f"/>
            <v:rect id="_x0000_s46717" style="position:absolute;left:6309;top:562;width:801;height:207;mso-wrap-style:none" filled="f" stroked="f">
              <v:textbox style="mso-next-textbox:#_x0000_s46717;mso-fit-shape-to-text:t" inset="0,0,0,0">
                <w:txbxContent>
                  <w:p w:rsidR="00CB6FAE" w:rsidRDefault="00CB6FAE">
                    <w:r>
                      <w:rPr>
                        <w:rFonts w:ascii="Arial" w:hAnsi="Arial" w:cs="Arial"/>
                        <w:color w:val="000000"/>
                        <w:sz w:val="18"/>
                        <w:szCs w:val="18"/>
                      </w:rPr>
                      <w:t>Cumulativ</w:t>
                    </w:r>
                  </w:p>
                </w:txbxContent>
              </v:textbox>
            </v:rect>
            <v:rect id="_x0000_s46718" style="position:absolute;left:6309;top:792;width:771;height:207;mso-wrap-style:none" filled="f" stroked="f">
              <v:textbox style="mso-next-textbox:#_x0000_s46718;mso-fit-shape-to-text:t" inset="0,0,0,0">
                <w:txbxContent>
                  <w:p w:rsidR="00CB6FAE" w:rsidRDefault="00CB6FAE">
                    <w:r>
                      <w:rPr>
                        <w:rFonts w:ascii="Arial" w:hAnsi="Arial" w:cs="Arial"/>
                        <w:color w:val="000000"/>
                        <w:sz w:val="18"/>
                        <w:szCs w:val="18"/>
                      </w:rPr>
                      <w:t>e Percent</w:t>
                    </w:r>
                  </w:p>
                </w:txbxContent>
              </v:textbox>
            </v:rect>
            <v:line id="_x0000_s46719" style="position:absolute" from="3985,518" to="3986,8362" strokeweight="39e-5mm"/>
            <v:line id="_x0000_s46720" style="position:absolute" from="5064,518" to="5065,8362" strokeweight="39e-5mm"/>
            <v:line id="_x0000_s46721" style="position:absolute" from="6143,518" to="6144,8362" strokeweight="39e-5mm"/>
            <v:rect id="_x0000_s46722" style="position:absolute;left:7093;top:504;width:14;height:7685" stroked="f"/>
            <v:rect id="_x0000_s46723" style="position:absolute;left:144;top:489;width:6963;height:44" stroked="f"/>
            <v:rect id="_x0000_s46724" style="position:absolute;width:7395;height:144" stroked="f"/>
            <v:rect id="_x0000_s46725" style="position:absolute;width:144;height:8506" stroked="f"/>
            <v:rect id="_x0000_s46726" style="position:absolute;left:7251;width:158;height:8506" stroked="f"/>
            <v:rect id="_x0000_s46727" style="position:absolute;top:8362;width:7395;height:158" stroked="f"/>
            <v:line id="_x0000_s46728" style="position:absolute" from="158,533" to="159,8347" strokeweight="81e-5mm"/>
            <v:line id="_x0000_s46729" style="position:absolute" from="7237,533" to="7238,8347" strokeweight="81e-5mm"/>
            <v:line id="_x0000_s46730" style="position:absolute" from="158,533" to="7237,534" strokeweight="81e-5mm"/>
            <v:line id="_x0000_s46731" style="position:absolute" from="158,8347" to="7237,8348" strokeweight="81e-5mm"/>
            <v:line id="_x0000_s46732" style="position:absolute" from="158,1036" to="7237,1037" strokeweight="81e-5mm"/>
            <v:line id="_x0000_s46733" style="position:absolute" from="2877,533" to="2878,8347" strokeweight="81e-5mm"/>
            <w10:wrap type="none"/>
            <w10:anchorlock/>
          </v:group>
        </w:pict>
      </w:r>
    </w:p>
    <w:p w:rsidR="00B57B07" w:rsidRPr="008573C5" w:rsidRDefault="00B57B07" w:rsidP="00B57B07">
      <w:pPr>
        <w:jc w:val="center"/>
      </w:pPr>
      <w:r w:rsidRPr="008573C5">
        <w:t xml:space="preserve">Source: </w:t>
      </w:r>
      <w:r w:rsidR="00BF4515" w:rsidRPr="008573C5">
        <w:t xml:space="preserve">Field Study </w:t>
      </w:r>
      <w:r w:rsidRPr="008573C5">
        <w:t>(2009).</w:t>
      </w:r>
    </w:p>
    <w:p w:rsidR="00FF5EDF" w:rsidRPr="008573C5" w:rsidRDefault="00FF5EDF" w:rsidP="00FF5EDF">
      <w:pPr>
        <w:autoSpaceDE w:val="0"/>
        <w:autoSpaceDN w:val="0"/>
        <w:adjustRightInd w:val="0"/>
        <w:rPr>
          <w:lang w:val="en-GB"/>
        </w:rPr>
      </w:pPr>
    </w:p>
    <w:p w:rsidR="00C90F0E" w:rsidRPr="008573C5" w:rsidRDefault="00C90F0E" w:rsidP="00B57B07">
      <w:pPr>
        <w:autoSpaceDE w:val="0"/>
        <w:autoSpaceDN w:val="0"/>
        <w:adjustRightInd w:val="0"/>
        <w:spacing w:line="360" w:lineRule="auto"/>
        <w:jc w:val="both"/>
        <w:rPr>
          <w:b/>
          <w:bCs/>
        </w:rPr>
      </w:pPr>
    </w:p>
    <w:p w:rsidR="00B57B07" w:rsidRPr="008573C5" w:rsidRDefault="00B57B07" w:rsidP="00B57B07">
      <w:pPr>
        <w:autoSpaceDE w:val="0"/>
        <w:autoSpaceDN w:val="0"/>
        <w:adjustRightInd w:val="0"/>
        <w:spacing w:line="360" w:lineRule="auto"/>
        <w:jc w:val="both"/>
        <w:rPr>
          <w:b/>
          <w:bCs/>
        </w:rPr>
      </w:pPr>
      <w:r w:rsidRPr="008573C5">
        <w:rPr>
          <w:b/>
          <w:bCs/>
        </w:rPr>
        <w:t>3.</w:t>
      </w:r>
      <w:r w:rsidR="00C90F0E" w:rsidRPr="008573C5">
        <w:rPr>
          <w:b/>
          <w:bCs/>
        </w:rPr>
        <w:t>2.3</w:t>
      </w:r>
      <w:r w:rsidRPr="008573C5">
        <w:rPr>
          <w:b/>
          <w:bCs/>
        </w:rPr>
        <w:t>.1</w:t>
      </w:r>
      <w:r w:rsidRPr="008573C5">
        <w:rPr>
          <w:b/>
          <w:bCs/>
        </w:rPr>
        <w:tab/>
        <w:t>S</w:t>
      </w:r>
      <w:r w:rsidR="00CE2EA1" w:rsidRPr="008573C5">
        <w:rPr>
          <w:b/>
          <w:bCs/>
        </w:rPr>
        <w:t>ources of Data</w:t>
      </w:r>
    </w:p>
    <w:p w:rsidR="00B57B07" w:rsidRPr="008573C5" w:rsidRDefault="00B57B07" w:rsidP="00B57B07">
      <w:pPr>
        <w:spacing w:line="360" w:lineRule="auto"/>
        <w:jc w:val="both"/>
        <w:rPr>
          <w:lang w:val="en-GB"/>
        </w:rPr>
      </w:pPr>
      <w:r w:rsidRPr="008573C5">
        <w:rPr>
          <w:lang w:val="en-GB"/>
        </w:rPr>
        <w:t>For the purpose of th</w:t>
      </w:r>
      <w:r w:rsidR="00A10A1A" w:rsidRPr="008573C5">
        <w:rPr>
          <w:lang w:val="en-GB"/>
        </w:rPr>
        <w:t>e</w:t>
      </w:r>
      <w:r w:rsidRPr="008573C5">
        <w:rPr>
          <w:lang w:val="en-GB"/>
        </w:rPr>
        <w:t xml:space="preserve"> </w:t>
      </w:r>
      <w:r w:rsidR="003441C1" w:rsidRPr="008573C5">
        <w:rPr>
          <w:lang w:val="en-GB"/>
        </w:rPr>
        <w:t xml:space="preserve">content analysis </w:t>
      </w:r>
      <w:r w:rsidR="00A10A1A" w:rsidRPr="008573C5">
        <w:rPr>
          <w:lang w:val="en-GB"/>
        </w:rPr>
        <w:t xml:space="preserve">undertaken in this </w:t>
      </w:r>
      <w:r w:rsidRPr="008573C5">
        <w:rPr>
          <w:lang w:val="en-GB"/>
        </w:rPr>
        <w:t>study</w:t>
      </w:r>
      <w:r w:rsidR="00E27A11" w:rsidRPr="008573C5">
        <w:rPr>
          <w:lang w:val="en-GB"/>
        </w:rPr>
        <w:t>,</w:t>
      </w:r>
      <w:r w:rsidR="003441C1" w:rsidRPr="008573C5">
        <w:rPr>
          <w:lang w:val="en-GB"/>
        </w:rPr>
        <w:t xml:space="preserve"> </w:t>
      </w:r>
      <w:r w:rsidRPr="008573C5">
        <w:rPr>
          <w:lang w:val="en-GB"/>
        </w:rPr>
        <w:t xml:space="preserve">secondary data </w:t>
      </w:r>
      <w:r w:rsidR="00BC139F" w:rsidRPr="008573C5">
        <w:rPr>
          <w:lang w:val="en-GB"/>
        </w:rPr>
        <w:t>i</w:t>
      </w:r>
      <w:r w:rsidR="003441C1" w:rsidRPr="008573C5">
        <w:rPr>
          <w:lang w:val="en-GB"/>
        </w:rPr>
        <w:t>s</w:t>
      </w:r>
      <w:r w:rsidRPr="008573C5">
        <w:rPr>
          <w:lang w:val="en-GB"/>
        </w:rPr>
        <w:t xml:space="preserve"> utilised. The secon</w:t>
      </w:r>
      <w:r w:rsidR="00E27A11" w:rsidRPr="008573C5">
        <w:rPr>
          <w:lang w:val="en-GB"/>
        </w:rPr>
        <w:t>dary sources of data consist of</w:t>
      </w:r>
      <w:r w:rsidRPr="008573C5">
        <w:rPr>
          <w:lang w:val="en-GB"/>
        </w:rPr>
        <w:t xml:space="preserve"> </w:t>
      </w:r>
      <w:r w:rsidR="00E27A11" w:rsidRPr="008573C5">
        <w:t xml:space="preserve">annual audited reports, </w:t>
      </w:r>
      <w:r w:rsidRPr="008573C5">
        <w:t>SASs obtained from the Nig</w:t>
      </w:r>
      <w:r w:rsidR="00E27A11" w:rsidRPr="008573C5">
        <w:t>erian Accounting Standard Board,</w:t>
      </w:r>
      <w:r w:rsidRPr="008573C5">
        <w:t xml:space="preserve"> </w:t>
      </w:r>
      <w:r w:rsidR="003441C1" w:rsidRPr="008573C5">
        <w:t>and IASs</w:t>
      </w:r>
      <w:r w:rsidR="00C46D95" w:rsidRPr="008573C5">
        <w:t xml:space="preserve"> </w:t>
      </w:r>
      <w:r w:rsidR="003441C1" w:rsidRPr="008573C5">
        <w:t xml:space="preserve">/ </w:t>
      </w:r>
      <w:r w:rsidRPr="008573C5">
        <w:t>IFRSs issued by the International Accounting Standard Board (IASB)</w:t>
      </w:r>
      <w:r w:rsidR="003441C1" w:rsidRPr="008573C5">
        <w:t>.</w:t>
      </w:r>
      <w:r w:rsidR="003441C1" w:rsidRPr="008573C5">
        <w:rPr>
          <w:lang w:val="en-GB"/>
        </w:rPr>
        <w:t xml:space="preserve"> </w:t>
      </w:r>
    </w:p>
    <w:p w:rsidR="003441C1" w:rsidRPr="008573C5" w:rsidRDefault="003441C1" w:rsidP="00B57B07">
      <w:pPr>
        <w:spacing w:line="360" w:lineRule="auto"/>
        <w:jc w:val="both"/>
        <w:rPr>
          <w:lang w:val="en-GB"/>
        </w:rPr>
      </w:pPr>
    </w:p>
    <w:p w:rsidR="00B57B07" w:rsidRPr="008573C5" w:rsidRDefault="00B57B07" w:rsidP="00B57B07">
      <w:pPr>
        <w:autoSpaceDE w:val="0"/>
        <w:autoSpaceDN w:val="0"/>
        <w:adjustRightInd w:val="0"/>
        <w:spacing w:line="360" w:lineRule="auto"/>
        <w:jc w:val="both"/>
        <w:rPr>
          <w:b/>
          <w:bCs/>
        </w:rPr>
      </w:pPr>
      <w:r w:rsidRPr="008573C5">
        <w:rPr>
          <w:b/>
          <w:bCs/>
        </w:rPr>
        <w:t>3.</w:t>
      </w:r>
      <w:r w:rsidR="00C90F0E" w:rsidRPr="008573C5">
        <w:rPr>
          <w:b/>
          <w:bCs/>
        </w:rPr>
        <w:t>2.3.2</w:t>
      </w:r>
      <w:r w:rsidRPr="008573C5">
        <w:rPr>
          <w:b/>
          <w:bCs/>
        </w:rPr>
        <w:tab/>
        <w:t>I</w:t>
      </w:r>
      <w:r w:rsidR="002E5F87" w:rsidRPr="008573C5">
        <w:rPr>
          <w:b/>
          <w:bCs/>
        </w:rPr>
        <w:t>nstrument of Data Collection</w:t>
      </w:r>
    </w:p>
    <w:p w:rsidR="00B57B07" w:rsidRPr="008573C5" w:rsidRDefault="001F39AC" w:rsidP="00B57B07">
      <w:pPr>
        <w:autoSpaceDE w:val="0"/>
        <w:autoSpaceDN w:val="0"/>
        <w:adjustRightInd w:val="0"/>
        <w:spacing w:line="360" w:lineRule="auto"/>
        <w:jc w:val="both"/>
        <w:rPr>
          <w:bCs/>
        </w:rPr>
      </w:pPr>
      <w:r w:rsidRPr="008573C5">
        <w:rPr>
          <w:bCs/>
        </w:rPr>
        <w:t>The instrument employed for collection of the secondary data is a researcher designed checklist (Appendix V). They are in three parts viz; SAS checklist, IFRS checklist, Voluntary checklist. The Overall disclosure checklist is the combination of the three checklists. The checklists are as explained below:</w:t>
      </w:r>
    </w:p>
    <w:p w:rsidR="001F39AC" w:rsidRPr="008573C5" w:rsidRDefault="001F39AC" w:rsidP="00B57B07">
      <w:pPr>
        <w:autoSpaceDE w:val="0"/>
        <w:autoSpaceDN w:val="0"/>
        <w:adjustRightInd w:val="0"/>
        <w:spacing w:line="360" w:lineRule="auto"/>
        <w:jc w:val="both"/>
        <w:rPr>
          <w:bCs/>
        </w:rPr>
      </w:pPr>
    </w:p>
    <w:p w:rsidR="002E5F87" w:rsidRPr="008573C5" w:rsidRDefault="00C90F0E" w:rsidP="002E5F87">
      <w:pPr>
        <w:spacing w:after="200" w:line="360" w:lineRule="auto"/>
        <w:jc w:val="both"/>
        <w:rPr>
          <w:b/>
        </w:rPr>
      </w:pPr>
      <w:r w:rsidRPr="008573C5">
        <w:rPr>
          <w:b/>
          <w:bCs/>
        </w:rPr>
        <w:t xml:space="preserve">3.2.3.3 </w:t>
      </w:r>
      <w:r w:rsidR="002E5F87" w:rsidRPr="008573C5">
        <w:rPr>
          <w:b/>
          <w:bCs/>
        </w:rPr>
        <w:tab/>
      </w:r>
      <w:r w:rsidR="002E5F87" w:rsidRPr="008573C5">
        <w:rPr>
          <w:b/>
        </w:rPr>
        <w:t>The Disclosure Checklist</w:t>
      </w:r>
    </w:p>
    <w:p w:rsidR="002E5F87" w:rsidRPr="008573C5" w:rsidRDefault="00B57B07" w:rsidP="002E5F87">
      <w:pPr>
        <w:autoSpaceDE w:val="0"/>
        <w:autoSpaceDN w:val="0"/>
        <w:adjustRightInd w:val="0"/>
        <w:spacing w:line="360" w:lineRule="auto"/>
        <w:jc w:val="both"/>
        <w:rPr>
          <w:b/>
        </w:rPr>
      </w:pPr>
      <w:r w:rsidRPr="008573C5">
        <w:t xml:space="preserve">There are different methods </w:t>
      </w:r>
      <w:r w:rsidR="00D61C08" w:rsidRPr="008573C5">
        <w:t>that can be employed to</w:t>
      </w:r>
      <w:r w:rsidRPr="008573C5">
        <w:t xml:space="preserve"> construct disclosure checklist in order to measure the information contents of annual reports. </w:t>
      </w:r>
      <w:r w:rsidR="00D61C08" w:rsidRPr="008573C5">
        <w:t>Methods</w:t>
      </w:r>
      <w:r w:rsidRPr="008573C5">
        <w:t xml:space="preserve"> var</w:t>
      </w:r>
      <w:r w:rsidR="00A10A1A" w:rsidRPr="008573C5">
        <w:t>y</w:t>
      </w:r>
      <w:r w:rsidRPr="008573C5">
        <w:t xml:space="preserve"> considerably among different studies. In some studies an exhaustive list of financial and/or non-financial voluntary information items are quantified</w:t>
      </w:r>
      <w:r w:rsidRPr="008573C5">
        <w:rPr>
          <w:rFonts w:eastAsia="Calibri"/>
        </w:rPr>
        <w:t xml:space="preserve"> (Chau and Gray, 2002:24</w:t>
      </w:r>
      <w:r w:rsidR="004777ED" w:rsidRPr="008573C5">
        <w:rPr>
          <w:rFonts w:eastAsia="Calibri"/>
        </w:rPr>
        <w:t>7</w:t>
      </w:r>
      <w:r w:rsidRPr="008573C5">
        <w:rPr>
          <w:rFonts w:eastAsia="Calibri"/>
        </w:rPr>
        <w:t xml:space="preserve">; Chow and Wong-Boren, 1987: 535; Meek et al, 1995: 561; Ferguson et al., 2002:125; Haniffa and Cooke, 2002:317; </w:t>
      </w:r>
      <w:r w:rsidR="00A10A1A" w:rsidRPr="008573C5">
        <w:rPr>
          <w:rFonts w:eastAsia="Calibri"/>
        </w:rPr>
        <w:t>Barako, 2007:</w:t>
      </w:r>
      <w:r w:rsidRPr="008573C5">
        <w:rPr>
          <w:rFonts w:eastAsia="Calibri"/>
        </w:rPr>
        <w:t>118)</w:t>
      </w:r>
      <w:r w:rsidRPr="008573C5">
        <w:t>, in some others only mandatory items are quantified (</w:t>
      </w:r>
      <w:r w:rsidR="00A10A1A" w:rsidRPr="008573C5">
        <w:rPr>
          <w:rFonts w:eastAsia="Calibri"/>
        </w:rPr>
        <w:t>Owusu-Ansah, 1998:</w:t>
      </w:r>
      <w:r w:rsidRPr="008573C5">
        <w:rPr>
          <w:rFonts w:eastAsia="Calibri"/>
        </w:rPr>
        <w:t xml:space="preserve">608; </w:t>
      </w:r>
      <w:r w:rsidRPr="008573C5">
        <w:t>Street and Gray, 2001:21; Akhtaruddin, 2005:399; Al-Shammari:2005:1), whilst others consider both voluntary and mandatory items</w:t>
      </w:r>
      <w:r w:rsidRPr="008573C5">
        <w:rPr>
          <w:rFonts w:eastAsia="Calibri"/>
        </w:rPr>
        <w:t xml:space="preserve"> (Cooke, 1992:229; Cooke, 1993:521; Inchausti, 1997:48)</w:t>
      </w:r>
      <w:r w:rsidRPr="008573C5">
        <w:t xml:space="preserve">. There are also differences in the number of information items in the checklist. There is no agreed theory on the number and the selection of the items to include in a disclosure checklist (Wallace et al, 1994: 43). This study takes a comprehensive approach by focusing on both mandatory and voluntary items, using a researcher-constructed checklist. </w:t>
      </w:r>
      <w:r w:rsidR="002E5F87" w:rsidRPr="008573C5">
        <w:t>The disclosure checklist is designed in line with the disclosure requirements of the SASs, IASs/IFRSs and other relevant voluntary disclosure.</w:t>
      </w:r>
      <w:r w:rsidR="002E5F87" w:rsidRPr="008573C5">
        <w:rPr>
          <w:b/>
        </w:rPr>
        <w:t xml:space="preserve"> </w:t>
      </w:r>
    </w:p>
    <w:p w:rsidR="00B57B07" w:rsidRPr="008573C5" w:rsidRDefault="00B57B07" w:rsidP="00B57B07">
      <w:pPr>
        <w:spacing w:after="200" w:line="360" w:lineRule="auto"/>
        <w:jc w:val="both"/>
      </w:pPr>
    </w:p>
    <w:p w:rsidR="00B57B07" w:rsidRPr="008573C5" w:rsidRDefault="002E5F87" w:rsidP="00B57B07">
      <w:pPr>
        <w:spacing w:after="200" w:line="360" w:lineRule="auto"/>
        <w:jc w:val="both"/>
        <w:rPr>
          <w:b/>
        </w:rPr>
      </w:pPr>
      <w:r w:rsidRPr="008573C5">
        <w:rPr>
          <w:b/>
          <w:bCs/>
        </w:rPr>
        <w:t>3.2.3.3.1</w:t>
      </w:r>
      <w:r w:rsidR="00CE2EA1" w:rsidRPr="008573C5">
        <w:rPr>
          <w:b/>
          <w:bCs/>
        </w:rPr>
        <w:t xml:space="preserve">   </w:t>
      </w:r>
      <w:r w:rsidRPr="008573C5">
        <w:rPr>
          <w:b/>
        </w:rPr>
        <w:t>The SAS Checklist</w:t>
      </w:r>
    </w:p>
    <w:p w:rsidR="00B57B07" w:rsidRPr="008573C5" w:rsidRDefault="00B57B07" w:rsidP="00B57B07">
      <w:pPr>
        <w:spacing w:after="200" w:line="360" w:lineRule="auto"/>
        <w:jc w:val="both"/>
      </w:pPr>
      <w:r w:rsidRPr="008573C5">
        <w:t xml:space="preserve">SAS checklist is based on thirteen mandatory SASs, namely: SAS 1 - Disclosure of Accounting Policies (17 items); SAS 2 - Information to be disclosed in the Financial Statements (13 items); SAS 3- Accounting for Property, Plant and Equipment (6 items); SAS 4 - On Stocks (4 items); SAS 7- On Foreign Currency Conversions and Translations (4 items); SAS 8 - Accounting for Employees’ Retirement Benefits (3 items); SAS 9- Accounting for Depreciation  (4 items); SAS 13- Accounting for Investments (5 items); SAS 18 - Statement of Cash Flows (5 items); SAS 19 - Accounting for Taxes ( 8 items); SAS 21 - On Earnings Per Share (5 items); SAS 22 - On Research and Development Costs (4 items); SAS 23 - On Provisions, Contingent liabilities and Contingent Assets (4 items); making a total of 82 information items. These information items are questions drafted from the disclosure requirements of these standards as issued by the Nigerian Accounting Standard Board (NASB). The items </w:t>
      </w:r>
      <w:r w:rsidRPr="008573C5">
        <w:rPr>
          <w:rFonts w:ascii="Times" w:hAnsi="Times" w:cs="Times"/>
        </w:rPr>
        <w:t>are arranged from 1 t</w:t>
      </w:r>
      <w:r w:rsidR="008D7783" w:rsidRPr="008573C5">
        <w:rPr>
          <w:rFonts w:ascii="Times" w:hAnsi="Times" w:cs="Times"/>
        </w:rPr>
        <w:t>o 82 in a chronological order (</w:t>
      </w:r>
      <w:r w:rsidRPr="008573C5">
        <w:rPr>
          <w:rFonts w:ascii="Times" w:hAnsi="Times" w:cs="Times"/>
        </w:rPr>
        <w:t xml:space="preserve">Appendix </w:t>
      </w:r>
      <w:r w:rsidR="008D7783" w:rsidRPr="008573C5">
        <w:rPr>
          <w:rFonts w:ascii="Times" w:hAnsi="Times" w:cs="Times"/>
        </w:rPr>
        <w:t>V</w:t>
      </w:r>
      <w:r w:rsidRPr="008573C5">
        <w:rPr>
          <w:rFonts w:ascii="Times" w:hAnsi="Times" w:cs="Times"/>
        </w:rPr>
        <w:t>).</w:t>
      </w:r>
    </w:p>
    <w:p w:rsidR="002E5F87" w:rsidRPr="008573C5" w:rsidRDefault="002E5F87" w:rsidP="002E5F87">
      <w:pPr>
        <w:spacing w:after="200" w:line="360" w:lineRule="auto"/>
        <w:jc w:val="both"/>
        <w:rPr>
          <w:b/>
        </w:rPr>
      </w:pPr>
      <w:r w:rsidRPr="008573C5">
        <w:rPr>
          <w:b/>
          <w:bCs/>
        </w:rPr>
        <w:t>3.2.3.3.2</w:t>
      </w:r>
      <w:r w:rsidR="00CE2EA1" w:rsidRPr="008573C5">
        <w:rPr>
          <w:b/>
          <w:bCs/>
        </w:rPr>
        <w:t xml:space="preserve">    </w:t>
      </w:r>
      <w:r w:rsidRPr="008573C5">
        <w:rPr>
          <w:b/>
        </w:rPr>
        <w:t>The IFRS Checklist</w:t>
      </w:r>
    </w:p>
    <w:p w:rsidR="00B57B07" w:rsidRPr="008573C5" w:rsidRDefault="00B57B07" w:rsidP="00B57B07">
      <w:pPr>
        <w:spacing w:after="200" w:line="360" w:lineRule="auto"/>
        <w:jc w:val="both"/>
      </w:pPr>
      <w:r w:rsidRPr="008573C5">
        <w:t>The checklist questions are drafted based on the disclosure requirement of</w:t>
      </w:r>
      <w:r w:rsidR="00703437" w:rsidRPr="008573C5">
        <w:t xml:space="preserve"> </w:t>
      </w:r>
      <w:r w:rsidR="00A50F96" w:rsidRPr="008573C5">
        <w:t>the IASs/</w:t>
      </w:r>
      <w:r w:rsidR="00703437" w:rsidRPr="008573C5">
        <w:t>IFRSs w</w:t>
      </w:r>
      <w:r w:rsidRPr="008573C5">
        <w:t xml:space="preserve">hich are not mandatory </w:t>
      </w:r>
      <w:r w:rsidR="00A10A1A" w:rsidRPr="008573C5">
        <w:t>by l</w:t>
      </w:r>
      <w:r w:rsidR="00734A78" w:rsidRPr="008573C5">
        <w:t xml:space="preserve">aw </w:t>
      </w:r>
      <w:r w:rsidRPr="008573C5">
        <w:t xml:space="preserve">to Nigerian listed companies. </w:t>
      </w:r>
      <w:r w:rsidR="00C56D6C" w:rsidRPr="008573C5">
        <w:t xml:space="preserve">Questions on the IASs/IFRSs </w:t>
      </w:r>
      <w:r w:rsidR="000F79DC" w:rsidRPr="008573C5">
        <w:t>are</w:t>
      </w:r>
      <w:r w:rsidRPr="008573C5">
        <w:t xml:space="preserve"> screened to ensure there was no duplication, especially for standards with SAS counterpart</w:t>
      </w:r>
      <w:r w:rsidR="00A10A1A" w:rsidRPr="008573C5">
        <w:t>s</w:t>
      </w:r>
      <w:r w:rsidRPr="008573C5">
        <w:t xml:space="preserve">. Questions already asked in the SAS mandatory checklist </w:t>
      </w:r>
      <w:r w:rsidR="00C56D6C" w:rsidRPr="008573C5">
        <w:t>are</w:t>
      </w:r>
      <w:r w:rsidRPr="008573C5">
        <w:t xml:space="preserve"> eliminated from the </w:t>
      </w:r>
      <w:r w:rsidR="00A50F96" w:rsidRPr="008573C5">
        <w:t>IAS/</w:t>
      </w:r>
      <w:r w:rsidRPr="008573C5">
        <w:t xml:space="preserve">IFRS checklist. </w:t>
      </w:r>
      <w:r w:rsidR="00A50F96" w:rsidRPr="008573C5">
        <w:t xml:space="preserve">The </w:t>
      </w:r>
      <w:r w:rsidRPr="008573C5">
        <w:t xml:space="preserve">disclosure items </w:t>
      </w:r>
      <w:r w:rsidR="00A50F96" w:rsidRPr="008573C5">
        <w:t>w</w:t>
      </w:r>
      <w:r w:rsidR="00C56D6C" w:rsidRPr="008573C5">
        <w:t xml:space="preserve">as </w:t>
      </w:r>
      <w:r w:rsidRPr="008573C5">
        <w:t xml:space="preserve">initially based on twenty one </w:t>
      </w:r>
      <w:r w:rsidR="00A50F96" w:rsidRPr="008573C5">
        <w:t>IASs/</w:t>
      </w:r>
      <w:r w:rsidRPr="008573C5">
        <w:t xml:space="preserve">IFRSs, namely, IAS 1- Presentation of Financial Statement ( 9 items), IAS 2 </w:t>
      </w:r>
      <w:r w:rsidR="001011FD" w:rsidRPr="008573C5">
        <w:t xml:space="preserve">– Inventories </w:t>
      </w:r>
      <w:r w:rsidRPr="008573C5">
        <w:t xml:space="preserve">(3 items), IAS 10 - Events after the balance sheet date  (4 items), IAS 12 </w:t>
      </w:r>
      <w:r w:rsidR="001011FD" w:rsidRPr="008573C5">
        <w:t xml:space="preserve">- Income Taxes </w:t>
      </w:r>
      <w:r w:rsidRPr="008573C5">
        <w:t>(3 items), IAS 14 -Segment Reporting ( 5 items), IAS 16 - Property, Plant and Equipment ( 4 items), IAS 18 - Revenue ( 1 item), IAS 20</w:t>
      </w:r>
      <w:r w:rsidR="006B2E2F" w:rsidRPr="008573C5">
        <w:t xml:space="preserve"> - Government Grants and Government Assistance</w:t>
      </w:r>
      <w:r w:rsidRPr="008573C5">
        <w:t xml:space="preserve"> (4 items), IAS 21 </w:t>
      </w:r>
      <w:r w:rsidR="006B2E2F" w:rsidRPr="008573C5">
        <w:t xml:space="preserve">Foreign Exchange Rates </w:t>
      </w:r>
      <w:r w:rsidRPr="008573C5">
        <w:t>(3 items), IAS 23- Borrowing Costs (3 items), IAS 24 - Related Party Disclosures (5 items), IAS 27- Consolidated and Separate Financial Statements (7 items), IAS 28 – Investment In Associates (5 items), IAS 31</w:t>
      </w:r>
      <w:r w:rsidR="006B2E2F" w:rsidRPr="008573C5">
        <w:t xml:space="preserve"> Interests in Joint Ventures</w:t>
      </w:r>
      <w:r w:rsidRPr="008573C5">
        <w:t xml:space="preserve"> (4 items), IAS 32 - Financial Instruments Presentation (4 items), IAS 36 - Impairment of Assets (4 items), IAS 37 - Provisions, Contingent Liabilities, and Contingent Assets ( for financial year end before December 2006) (5 items), IAS 38  – Intangible Assets,  (7 items), IAS 40 - Investment Property (5 items), IFRS 2</w:t>
      </w:r>
      <w:r w:rsidR="006B2E2F" w:rsidRPr="008573C5">
        <w:t xml:space="preserve"> - Share Based Payments</w:t>
      </w:r>
      <w:r w:rsidRPr="008573C5">
        <w:t xml:space="preserve"> (3 items)</w:t>
      </w:r>
      <w:r w:rsidR="006B2E2F" w:rsidRPr="008573C5">
        <w:t xml:space="preserve"> </w:t>
      </w:r>
      <w:r w:rsidRPr="008573C5">
        <w:t>and IFRS 3- Business Combinations (5 items). After the preliminary analysis, six IFRS standards w</w:t>
      </w:r>
      <w:r w:rsidR="00C56D6C" w:rsidRPr="008573C5">
        <w:t>as</w:t>
      </w:r>
      <w:r w:rsidRPr="008573C5">
        <w:t xml:space="preserve"> eliminated, IAS 2, IAS 12, IAS, 20, IAS 21, IAS 31 and IFRS 2, reasons are as narrated in </w:t>
      </w:r>
      <w:r w:rsidR="00A10A1A" w:rsidRPr="008573C5">
        <w:t xml:space="preserve">Table </w:t>
      </w:r>
      <w:r w:rsidRPr="008573C5">
        <w:t>3.</w:t>
      </w:r>
      <w:r w:rsidR="00A10A1A" w:rsidRPr="008573C5">
        <w:t>0</w:t>
      </w:r>
      <w:r w:rsidRPr="008573C5">
        <w:t xml:space="preserve">4 </w:t>
      </w:r>
      <w:r w:rsidR="00AF12E9" w:rsidRPr="008573C5">
        <w:t>below</w:t>
      </w:r>
      <w:r w:rsidRPr="008573C5">
        <w:t>. Originally, we had 93 items</w:t>
      </w:r>
      <w:r w:rsidR="00C46D95" w:rsidRPr="008573C5">
        <w:t xml:space="preserve"> on the checklist</w:t>
      </w:r>
      <w:r w:rsidRPr="008573C5">
        <w:t>, after the elimination only 73 items remained. The</w:t>
      </w:r>
      <w:r w:rsidR="00B115E4" w:rsidRPr="008573C5">
        <w:t>refore the 73 items remaining are</w:t>
      </w:r>
      <w:r w:rsidRPr="008573C5">
        <w:t xml:space="preserve"> used for the IFRS checklist. The item numbers are as indicated in </w:t>
      </w:r>
      <w:r w:rsidR="006B2E2F" w:rsidRPr="008573C5">
        <w:t>bracket in the questionnaire</w:t>
      </w:r>
      <w:r w:rsidRPr="008573C5">
        <w:t xml:space="preserve"> (see Appendix </w:t>
      </w:r>
      <w:r w:rsidR="008D7783" w:rsidRPr="008573C5">
        <w:t>V</w:t>
      </w:r>
      <w:r w:rsidRPr="008573C5">
        <w:t xml:space="preserve">). </w:t>
      </w:r>
    </w:p>
    <w:p w:rsidR="002E5F87" w:rsidRPr="008573C5" w:rsidRDefault="002E5F87" w:rsidP="002E5F87">
      <w:pPr>
        <w:spacing w:after="200" w:line="360" w:lineRule="auto"/>
        <w:jc w:val="both"/>
        <w:rPr>
          <w:b/>
        </w:rPr>
      </w:pPr>
      <w:r w:rsidRPr="008573C5">
        <w:rPr>
          <w:b/>
          <w:bCs/>
        </w:rPr>
        <w:t>3.2.3.3.</w:t>
      </w:r>
      <w:r w:rsidR="001E7705" w:rsidRPr="008573C5">
        <w:rPr>
          <w:b/>
          <w:bCs/>
        </w:rPr>
        <w:t>3</w:t>
      </w:r>
      <w:r w:rsidRPr="008573C5">
        <w:rPr>
          <w:b/>
          <w:bCs/>
        </w:rPr>
        <w:t xml:space="preserve"> </w:t>
      </w:r>
      <w:r w:rsidRPr="008573C5">
        <w:rPr>
          <w:b/>
          <w:bCs/>
        </w:rPr>
        <w:tab/>
      </w:r>
      <w:r w:rsidRPr="008573C5">
        <w:rPr>
          <w:b/>
        </w:rPr>
        <w:t>The Voluntary</w:t>
      </w:r>
      <w:r w:rsidR="000733CD" w:rsidRPr="008573C5">
        <w:rPr>
          <w:b/>
        </w:rPr>
        <w:t xml:space="preserve"> </w:t>
      </w:r>
      <w:r w:rsidRPr="008573C5">
        <w:rPr>
          <w:b/>
        </w:rPr>
        <w:t>Checklist</w:t>
      </w:r>
    </w:p>
    <w:p w:rsidR="00B57B07" w:rsidRPr="008573C5" w:rsidRDefault="00B57B07" w:rsidP="00B57B07">
      <w:pPr>
        <w:spacing w:after="200" w:line="360" w:lineRule="auto"/>
        <w:jc w:val="both"/>
      </w:pPr>
      <w:r w:rsidRPr="008573C5">
        <w:t xml:space="preserve">Voluntary checklist is a list of ten information items not incorporated among the mandatory SAS or </w:t>
      </w:r>
      <w:r w:rsidR="00734A78" w:rsidRPr="008573C5">
        <w:t>IAS/</w:t>
      </w:r>
      <w:r w:rsidRPr="008573C5">
        <w:t>IFRS disclosures but constructed based on past literature and contemporary issues</w:t>
      </w:r>
      <w:r w:rsidR="002E5F87" w:rsidRPr="008573C5">
        <w:t>. The items ar</w:t>
      </w:r>
      <w:r w:rsidR="001F39AC" w:rsidRPr="008573C5">
        <w:t>e labeled 1 to 10, comprising items on</w:t>
      </w:r>
      <w:r w:rsidR="002E5F87" w:rsidRPr="008573C5">
        <w:t xml:space="preserve"> financial highlights, </w:t>
      </w:r>
      <w:r w:rsidR="00913844" w:rsidRPr="008573C5">
        <w:t>q</w:t>
      </w:r>
      <w:r w:rsidR="002E5F87" w:rsidRPr="008573C5">
        <w:t>uantitative forecast of performance for  the next year, share price at accounting year end, corporate social responsibility information</w:t>
      </w:r>
      <w:r w:rsidR="000733CD" w:rsidRPr="008573C5">
        <w:t>, corporate governance information, performance trend for the past five years using graphs</w:t>
      </w:r>
      <w:r w:rsidR="00913844" w:rsidRPr="008573C5">
        <w:t>, environmental liabilities and cost information, donations analysis, risk management information and unclaimed dividend analysis.</w:t>
      </w:r>
    </w:p>
    <w:p w:rsidR="0043648E" w:rsidRPr="008573C5" w:rsidRDefault="0043648E" w:rsidP="001E7705">
      <w:pPr>
        <w:spacing w:after="200" w:line="360" w:lineRule="auto"/>
        <w:jc w:val="both"/>
        <w:rPr>
          <w:b/>
          <w:bCs/>
        </w:rPr>
      </w:pPr>
    </w:p>
    <w:p w:rsidR="001E7705" w:rsidRPr="008573C5" w:rsidRDefault="00CC794F" w:rsidP="001E7705">
      <w:pPr>
        <w:spacing w:after="200" w:line="360" w:lineRule="auto"/>
        <w:jc w:val="both"/>
        <w:rPr>
          <w:b/>
        </w:rPr>
      </w:pPr>
      <w:r w:rsidRPr="008573C5">
        <w:rPr>
          <w:b/>
          <w:bCs/>
        </w:rPr>
        <w:t>3.2.3.3.4</w:t>
      </w:r>
      <w:r w:rsidR="006A67BD" w:rsidRPr="008573C5">
        <w:rPr>
          <w:b/>
          <w:bCs/>
        </w:rPr>
        <w:t xml:space="preserve">    </w:t>
      </w:r>
      <w:r w:rsidR="001E7705" w:rsidRPr="008573C5">
        <w:rPr>
          <w:b/>
        </w:rPr>
        <w:t>The Overall Disclosure Checklist</w:t>
      </w:r>
    </w:p>
    <w:p w:rsidR="00B57B07" w:rsidRPr="008573C5" w:rsidRDefault="00B57B07" w:rsidP="00B57B07">
      <w:pPr>
        <w:spacing w:line="360" w:lineRule="auto"/>
        <w:jc w:val="both"/>
      </w:pPr>
      <w:r w:rsidRPr="008573C5">
        <w:t>The overall disclosure checklist that measures the extent of disclosure is made up of one hundred and sixty five (165) information items. The 165 information items</w:t>
      </w:r>
      <w:r w:rsidR="001F39AC" w:rsidRPr="008573C5">
        <w:t xml:space="preserve"> are categorized as</w:t>
      </w:r>
      <w:r w:rsidR="009167A0" w:rsidRPr="008573C5">
        <w:t xml:space="preserve"> </w:t>
      </w:r>
      <w:r w:rsidRPr="008573C5">
        <w:t>(i) 82 mandatory SAS items</w:t>
      </w:r>
      <w:r w:rsidR="009167A0" w:rsidRPr="008573C5">
        <w:t>,</w:t>
      </w:r>
      <w:r w:rsidRPr="008573C5">
        <w:t xml:space="preserve"> (ii) 73 </w:t>
      </w:r>
      <w:r w:rsidR="009167A0" w:rsidRPr="008573C5">
        <w:t>IAS/</w:t>
      </w:r>
      <w:r w:rsidRPr="008573C5">
        <w:t>IFR</w:t>
      </w:r>
      <w:r w:rsidR="009167A0" w:rsidRPr="008573C5">
        <w:t>S items,</w:t>
      </w:r>
      <w:r w:rsidRPr="008573C5">
        <w:t xml:space="preserve"> and (iii) 10 voluntary disclosure items. </w:t>
      </w:r>
    </w:p>
    <w:p w:rsidR="00B57B07" w:rsidRPr="008573C5" w:rsidRDefault="00B57B07" w:rsidP="00B57B07">
      <w:pPr>
        <w:spacing w:line="360" w:lineRule="auto"/>
        <w:jc w:val="both"/>
        <w:rPr>
          <w:b/>
        </w:rPr>
      </w:pPr>
    </w:p>
    <w:p w:rsidR="00C90F0E" w:rsidRPr="008573C5" w:rsidRDefault="00A87FEC" w:rsidP="00A87FEC">
      <w:pPr>
        <w:spacing w:after="200" w:line="360" w:lineRule="auto"/>
        <w:jc w:val="both"/>
        <w:rPr>
          <w:b/>
        </w:rPr>
      </w:pPr>
      <w:r w:rsidRPr="008573C5">
        <w:rPr>
          <w:b/>
          <w:bCs/>
        </w:rPr>
        <w:t>3.2.3.4</w:t>
      </w:r>
      <w:r w:rsidR="006A67BD" w:rsidRPr="008573C5">
        <w:rPr>
          <w:b/>
          <w:bCs/>
        </w:rPr>
        <w:t xml:space="preserve">     </w:t>
      </w:r>
      <w:r w:rsidRPr="008573C5">
        <w:rPr>
          <w:b/>
        </w:rPr>
        <w:t>The Selection of Accounting Standards</w:t>
      </w:r>
    </w:p>
    <w:p w:rsidR="00E44EA6" w:rsidRPr="008573C5" w:rsidRDefault="00C90F0E" w:rsidP="00E44EA6">
      <w:pPr>
        <w:spacing w:line="360" w:lineRule="auto"/>
        <w:jc w:val="both"/>
      </w:pPr>
      <w:r w:rsidRPr="008573C5">
        <w:t>Accounting standards effective up to the period of study</w:t>
      </w:r>
      <w:r w:rsidR="005938A3" w:rsidRPr="008573C5">
        <w:t xml:space="preserve"> (</w:t>
      </w:r>
      <w:r w:rsidRPr="008573C5">
        <w:t>December 2006</w:t>
      </w:r>
      <w:r w:rsidR="005938A3" w:rsidRPr="008573C5">
        <w:t>)</w:t>
      </w:r>
      <w:r w:rsidRPr="008573C5">
        <w:t xml:space="preserve"> </w:t>
      </w:r>
      <w:r w:rsidR="00C56D6C" w:rsidRPr="008573C5">
        <w:t>are</w:t>
      </w:r>
      <w:r w:rsidRPr="008573C5">
        <w:t xml:space="preserve"> utilized for the study. The accounting standards </w:t>
      </w:r>
      <w:r w:rsidR="00BA3D6D">
        <w:t>are</w:t>
      </w:r>
      <w:r w:rsidRPr="008573C5">
        <w:t xml:space="preserve"> generally selected bas</w:t>
      </w:r>
      <w:r w:rsidR="00E44EA6" w:rsidRPr="008573C5">
        <w:t>ed on its relevance to both financial and non-financial comp</w:t>
      </w:r>
      <w:r w:rsidR="00BA3D6D">
        <w:t>anies. Exclusion of standards i</w:t>
      </w:r>
      <w:r w:rsidR="00E44EA6" w:rsidRPr="008573C5">
        <w:t>s based on (i) irrelevance to annual reports, (ii) industry-specific, (ii) required on certain occasions (iii) replac</w:t>
      </w:r>
      <w:r w:rsidR="00891215" w:rsidRPr="008573C5">
        <w:t>ed by another standard and (iv)</w:t>
      </w:r>
      <w:r w:rsidR="00BF2EF6" w:rsidRPr="008573C5">
        <w:t xml:space="preserve"> </w:t>
      </w:r>
      <w:r w:rsidR="00E44EA6" w:rsidRPr="008573C5">
        <w:t>outside the period of the study.</w:t>
      </w:r>
    </w:p>
    <w:p w:rsidR="00C90F0E" w:rsidRPr="008573C5" w:rsidRDefault="00C90F0E" w:rsidP="00C90F0E">
      <w:pPr>
        <w:autoSpaceDE w:val="0"/>
        <w:autoSpaceDN w:val="0"/>
        <w:adjustRightInd w:val="0"/>
        <w:spacing w:line="360" w:lineRule="auto"/>
        <w:jc w:val="both"/>
      </w:pPr>
    </w:p>
    <w:p w:rsidR="00C90F0E" w:rsidRPr="008573C5" w:rsidRDefault="00A87FEC" w:rsidP="00C90F0E">
      <w:pPr>
        <w:spacing w:line="360" w:lineRule="auto"/>
        <w:jc w:val="both"/>
        <w:rPr>
          <w:b/>
        </w:rPr>
      </w:pPr>
      <w:r w:rsidRPr="008573C5">
        <w:rPr>
          <w:b/>
          <w:bCs/>
        </w:rPr>
        <w:t xml:space="preserve">3.2.3.4.1 </w:t>
      </w:r>
      <w:r w:rsidR="00C90F0E" w:rsidRPr="008573C5">
        <w:rPr>
          <w:b/>
        </w:rPr>
        <w:t xml:space="preserve"> </w:t>
      </w:r>
      <w:r w:rsidR="006A67BD" w:rsidRPr="008573C5">
        <w:rPr>
          <w:b/>
        </w:rPr>
        <w:t xml:space="preserve">  </w:t>
      </w:r>
      <w:r w:rsidRPr="008573C5">
        <w:rPr>
          <w:b/>
        </w:rPr>
        <w:t>Selection of SASs</w:t>
      </w:r>
    </w:p>
    <w:p w:rsidR="00D87508" w:rsidRPr="008573C5" w:rsidRDefault="00C90F0E" w:rsidP="00E44EA6">
      <w:pPr>
        <w:spacing w:line="360" w:lineRule="auto"/>
        <w:jc w:val="both"/>
      </w:pPr>
      <w:r w:rsidRPr="008573C5">
        <w:t>A</w:t>
      </w:r>
      <w:r w:rsidR="002B1030" w:rsidRPr="008573C5">
        <w:t>s at May 2009</w:t>
      </w:r>
      <w:r w:rsidRPr="008573C5">
        <w:t xml:space="preserve"> there are 30 SASs (Appendix </w:t>
      </w:r>
      <w:r w:rsidR="00FF74E6" w:rsidRPr="008573C5">
        <w:t>II</w:t>
      </w:r>
      <w:r w:rsidRPr="008573C5">
        <w:t>). The selection</w:t>
      </w:r>
      <w:r w:rsidR="00BA3D6D">
        <w:t xml:space="preserve"> or non-selection of the SASs i</w:t>
      </w:r>
      <w:r w:rsidRPr="008573C5">
        <w:t xml:space="preserve">s based on the criteria </w:t>
      </w:r>
      <w:r w:rsidR="00E44EA6" w:rsidRPr="008573C5">
        <w:t xml:space="preserve">as indicated on </w:t>
      </w:r>
      <w:r w:rsidRPr="008573C5">
        <w:t>Table 3.</w:t>
      </w:r>
      <w:r w:rsidR="00523484" w:rsidRPr="008573C5">
        <w:t>0</w:t>
      </w:r>
      <w:r w:rsidRPr="008573C5">
        <w:t>2</w:t>
      </w:r>
      <w:r w:rsidR="00E44EA6" w:rsidRPr="008573C5">
        <w:t xml:space="preserve"> below.</w:t>
      </w:r>
      <w:r w:rsidRPr="008573C5">
        <w:t xml:space="preserve"> </w:t>
      </w:r>
    </w:p>
    <w:p w:rsidR="006C69D7" w:rsidRPr="008573C5" w:rsidRDefault="006C69D7" w:rsidP="006C69D7">
      <w:pPr>
        <w:spacing w:line="360" w:lineRule="auto"/>
        <w:jc w:val="both"/>
        <w:rPr>
          <w:b/>
        </w:rPr>
      </w:pPr>
    </w:p>
    <w:p w:rsidR="006C69D7" w:rsidRPr="008573C5" w:rsidRDefault="006C69D7" w:rsidP="006C69D7">
      <w:pPr>
        <w:spacing w:line="360" w:lineRule="auto"/>
        <w:jc w:val="both"/>
        <w:rPr>
          <w:b/>
        </w:rPr>
      </w:pPr>
      <w:r w:rsidRPr="008573C5">
        <w:rPr>
          <w:b/>
        </w:rPr>
        <w:t xml:space="preserve">Relevant to Financial and Non-Financial companies </w:t>
      </w:r>
    </w:p>
    <w:p w:rsidR="006C69D7" w:rsidRPr="008573C5" w:rsidRDefault="006C69D7" w:rsidP="006C69D7">
      <w:pPr>
        <w:spacing w:line="360" w:lineRule="auto"/>
        <w:jc w:val="both"/>
      </w:pPr>
      <w:r w:rsidRPr="008573C5">
        <w:t xml:space="preserve">Disclosures for both financial and non-financial companies </w:t>
      </w:r>
      <w:r w:rsidR="009D39DF">
        <w:t>ar</w:t>
      </w:r>
      <w:r w:rsidRPr="008573C5">
        <w:t>e considered. Thirteen Standards are found relevant for the period studied. These are: SAS 1 - Disclosure of Accounting Policies; SAS 2- Information to be disclosed in the Financial Statements; SAS 3 - Accounting for Property, Plant and Equipment; SAS 4 - On Stocks; SAS 7 - On Foreign Currency Conversions and Translations; SAS 8 - Accounting for Employees’ Retirement Benefits; SAS 9 - Accounting for Depreciation; SAS 13 - Accounting for Investments; SAS 18 - Statement of Cash Flows; SAS 19 - Accounting for Taxes; SAS 21 - On Earnings Per Share, SAS 22 - On Research and Development Costs; SAS 23 - On Provisions, Contingent liabilities and Contingent Assets.</w:t>
      </w:r>
      <w:r w:rsidRPr="008573C5">
        <w:tab/>
      </w:r>
    </w:p>
    <w:p w:rsidR="00C90F0E" w:rsidRPr="008573C5" w:rsidRDefault="00C90F0E" w:rsidP="00BB3820">
      <w:pPr>
        <w:spacing w:line="360" w:lineRule="auto"/>
        <w:jc w:val="center"/>
        <w:rPr>
          <w:b/>
          <w:sz w:val="28"/>
          <w:szCs w:val="28"/>
        </w:rPr>
      </w:pPr>
      <w:r w:rsidRPr="008573C5">
        <w:rPr>
          <w:b/>
          <w:sz w:val="28"/>
          <w:szCs w:val="28"/>
        </w:rPr>
        <w:t>Table 3.</w:t>
      </w:r>
      <w:r w:rsidR="000E6312" w:rsidRPr="008573C5">
        <w:rPr>
          <w:b/>
          <w:sz w:val="28"/>
          <w:szCs w:val="28"/>
        </w:rPr>
        <w:t>0</w:t>
      </w:r>
      <w:r w:rsidRPr="008573C5">
        <w:rPr>
          <w:b/>
          <w:sz w:val="28"/>
          <w:szCs w:val="28"/>
        </w:rPr>
        <w:t>2</w:t>
      </w:r>
      <w:r w:rsidR="007E78AF" w:rsidRPr="008573C5">
        <w:rPr>
          <w:b/>
          <w:sz w:val="28"/>
          <w:szCs w:val="28"/>
        </w:rPr>
        <w:t xml:space="preserve">: </w:t>
      </w:r>
      <w:r w:rsidRPr="008573C5">
        <w:rPr>
          <w:b/>
          <w:sz w:val="28"/>
          <w:szCs w:val="28"/>
        </w:rPr>
        <w:t xml:space="preserve">Reasons for Inclusion or Exclusion </w:t>
      </w:r>
      <w:r w:rsidR="007E78AF" w:rsidRPr="008573C5">
        <w:rPr>
          <w:b/>
          <w:sz w:val="28"/>
          <w:szCs w:val="28"/>
        </w:rPr>
        <w:t>of SASs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2790"/>
        <w:gridCol w:w="1847"/>
      </w:tblGrid>
      <w:tr w:rsidR="002C3391" w:rsidRPr="00BB3820" w:rsidTr="006D5F83">
        <w:tc>
          <w:tcPr>
            <w:tcW w:w="3888" w:type="dxa"/>
          </w:tcPr>
          <w:p w:rsidR="002C3391" w:rsidRPr="00BB3820" w:rsidRDefault="002C3391" w:rsidP="00BB3820">
            <w:pPr>
              <w:spacing w:line="360" w:lineRule="auto"/>
              <w:jc w:val="both"/>
              <w:rPr>
                <w:b/>
                <w:sz w:val="22"/>
                <w:szCs w:val="22"/>
              </w:rPr>
            </w:pPr>
            <w:r w:rsidRPr="00BB3820">
              <w:rPr>
                <w:b/>
                <w:sz w:val="22"/>
                <w:szCs w:val="22"/>
              </w:rPr>
              <w:t>Standards</w:t>
            </w:r>
          </w:p>
        </w:tc>
        <w:tc>
          <w:tcPr>
            <w:tcW w:w="2790" w:type="dxa"/>
          </w:tcPr>
          <w:p w:rsidR="002C3391" w:rsidRPr="00BB3820" w:rsidRDefault="002C3391" w:rsidP="00BB3820">
            <w:pPr>
              <w:spacing w:line="360" w:lineRule="auto"/>
              <w:jc w:val="both"/>
              <w:rPr>
                <w:b/>
                <w:sz w:val="22"/>
                <w:szCs w:val="22"/>
              </w:rPr>
            </w:pPr>
            <w:r w:rsidRPr="00BB3820">
              <w:rPr>
                <w:b/>
                <w:sz w:val="22"/>
                <w:szCs w:val="22"/>
              </w:rPr>
              <w:t>Reasons for inclusion and exclusion</w:t>
            </w:r>
          </w:p>
        </w:tc>
        <w:tc>
          <w:tcPr>
            <w:tcW w:w="1847" w:type="dxa"/>
          </w:tcPr>
          <w:p w:rsidR="002C3391" w:rsidRPr="00BB3820" w:rsidRDefault="002C3391" w:rsidP="00BB3820">
            <w:pPr>
              <w:spacing w:line="360" w:lineRule="auto"/>
              <w:jc w:val="both"/>
              <w:rPr>
                <w:b/>
                <w:sz w:val="22"/>
                <w:szCs w:val="22"/>
              </w:rPr>
            </w:pPr>
            <w:r w:rsidRPr="00BB3820">
              <w:rPr>
                <w:b/>
                <w:sz w:val="22"/>
                <w:szCs w:val="22"/>
              </w:rPr>
              <w:t>Remarks</w:t>
            </w:r>
          </w:p>
        </w:tc>
      </w:tr>
      <w:tr w:rsidR="002C3391" w:rsidRPr="00BB3820" w:rsidTr="006D5F83">
        <w:tc>
          <w:tcPr>
            <w:tcW w:w="3888" w:type="dxa"/>
          </w:tcPr>
          <w:p w:rsidR="002C3391" w:rsidRPr="00BB3820" w:rsidRDefault="002C3391" w:rsidP="00BB3820">
            <w:pPr>
              <w:spacing w:line="360" w:lineRule="auto"/>
              <w:jc w:val="both"/>
              <w:rPr>
                <w:sz w:val="22"/>
                <w:szCs w:val="22"/>
              </w:rPr>
            </w:pPr>
            <w:r w:rsidRPr="00BB3820">
              <w:rPr>
                <w:sz w:val="22"/>
                <w:szCs w:val="22"/>
              </w:rPr>
              <w:t>SAS 1, SAS 2, SAS 3, SAS 4, SAS 7,SAS 8, SAS 9, SAS 13, SAS 18, SAS 19, SAS 21, SAS 22 and SAS 23</w:t>
            </w:r>
          </w:p>
        </w:tc>
        <w:tc>
          <w:tcPr>
            <w:tcW w:w="2790" w:type="dxa"/>
          </w:tcPr>
          <w:p w:rsidR="002C3391" w:rsidRPr="00BB3820" w:rsidRDefault="002C3391" w:rsidP="00BB3820">
            <w:pPr>
              <w:spacing w:line="360" w:lineRule="auto"/>
              <w:jc w:val="both"/>
              <w:rPr>
                <w:sz w:val="22"/>
                <w:szCs w:val="22"/>
              </w:rPr>
            </w:pPr>
            <w:r w:rsidRPr="00BB3820">
              <w:rPr>
                <w:sz w:val="22"/>
                <w:szCs w:val="22"/>
              </w:rPr>
              <w:t>Relevant to financial and non-financial companies</w:t>
            </w:r>
          </w:p>
        </w:tc>
        <w:tc>
          <w:tcPr>
            <w:tcW w:w="1847" w:type="dxa"/>
          </w:tcPr>
          <w:p w:rsidR="002C3391" w:rsidRPr="00BB3820" w:rsidRDefault="002C3391" w:rsidP="00BB3820">
            <w:pPr>
              <w:spacing w:line="360" w:lineRule="auto"/>
              <w:jc w:val="both"/>
              <w:rPr>
                <w:sz w:val="22"/>
                <w:szCs w:val="22"/>
              </w:rPr>
            </w:pPr>
            <w:r w:rsidRPr="00BB3820">
              <w:rPr>
                <w:sz w:val="22"/>
                <w:szCs w:val="22"/>
              </w:rPr>
              <w:t>Included</w:t>
            </w:r>
          </w:p>
        </w:tc>
      </w:tr>
      <w:tr w:rsidR="002C3391" w:rsidRPr="00BB3820" w:rsidTr="006D5F83">
        <w:tc>
          <w:tcPr>
            <w:tcW w:w="3888" w:type="dxa"/>
          </w:tcPr>
          <w:p w:rsidR="002C3391" w:rsidRPr="00BB3820" w:rsidRDefault="002C3391" w:rsidP="00BB3820">
            <w:pPr>
              <w:spacing w:line="360" w:lineRule="auto"/>
              <w:jc w:val="both"/>
              <w:rPr>
                <w:sz w:val="22"/>
                <w:szCs w:val="22"/>
              </w:rPr>
            </w:pPr>
            <w:r w:rsidRPr="00BB3820">
              <w:rPr>
                <w:sz w:val="22"/>
                <w:szCs w:val="22"/>
              </w:rPr>
              <w:t>SAS 20</w:t>
            </w:r>
          </w:p>
        </w:tc>
        <w:tc>
          <w:tcPr>
            <w:tcW w:w="2790" w:type="dxa"/>
          </w:tcPr>
          <w:p w:rsidR="002C3391" w:rsidRPr="00BB3820" w:rsidRDefault="002C3391" w:rsidP="00BB3820">
            <w:pPr>
              <w:spacing w:line="360" w:lineRule="auto"/>
              <w:jc w:val="both"/>
              <w:rPr>
                <w:sz w:val="22"/>
                <w:szCs w:val="22"/>
              </w:rPr>
            </w:pPr>
            <w:r w:rsidRPr="00BB3820">
              <w:rPr>
                <w:sz w:val="22"/>
                <w:szCs w:val="22"/>
              </w:rPr>
              <w:t>Irrelevant to annual reports</w:t>
            </w:r>
          </w:p>
        </w:tc>
        <w:tc>
          <w:tcPr>
            <w:tcW w:w="1847" w:type="dxa"/>
          </w:tcPr>
          <w:p w:rsidR="002C3391" w:rsidRPr="00BB3820" w:rsidRDefault="002C3391" w:rsidP="00BB3820">
            <w:pPr>
              <w:spacing w:line="360" w:lineRule="auto"/>
              <w:jc w:val="both"/>
              <w:rPr>
                <w:sz w:val="22"/>
                <w:szCs w:val="22"/>
              </w:rPr>
            </w:pPr>
            <w:r w:rsidRPr="00BB3820">
              <w:rPr>
                <w:sz w:val="22"/>
                <w:szCs w:val="22"/>
              </w:rPr>
              <w:t>Excluded</w:t>
            </w:r>
          </w:p>
        </w:tc>
      </w:tr>
      <w:tr w:rsidR="002C3391" w:rsidRPr="00BB3820" w:rsidTr="006D5F83">
        <w:tc>
          <w:tcPr>
            <w:tcW w:w="3888" w:type="dxa"/>
          </w:tcPr>
          <w:p w:rsidR="002C3391" w:rsidRPr="00BB3820" w:rsidRDefault="002C3391" w:rsidP="00BB3820">
            <w:pPr>
              <w:spacing w:line="360" w:lineRule="auto"/>
              <w:jc w:val="both"/>
              <w:rPr>
                <w:sz w:val="22"/>
                <w:szCs w:val="22"/>
              </w:rPr>
            </w:pPr>
            <w:r w:rsidRPr="00BB3820">
              <w:rPr>
                <w:sz w:val="22"/>
                <w:szCs w:val="22"/>
              </w:rPr>
              <w:t>SAS 5, SAS 10, SAS 11,</w:t>
            </w:r>
            <w:r w:rsidR="003D51A4" w:rsidRPr="00BB3820">
              <w:rPr>
                <w:sz w:val="22"/>
                <w:szCs w:val="22"/>
              </w:rPr>
              <w:t xml:space="preserve"> </w:t>
            </w:r>
            <w:r w:rsidRPr="00BB3820">
              <w:rPr>
                <w:sz w:val="22"/>
                <w:szCs w:val="22"/>
              </w:rPr>
              <w:t>SAS 14, SAS 15, SAS 16, SAS 17</w:t>
            </w:r>
          </w:p>
        </w:tc>
        <w:tc>
          <w:tcPr>
            <w:tcW w:w="2790" w:type="dxa"/>
          </w:tcPr>
          <w:p w:rsidR="002C3391" w:rsidRPr="00BB3820" w:rsidRDefault="002C3391" w:rsidP="00BB3820">
            <w:pPr>
              <w:spacing w:line="360" w:lineRule="auto"/>
              <w:jc w:val="both"/>
              <w:rPr>
                <w:sz w:val="22"/>
                <w:szCs w:val="22"/>
              </w:rPr>
            </w:pPr>
            <w:r w:rsidRPr="00BB3820">
              <w:rPr>
                <w:sz w:val="22"/>
                <w:szCs w:val="22"/>
              </w:rPr>
              <w:t>Industry-specific</w:t>
            </w:r>
          </w:p>
        </w:tc>
        <w:tc>
          <w:tcPr>
            <w:tcW w:w="1847" w:type="dxa"/>
          </w:tcPr>
          <w:p w:rsidR="002C3391" w:rsidRPr="00BB3820" w:rsidRDefault="002C3391" w:rsidP="00BB3820">
            <w:pPr>
              <w:spacing w:line="360" w:lineRule="auto"/>
              <w:jc w:val="both"/>
              <w:rPr>
                <w:sz w:val="22"/>
                <w:szCs w:val="22"/>
              </w:rPr>
            </w:pPr>
            <w:r w:rsidRPr="00BB3820">
              <w:rPr>
                <w:sz w:val="22"/>
                <w:szCs w:val="22"/>
              </w:rPr>
              <w:t>Excluded</w:t>
            </w:r>
          </w:p>
        </w:tc>
      </w:tr>
      <w:tr w:rsidR="002C3391" w:rsidRPr="00BB3820" w:rsidTr="006D5F83">
        <w:tc>
          <w:tcPr>
            <w:tcW w:w="3888" w:type="dxa"/>
          </w:tcPr>
          <w:p w:rsidR="002C3391" w:rsidRPr="00BB3820" w:rsidRDefault="002C3391" w:rsidP="00BB3820">
            <w:pPr>
              <w:spacing w:line="360" w:lineRule="auto"/>
              <w:jc w:val="both"/>
              <w:rPr>
                <w:sz w:val="22"/>
                <w:szCs w:val="22"/>
              </w:rPr>
            </w:pPr>
            <w:r w:rsidRPr="00BB3820">
              <w:rPr>
                <w:sz w:val="22"/>
                <w:szCs w:val="22"/>
              </w:rPr>
              <w:t>SAS 6</w:t>
            </w:r>
          </w:p>
        </w:tc>
        <w:tc>
          <w:tcPr>
            <w:tcW w:w="2790" w:type="dxa"/>
          </w:tcPr>
          <w:p w:rsidR="002C3391" w:rsidRPr="00BB3820" w:rsidRDefault="002C3391" w:rsidP="00BB3820">
            <w:pPr>
              <w:spacing w:line="360" w:lineRule="auto"/>
              <w:jc w:val="both"/>
              <w:rPr>
                <w:sz w:val="22"/>
                <w:szCs w:val="22"/>
              </w:rPr>
            </w:pPr>
            <w:r w:rsidRPr="00BB3820">
              <w:rPr>
                <w:sz w:val="22"/>
                <w:szCs w:val="22"/>
              </w:rPr>
              <w:t>Required on certain occasions</w:t>
            </w:r>
          </w:p>
        </w:tc>
        <w:tc>
          <w:tcPr>
            <w:tcW w:w="1847" w:type="dxa"/>
          </w:tcPr>
          <w:p w:rsidR="002C3391" w:rsidRPr="00BB3820" w:rsidRDefault="002C3391" w:rsidP="00BB3820">
            <w:pPr>
              <w:spacing w:line="360" w:lineRule="auto"/>
              <w:jc w:val="both"/>
              <w:rPr>
                <w:sz w:val="22"/>
                <w:szCs w:val="22"/>
              </w:rPr>
            </w:pPr>
            <w:r w:rsidRPr="00BB3820">
              <w:rPr>
                <w:sz w:val="22"/>
                <w:szCs w:val="22"/>
              </w:rPr>
              <w:t>Excluded</w:t>
            </w:r>
          </w:p>
        </w:tc>
      </w:tr>
      <w:tr w:rsidR="002C3391" w:rsidRPr="00BB3820" w:rsidTr="006D5F83">
        <w:tc>
          <w:tcPr>
            <w:tcW w:w="3888" w:type="dxa"/>
          </w:tcPr>
          <w:p w:rsidR="002C3391" w:rsidRPr="00BB3820" w:rsidRDefault="002C3391" w:rsidP="00BB3820">
            <w:pPr>
              <w:spacing w:line="360" w:lineRule="auto"/>
              <w:jc w:val="both"/>
              <w:rPr>
                <w:sz w:val="22"/>
                <w:szCs w:val="22"/>
              </w:rPr>
            </w:pPr>
            <w:r w:rsidRPr="00BB3820">
              <w:rPr>
                <w:sz w:val="22"/>
                <w:szCs w:val="22"/>
              </w:rPr>
              <w:t>SAS 12</w:t>
            </w:r>
          </w:p>
        </w:tc>
        <w:tc>
          <w:tcPr>
            <w:tcW w:w="2790" w:type="dxa"/>
          </w:tcPr>
          <w:p w:rsidR="002C3391" w:rsidRPr="00BB3820" w:rsidRDefault="002C3391" w:rsidP="00BB3820">
            <w:pPr>
              <w:spacing w:line="360" w:lineRule="auto"/>
              <w:jc w:val="both"/>
              <w:rPr>
                <w:sz w:val="22"/>
                <w:szCs w:val="22"/>
              </w:rPr>
            </w:pPr>
            <w:r w:rsidRPr="00BB3820">
              <w:rPr>
                <w:sz w:val="22"/>
                <w:szCs w:val="22"/>
              </w:rPr>
              <w:t>Replaced by another standard, SAS 19</w:t>
            </w:r>
          </w:p>
        </w:tc>
        <w:tc>
          <w:tcPr>
            <w:tcW w:w="1847" w:type="dxa"/>
          </w:tcPr>
          <w:p w:rsidR="002C3391" w:rsidRPr="00BB3820" w:rsidRDefault="002C3391" w:rsidP="00BB3820">
            <w:pPr>
              <w:spacing w:line="360" w:lineRule="auto"/>
              <w:jc w:val="both"/>
              <w:rPr>
                <w:sz w:val="22"/>
                <w:szCs w:val="22"/>
              </w:rPr>
            </w:pPr>
            <w:r w:rsidRPr="00BB3820">
              <w:rPr>
                <w:sz w:val="22"/>
                <w:szCs w:val="22"/>
              </w:rPr>
              <w:t>Excluded</w:t>
            </w:r>
          </w:p>
        </w:tc>
      </w:tr>
      <w:tr w:rsidR="002C3391" w:rsidRPr="00BB3820" w:rsidTr="006D5F83">
        <w:tc>
          <w:tcPr>
            <w:tcW w:w="3888" w:type="dxa"/>
          </w:tcPr>
          <w:p w:rsidR="002C3391" w:rsidRPr="00BB3820" w:rsidRDefault="002C3391" w:rsidP="00BB3820">
            <w:pPr>
              <w:spacing w:line="360" w:lineRule="auto"/>
              <w:jc w:val="both"/>
              <w:rPr>
                <w:sz w:val="22"/>
                <w:szCs w:val="22"/>
              </w:rPr>
            </w:pPr>
            <w:r w:rsidRPr="00BB3820">
              <w:rPr>
                <w:sz w:val="22"/>
                <w:szCs w:val="22"/>
              </w:rPr>
              <w:t>SAS 24, SAS 25, SAS 26, SAS 27, SAS 28, SAS 29, SAS 30</w:t>
            </w:r>
          </w:p>
        </w:tc>
        <w:tc>
          <w:tcPr>
            <w:tcW w:w="2790" w:type="dxa"/>
          </w:tcPr>
          <w:p w:rsidR="002C3391" w:rsidRPr="00BB3820" w:rsidRDefault="002C3391" w:rsidP="00BB3820">
            <w:pPr>
              <w:spacing w:line="360" w:lineRule="auto"/>
              <w:jc w:val="both"/>
              <w:rPr>
                <w:sz w:val="22"/>
                <w:szCs w:val="22"/>
              </w:rPr>
            </w:pPr>
            <w:r w:rsidRPr="00BB3820">
              <w:rPr>
                <w:sz w:val="22"/>
                <w:szCs w:val="22"/>
              </w:rPr>
              <w:t>Outside the period of the study</w:t>
            </w:r>
          </w:p>
        </w:tc>
        <w:tc>
          <w:tcPr>
            <w:tcW w:w="1847" w:type="dxa"/>
          </w:tcPr>
          <w:p w:rsidR="002C3391" w:rsidRPr="00BB3820" w:rsidRDefault="002C3391" w:rsidP="00BB3820">
            <w:pPr>
              <w:spacing w:line="360" w:lineRule="auto"/>
              <w:jc w:val="both"/>
              <w:rPr>
                <w:sz w:val="22"/>
                <w:szCs w:val="22"/>
              </w:rPr>
            </w:pPr>
            <w:r w:rsidRPr="00BB3820">
              <w:rPr>
                <w:sz w:val="22"/>
                <w:szCs w:val="22"/>
              </w:rPr>
              <w:t>Excluded</w:t>
            </w:r>
          </w:p>
        </w:tc>
      </w:tr>
    </w:tbl>
    <w:p w:rsidR="00BF4515" w:rsidRPr="008573C5" w:rsidRDefault="00BF4515" w:rsidP="00BF4515">
      <w:pPr>
        <w:jc w:val="center"/>
      </w:pPr>
      <w:r w:rsidRPr="00BB3820">
        <w:rPr>
          <w:sz w:val="22"/>
          <w:szCs w:val="22"/>
        </w:rPr>
        <w:t>Source: Field Study (2009).</w:t>
      </w:r>
    </w:p>
    <w:p w:rsidR="00C90F0E" w:rsidRPr="008573C5" w:rsidRDefault="00C90F0E" w:rsidP="00C90F0E">
      <w:pPr>
        <w:spacing w:line="480" w:lineRule="auto"/>
        <w:jc w:val="both"/>
      </w:pPr>
    </w:p>
    <w:p w:rsidR="00C90F0E" w:rsidRPr="008573C5" w:rsidRDefault="009D39DF" w:rsidP="00C90F0E">
      <w:pPr>
        <w:spacing w:line="360" w:lineRule="auto"/>
        <w:jc w:val="both"/>
        <w:rPr>
          <w:b/>
        </w:rPr>
      </w:pPr>
      <w:r>
        <w:rPr>
          <w:b/>
        </w:rPr>
        <w:t>I</w:t>
      </w:r>
      <w:r w:rsidR="00C90F0E" w:rsidRPr="008573C5">
        <w:rPr>
          <w:b/>
        </w:rPr>
        <w:t>rrelevant to Annual Reports</w:t>
      </w:r>
    </w:p>
    <w:p w:rsidR="00C90F0E" w:rsidRPr="008573C5" w:rsidRDefault="00C90F0E" w:rsidP="00C90F0E">
      <w:pPr>
        <w:spacing w:line="360" w:lineRule="auto"/>
        <w:jc w:val="both"/>
      </w:pPr>
      <w:r w:rsidRPr="008573C5">
        <w:t>SAS 20</w:t>
      </w:r>
      <w:r w:rsidR="001F39AC" w:rsidRPr="008573C5">
        <w:t xml:space="preserve"> -</w:t>
      </w:r>
      <w:r w:rsidRPr="008573C5">
        <w:t xml:space="preserve"> On Abridged Financial Statements</w:t>
      </w:r>
      <w:r w:rsidR="001F39AC" w:rsidRPr="008573C5">
        <w:t>: This</w:t>
      </w:r>
      <w:r w:rsidRPr="008573C5">
        <w:t xml:space="preserve"> is a standard applicable to only abridged financial statements, not annual reports. This study measures the level of compliance in annual reports, therefore SAS 20 is irrelevant.</w:t>
      </w:r>
    </w:p>
    <w:p w:rsidR="00C90F0E" w:rsidRPr="008573C5" w:rsidRDefault="00C90F0E" w:rsidP="00C90F0E">
      <w:pPr>
        <w:spacing w:line="360" w:lineRule="auto"/>
        <w:jc w:val="both"/>
        <w:rPr>
          <w:b/>
        </w:rPr>
      </w:pPr>
      <w:r w:rsidRPr="008573C5">
        <w:rPr>
          <w:b/>
        </w:rPr>
        <w:t>Industry-specific</w:t>
      </w:r>
    </w:p>
    <w:p w:rsidR="00C90F0E" w:rsidRPr="008573C5" w:rsidRDefault="00C90F0E" w:rsidP="00B1315C">
      <w:pPr>
        <w:spacing w:line="360" w:lineRule="auto"/>
        <w:jc w:val="both"/>
      </w:pPr>
      <w:r w:rsidRPr="008573C5">
        <w:t>Standards that apply to all listed companies are considered in the study, therefore standards that apply to specific industries are not considered. These are SAS 5</w:t>
      </w:r>
      <w:r w:rsidR="001F39AC" w:rsidRPr="008573C5">
        <w:t xml:space="preserve"> -</w:t>
      </w:r>
      <w:r w:rsidRPr="008573C5">
        <w:t xml:space="preserve"> On Construction Contracts; SAS 10</w:t>
      </w:r>
      <w:r w:rsidR="001F39AC" w:rsidRPr="008573C5">
        <w:t xml:space="preserve"> -</w:t>
      </w:r>
      <w:r w:rsidRPr="008573C5">
        <w:t xml:space="preserve"> Accounting for Banks and Non-Bank Financial Institutions (Part 1); SAS</w:t>
      </w:r>
      <w:r w:rsidR="001F39AC" w:rsidRPr="008573C5">
        <w:t xml:space="preserve"> </w:t>
      </w:r>
      <w:r w:rsidRPr="008573C5">
        <w:t>11</w:t>
      </w:r>
      <w:r w:rsidR="001F39AC" w:rsidRPr="008573C5">
        <w:t xml:space="preserve"> -</w:t>
      </w:r>
      <w:r w:rsidRPr="008573C5">
        <w:t xml:space="preserve"> On Leases; SAS 14</w:t>
      </w:r>
      <w:r w:rsidR="001F39AC" w:rsidRPr="008573C5">
        <w:t xml:space="preserve"> -</w:t>
      </w:r>
      <w:r w:rsidRPr="008573C5">
        <w:t xml:space="preserve"> Accounting for Petroleum Industry: Upstream Activities; SAS 15</w:t>
      </w:r>
      <w:r w:rsidR="001F39AC" w:rsidRPr="008573C5">
        <w:t xml:space="preserve"> -</w:t>
      </w:r>
      <w:r w:rsidRPr="008573C5">
        <w:t xml:space="preserve"> Accounting for banks and non- Bank Financial Institutions (Part 2); SAS 16</w:t>
      </w:r>
      <w:r w:rsidR="001F39AC" w:rsidRPr="008573C5">
        <w:t xml:space="preserve"> -</w:t>
      </w:r>
      <w:r w:rsidRPr="008573C5">
        <w:t xml:space="preserve"> Accounting for Insurance Business; SAS 17</w:t>
      </w:r>
      <w:r w:rsidR="001F39AC" w:rsidRPr="008573C5">
        <w:t xml:space="preserve"> -</w:t>
      </w:r>
      <w:r w:rsidRPr="008573C5">
        <w:t xml:space="preserve"> Accounting for Petroleum Industry: Downstream Activities.</w:t>
      </w:r>
    </w:p>
    <w:p w:rsidR="00C90F0E" w:rsidRPr="008573C5" w:rsidRDefault="00C90F0E" w:rsidP="00B1315C">
      <w:pPr>
        <w:spacing w:line="360" w:lineRule="auto"/>
        <w:jc w:val="both"/>
        <w:rPr>
          <w:b/>
        </w:rPr>
      </w:pPr>
      <w:r w:rsidRPr="008573C5">
        <w:rPr>
          <w:b/>
        </w:rPr>
        <w:t>Required on Certain Occasions</w:t>
      </w:r>
    </w:p>
    <w:p w:rsidR="00C90F0E" w:rsidRPr="008573C5" w:rsidRDefault="00C90F0E" w:rsidP="00B1315C">
      <w:pPr>
        <w:tabs>
          <w:tab w:val="left" w:pos="0"/>
        </w:tabs>
        <w:autoSpaceDE w:val="0"/>
        <w:autoSpaceDN w:val="0"/>
        <w:adjustRightInd w:val="0"/>
        <w:spacing w:line="360" w:lineRule="auto"/>
        <w:jc w:val="both"/>
      </w:pPr>
      <w:r w:rsidRPr="008573C5">
        <w:t>SAS 6</w:t>
      </w:r>
      <w:r w:rsidR="001F39AC" w:rsidRPr="008573C5">
        <w:t xml:space="preserve"> -</w:t>
      </w:r>
      <w:r w:rsidRPr="008573C5">
        <w:t xml:space="preserve"> On Extraordinary items and Prior Year Adjustments</w:t>
      </w:r>
      <w:r w:rsidR="001F39AC" w:rsidRPr="008573C5">
        <w:t>:  This</w:t>
      </w:r>
      <w:r w:rsidRPr="008573C5">
        <w:t xml:space="preserve"> is a standard that applies </w:t>
      </w:r>
      <w:r w:rsidR="001F39AC" w:rsidRPr="008573C5">
        <w:t>to</w:t>
      </w:r>
      <w:r w:rsidRPr="008573C5">
        <w:t xml:space="preserve"> certain occasions when there are extraordinary items or prior year adjustments. Since the non-disclosure of these items cannot be determined it is therefore eliminated from the study.</w:t>
      </w:r>
    </w:p>
    <w:p w:rsidR="00C90F0E" w:rsidRPr="008573C5" w:rsidRDefault="00C90F0E" w:rsidP="00B1315C">
      <w:pPr>
        <w:spacing w:line="360" w:lineRule="auto"/>
        <w:jc w:val="both"/>
        <w:rPr>
          <w:b/>
        </w:rPr>
      </w:pPr>
      <w:r w:rsidRPr="008573C5">
        <w:rPr>
          <w:b/>
        </w:rPr>
        <w:t>Replaced by another Standard</w:t>
      </w:r>
    </w:p>
    <w:p w:rsidR="00C90F0E" w:rsidRPr="008573C5" w:rsidRDefault="00C90F0E" w:rsidP="00B1315C">
      <w:pPr>
        <w:spacing w:line="360" w:lineRule="auto"/>
        <w:jc w:val="both"/>
      </w:pPr>
      <w:r w:rsidRPr="008573C5">
        <w:t>Due to global developments and the need to broaden SAS 12</w:t>
      </w:r>
      <w:r w:rsidR="001F39AC" w:rsidRPr="008573C5">
        <w:t xml:space="preserve"> -</w:t>
      </w:r>
      <w:r w:rsidRPr="008573C5">
        <w:t xml:space="preserve"> Accounting for Deferred Taxes was revised and replaced by SAS 19, Accounting for Ta</w:t>
      </w:r>
      <w:r w:rsidR="000D4588" w:rsidRPr="008573C5">
        <w:t>xes. Since SAS 12 has been repea</w:t>
      </w:r>
      <w:r w:rsidRPr="008573C5">
        <w:t>led</w:t>
      </w:r>
      <w:r w:rsidR="00C73B43" w:rsidRPr="008573C5">
        <w:t>,</w:t>
      </w:r>
      <w:r w:rsidRPr="008573C5">
        <w:t xml:space="preserve"> it is not considered in the study.</w:t>
      </w:r>
    </w:p>
    <w:p w:rsidR="00C90F0E" w:rsidRPr="008573C5" w:rsidRDefault="00C90F0E" w:rsidP="00B1315C">
      <w:pPr>
        <w:spacing w:line="360" w:lineRule="auto"/>
        <w:jc w:val="both"/>
        <w:rPr>
          <w:b/>
        </w:rPr>
      </w:pPr>
      <w:r w:rsidRPr="008573C5">
        <w:rPr>
          <w:b/>
        </w:rPr>
        <w:t>Outside the period of the Study</w:t>
      </w:r>
    </w:p>
    <w:p w:rsidR="00C90F0E" w:rsidRPr="008573C5" w:rsidRDefault="00C90F0E" w:rsidP="00B1315C">
      <w:pPr>
        <w:spacing w:line="360" w:lineRule="auto"/>
        <w:jc w:val="both"/>
        <w:rPr>
          <w:lang w:val="en-GB"/>
        </w:rPr>
      </w:pPr>
      <w:r w:rsidRPr="008573C5">
        <w:t xml:space="preserve">Seven standards </w:t>
      </w:r>
      <w:r w:rsidR="00C73B43" w:rsidRPr="008573C5">
        <w:t>are</w:t>
      </w:r>
      <w:r w:rsidRPr="008573C5">
        <w:t xml:space="preserve"> excluded from the study because </w:t>
      </w:r>
      <w:r w:rsidR="005361DF" w:rsidRPr="008573C5">
        <w:t xml:space="preserve">they </w:t>
      </w:r>
      <w:r w:rsidR="00C73B43" w:rsidRPr="008573C5">
        <w:t>are</w:t>
      </w:r>
      <w:r w:rsidR="005361DF" w:rsidRPr="008573C5">
        <w:t xml:space="preserve"> not </w:t>
      </w:r>
      <w:r w:rsidRPr="008573C5">
        <w:t>applicable to the period of study, year end from 1 January to 31 D</w:t>
      </w:r>
      <w:r w:rsidR="001F39AC" w:rsidRPr="008573C5">
        <w:t>ecember 2006. These are: SAS 24 -</w:t>
      </w:r>
      <w:r w:rsidRPr="008573C5">
        <w:t xml:space="preserve"> On Segment Reporting; SAS 25</w:t>
      </w:r>
      <w:r w:rsidR="001F39AC" w:rsidRPr="008573C5">
        <w:t xml:space="preserve"> - </w:t>
      </w:r>
      <w:r w:rsidRPr="008573C5">
        <w:rPr>
          <w:lang w:val="en-GB"/>
        </w:rPr>
        <w:t>Telecommunication Activities; SAS 26,</w:t>
      </w:r>
      <w:r w:rsidRPr="008573C5">
        <w:rPr>
          <w:lang w:val="en-GB"/>
        </w:rPr>
        <w:tab/>
        <w:t>Business Combinations; SAS 27</w:t>
      </w:r>
      <w:r w:rsidR="001F39AC" w:rsidRPr="008573C5">
        <w:rPr>
          <w:lang w:val="en-GB"/>
        </w:rPr>
        <w:t xml:space="preserve"> -</w:t>
      </w:r>
      <w:r w:rsidRPr="008573C5">
        <w:rPr>
          <w:lang w:val="en-GB"/>
        </w:rPr>
        <w:t xml:space="preserve"> Consolidated and Separate Financial Statements; SAS 28</w:t>
      </w:r>
      <w:r w:rsidR="001F39AC" w:rsidRPr="008573C5">
        <w:rPr>
          <w:lang w:val="en-GB"/>
        </w:rPr>
        <w:t xml:space="preserve"> -</w:t>
      </w:r>
      <w:r w:rsidRPr="008573C5">
        <w:rPr>
          <w:lang w:val="en-GB"/>
        </w:rPr>
        <w:t xml:space="preserve"> Investment in Associates; SAS 29</w:t>
      </w:r>
      <w:r w:rsidR="001F39AC" w:rsidRPr="008573C5">
        <w:rPr>
          <w:lang w:val="en-GB"/>
        </w:rPr>
        <w:t xml:space="preserve"> -</w:t>
      </w:r>
      <w:r w:rsidRPr="008573C5">
        <w:rPr>
          <w:lang w:val="en-GB"/>
        </w:rPr>
        <w:t xml:space="preserve"> Interests in Joint Ventures; and SAS 30</w:t>
      </w:r>
      <w:r w:rsidR="001F39AC" w:rsidRPr="008573C5">
        <w:rPr>
          <w:lang w:val="en-GB"/>
        </w:rPr>
        <w:t xml:space="preserve"> -</w:t>
      </w:r>
      <w:r w:rsidRPr="008573C5">
        <w:rPr>
          <w:lang w:val="en-GB"/>
        </w:rPr>
        <w:t xml:space="preserve"> Interim Financial Reporting.</w:t>
      </w:r>
    </w:p>
    <w:p w:rsidR="00441B6C" w:rsidRPr="008573C5" w:rsidRDefault="00441B6C" w:rsidP="00C90F0E">
      <w:pPr>
        <w:jc w:val="center"/>
        <w:rPr>
          <w:b/>
          <w:sz w:val="28"/>
          <w:szCs w:val="28"/>
        </w:rPr>
      </w:pPr>
    </w:p>
    <w:p w:rsidR="00441B6C" w:rsidRPr="008573C5" w:rsidRDefault="00441B6C" w:rsidP="00C90F0E">
      <w:pPr>
        <w:jc w:val="center"/>
        <w:rPr>
          <w:b/>
          <w:sz w:val="28"/>
          <w:szCs w:val="28"/>
        </w:rPr>
      </w:pPr>
    </w:p>
    <w:p w:rsidR="00C90F0E" w:rsidRPr="008573C5" w:rsidRDefault="00C90F0E" w:rsidP="00C90F0E">
      <w:pPr>
        <w:jc w:val="center"/>
        <w:rPr>
          <w:b/>
          <w:sz w:val="28"/>
          <w:szCs w:val="28"/>
        </w:rPr>
      </w:pPr>
      <w:r w:rsidRPr="008573C5">
        <w:rPr>
          <w:b/>
          <w:sz w:val="28"/>
          <w:szCs w:val="28"/>
        </w:rPr>
        <w:t>Table</w:t>
      </w:r>
      <w:r w:rsidR="000E6312" w:rsidRPr="008573C5">
        <w:rPr>
          <w:b/>
          <w:sz w:val="28"/>
          <w:szCs w:val="28"/>
        </w:rPr>
        <w:t xml:space="preserve"> </w:t>
      </w:r>
      <w:r w:rsidRPr="008573C5">
        <w:rPr>
          <w:b/>
          <w:sz w:val="28"/>
          <w:szCs w:val="28"/>
        </w:rPr>
        <w:t>3.</w:t>
      </w:r>
      <w:r w:rsidR="000E6312" w:rsidRPr="008573C5">
        <w:rPr>
          <w:b/>
          <w:sz w:val="28"/>
          <w:szCs w:val="28"/>
        </w:rPr>
        <w:t>0</w:t>
      </w:r>
      <w:r w:rsidRPr="008573C5">
        <w:rPr>
          <w:b/>
          <w:sz w:val="28"/>
          <w:szCs w:val="28"/>
        </w:rPr>
        <w:t>3 Parity of SAS with IFRS as at 31</w:t>
      </w:r>
      <w:r w:rsidRPr="008573C5">
        <w:rPr>
          <w:b/>
          <w:sz w:val="28"/>
          <w:szCs w:val="28"/>
          <w:vertAlign w:val="superscript"/>
        </w:rPr>
        <w:t>st</w:t>
      </w:r>
      <w:r w:rsidRPr="008573C5">
        <w:rPr>
          <w:b/>
          <w:sz w:val="28"/>
          <w:szCs w:val="28"/>
        </w:rPr>
        <w:t xml:space="preserve"> December 2006 </w:t>
      </w:r>
    </w:p>
    <w:p w:rsidR="00C90F0E" w:rsidRPr="008573C5" w:rsidRDefault="00C90F0E" w:rsidP="00C90F0E">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2"/>
        <w:gridCol w:w="4263"/>
      </w:tblGrid>
      <w:tr w:rsidR="00C90F0E" w:rsidRPr="008573C5" w:rsidTr="00A7236B">
        <w:tc>
          <w:tcPr>
            <w:tcW w:w="4262" w:type="dxa"/>
          </w:tcPr>
          <w:p w:rsidR="00C90F0E" w:rsidRPr="008573C5" w:rsidRDefault="00C90F0E" w:rsidP="00A7236B">
            <w:pPr>
              <w:jc w:val="center"/>
              <w:rPr>
                <w:sz w:val="22"/>
                <w:szCs w:val="22"/>
              </w:rPr>
            </w:pPr>
          </w:p>
        </w:tc>
        <w:tc>
          <w:tcPr>
            <w:tcW w:w="4263" w:type="dxa"/>
          </w:tcPr>
          <w:p w:rsidR="00C90F0E" w:rsidRPr="008573C5" w:rsidRDefault="00C90F0E" w:rsidP="00A7236B">
            <w:pPr>
              <w:jc w:val="center"/>
              <w:rPr>
                <w:sz w:val="22"/>
                <w:szCs w:val="22"/>
              </w:rPr>
            </w:pPr>
            <w:r w:rsidRPr="008573C5">
              <w:rPr>
                <w:sz w:val="22"/>
                <w:szCs w:val="22"/>
              </w:rPr>
              <w:t>Standards</w:t>
            </w:r>
          </w:p>
        </w:tc>
      </w:tr>
      <w:tr w:rsidR="00C90F0E" w:rsidRPr="008573C5" w:rsidTr="00A7236B">
        <w:tc>
          <w:tcPr>
            <w:tcW w:w="4262" w:type="dxa"/>
          </w:tcPr>
          <w:p w:rsidR="00C90F0E" w:rsidRPr="009D39DF" w:rsidRDefault="00C90F0E" w:rsidP="00A7236B">
            <w:pPr>
              <w:rPr>
                <w:sz w:val="22"/>
                <w:szCs w:val="22"/>
              </w:rPr>
            </w:pPr>
            <w:r w:rsidRPr="009D39DF">
              <w:rPr>
                <w:sz w:val="22"/>
                <w:szCs w:val="22"/>
              </w:rPr>
              <w:t>SAS with equivalent/revised IFRS</w:t>
            </w:r>
          </w:p>
        </w:tc>
        <w:tc>
          <w:tcPr>
            <w:tcW w:w="4263" w:type="dxa"/>
          </w:tcPr>
          <w:p w:rsidR="00C90F0E" w:rsidRPr="009D39DF" w:rsidRDefault="00C90F0E" w:rsidP="00A7236B">
            <w:pPr>
              <w:autoSpaceDE w:val="0"/>
              <w:autoSpaceDN w:val="0"/>
              <w:adjustRightInd w:val="0"/>
              <w:rPr>
                <w:sz w:val="22"/>
                <w:szCs w:val="22"/>
              </w:rPr>
            </w:pPr>
            <w:r w:rsidRPr="009D39DF">
              <w:rPr>
                <w:sz w:val="22"/>
                <w:szCs w:val="22"/>
              </w:rPr>
              <w:t>SAS 1, SAS 2, SAS 3, SAS 4, SAS 5, SAS 6, SAS 7, SAS 8, SAS 9, SAS 10, SAS 11, SAS 13,  SAS 15, SAS 18, SAS 19, SAS 21, SAS 22, SAS 23</w:t>
            </w:r>
          </w:p>
        </w:tc>
      </w:tr>
      <w:tr w:rsidR="00C90F0E" w:rsidRPr="008573C5" w:rsidTr="00A7236B">
        <w:tc>
          <w:tcPr>
            <w:tcW w:w="4262" w:type="dxa"/>
          </w:tcPr>
          <w:p w:rsidR="00C90F0E" w:rsidRPr="009D39DF" w:rsidRDefault="00C90F0E" w:rsidP="00A7236B">
            <w:pPr>
              <w:rPr>
                <w:sz w:val="22"/>
                <w:szCs w:val="22"/>
              </w:rPr>
            </w:pPr>
            <w:r w:rsidRPr="009D39DF">
              <w:rPr>
                <w:sz w:val="22"/>
                <w:szCs w:val="22"/>
              </w:rPr>
              <w:t>SAS with no equivalent IFRS</w:t>
            </w:r>
          </w:p>
        </w:tc>
        <w:tc>
          <w:tcPr>
            <w:tcW w:w="4263" w:type="dxa"/>
          </w:tcPr>
          <w:p w:rsidR="00C90F0E" w:rsidRPr="009D39DF" w:rsidRDefault="00C90F0E" w:rsidP="00A7236B">
            <w:pPr>
              <w:rPr>
                <w:sz w:val="22"/>
                <w:szCs w:val="22"/>
              </w:rPr>
            </w:pPr>
            <w:r w:rsidRPr="009D39DF">
              <w:rPr>
                <w:sz w:val="22"/>
                <w:szCs w:val="22"/>
              </w:rPr>
              <w:t>SAS 14, SAS 16, SAS 17, SAS 20</w:t>
            </w:r>
          </w:p>
        </w:tc>
      </w:tr>
      <w:tr w:rsidR="00C90F0E" w:rsidRPr="008573C5" w:rsidTr="00A7236B">
        <w:tc>
          <w:tcPr>
            <w:tcW w:w="4262" w:type="dxa"/>
          </w:tcPr>
          <w:p w:rsidR="00C90F0E" w:rsidRPr="009D39DF" w:rsidRDefault="00C90F0E" w:rsidP="00A7236B">
            <w:pPr>
              <w:rPr>
                <w:sz w:val="22"/>
                <w:szCs w:val="22"/>
              </w:rPr>
            </w:pPr>
            <w:r w:rsidRPr="009D39DF">
              <w:rPr>
                <w:sz w:val="22"/>
                <w:szCs w:val="22"/>
              </w:rPr>
              <w:t>IFRS where no equivalent SAS exists</w:t>
            </w:r>
          </w:p>
        </w:tc>
        <w:tc>
          <w:tcPr>
            <w:tcW w:w="4263" w:type="dxa"/>
          </w:tcPr>
          <w:p w:rsidR="00C90F0E" w:rsidRPr="009D39DF" w:rsidRDefault="00C90F0E" w:rsidP="00A7236B">
            <w:pPr>
              <w:rPr>
                <w:sz w:val="22"/>
                <w:szCs w:val="22"/>
              </w:rPr>
            </w:pPr>
            <w:r w:rsidRPr="009D39DF">
              <w:rPr>
                <w:sz w:val="22"/>
                <w:szCs w:val="22"/>
              </w:rPr>
              <w:t>IAS 14, IAS 18, IAS 20, IAS 23, IAS 24, IAS 27, IAS 28, IAS 29, IAS 31, IAS 32, IAS 34, IAS 36,  IAS 38, IAS 39,  IAS 41, IFRS 1, IFRS 2, IFRS 3, IFRS 4, IFRS 5, IFRS 6</w:t>
            </w:r>
          </w:p>
        </w:tc>
      </w:tr>
    </w:tbl>
    <w:p w:rsidR="00DE7540" w:rsidRDefault="00DE7540" w:rsidP="00BF4515">
      <w:pPr>
        <w:jc w:val="center"/>
        <w:rPr>
          <w:b/>
        </w:rPr>
      </w:pPr>
    </w:p>
    <w:p w:rsidR="00BF4515" w:rsidRPr="008573C5" w:rsidRDefault="00BF4515" w:rsidP="00BF4515">
      <w:pPr>
        <w:jc w:val="center"/>
        <w:rPr>
          <w:b/>
        </w:rPr>
      </w:pPr>
      <w:r w:rsidRPr="008573C5">
        <w:rPr>
          <w:b/>
        </w:rPr>
        <w:t>Source: Field Study (2009).</w:t>
      </w:r>
    </w:p>
    <w:p w:rsidR="00CA1A40" w:rsidRPr="008573C5" w:rsidRDefault="00CA1A40" w:rsidP="00CA1A40">
      <w:pPr>
        <w:spacing w:line="480" w:lineRule="auto"/>
        <w:jc w:val="both"/>
        <w:rPr>
          <w:b/>
        </w:rPr>
      </w:pPr>
    </w:p>
    <w:p w:rsidR="00C90F0E" w:rsidRPr="008573C5" w:rsidRDefault="00C90F0E" w:rsidP="00C90F0E">
      <w:pPr>
        <w:spacing w:line="360" w:lineRule="auto"/>
        <w:jc w:val="both"/>
      </w:pPr>
      <w:r w:rsidRPr="008573C5">
        <w:t>The parity of SASs and IFRSs are as described in Table 3.</w:t>
      </w:r>
      <w:r w:rsidR="00FF74E6" w:rsidRPr="008573C5">
        <w:t>0</w:t>
      </w:r>
      <w:r w:rsidRPr="008573C5">
        <w:t>3 above. It</w:t>
      </w:r>
      <w:r w:rsidR="001F39AC" w:rsidRPr="008573C5">
        <w:t xml:space="preserve"> shows</w:t>
      </w:r>
      <w:r w:rsidRPr="008573C5">
        <w:t xml:space="preserve"> the various Nigerian standards with IFRS equivalents, Nigerian standards with no IFRS equivalent and IFRS with no Nigerian equivalent. </w:t>
      </w:r>
    </w:p>
    <w:p w:rsidR="00C90F0E" w:rsidRPr="008573C5" w:rsidRDefault="00C90F0E" w:rsidP="00C90F0E">
      <w:pPr>
        <w:spacing w:line="360" w:lineRule="auto"/>
        <w:jc w:val="both"/>
      </w:pPr>
    </w:p>
    <w:p w:rsidR="00C90F0E" w:rsidRPr="008573C5" w:rsidRDefault="00A87FEC" w:rsidP="00C90F0E">
      <w:pPr>
        <w:spacing w:line="360" w:lineRule="auto"/>
        <w:jc w:val="both"/>
        <w:rPr>
          <w:b/>
        </w:rPr>
      </w:pPr>
      <w:r w:rsidRPr="008573C5">
        <w:rPr>
          <w:b/>
          <w:bCs/>
        </w:rPr>
        <w:t>3.2.3</w:t>
      </w:r>
      <w:r w:rsidR="006A67BD" w:rsidRPr="008573C5">
        <w:rPr>
          <w:b/>
          <w:bCs/>
        </w:rPr>
        <w:t>.4.2</w:t>
      </w:r>
      <w:r w:rsidRPr="008573C5">
        <w:rPr>
          <w:b/>
          <w:bCs/>
        </w:rPr>
        <w:t xml:space="preserve"> </w:t>
      </w:r>
      <w:r w:rsidRPr="008573C5">
        <w:rPr>
          <w:b/>
        </w:rPr>
        <w:t xml:space="preserve"> Selection of IASs/IFRSs</w:t>
      </w:r>
    </w:p>
    <w:p w:rsidR="00C90F0E" w:rsidRPr="008573C5" w:rsidRDefault="00C90F0E" w:rsidP="00C90F0E">
      <w:pPr>
        <w:spacing w:line="360" w:lineRule="auto"/>
        <w:jc w:val="both"/>
      </w:pPr>
      <w:r w:rsidRPr="008573C5">
        <w:t xml:space="preserve">IASs/IFRSs applicable to listed companies are as contained in Appendix </w:t>
      </w:r>
      <w:r w:rsidR="00FF74E6" w:rsidRPr="008573C5">
        <w:t>III.</w:t>
      </w:r>
      <w:r w:rsidRPr="008573C5">
        <w:t xml:space="preserve"> The selection or non-selection of the accounting standards </w:t>
      </w:r>
      <w:r w:rsidR="00DE7540">
        <w:t>i</w:t>
      </w:r>
      <w:r w:rsidRPr="008573C5">
        <w:t>s based on the criteria</w:t>
      </w:r>
      <w:r w:rsidR="006136A4" w:rsidRPr="008573C5">
        <w:t xml:space="preserve"> shown in Table 3.04.</w:t>
      </w:r>
      <w:r w:rsidRPr="008573C5">
        <w:t xml:space="preserve"> </w:t>
      </w:r>
    </w:p>
    <w:p w:rsidR="00441B6C" w:rsidRPr="008573C5" w:rsidRDefault="00441B6C" w:rsidP="00441B6C">
      <w:pPr>
        <w:autoSpaceDE w:val="0"/>
        <w:autoSpaceDN w:val="0"/>
        <w:adjustRightInd w:val="0"/>
        <w:spacing w:line="360" w:lineRule="auto"/>
        <w:ind w:left="720" w:hanging="720"/>
        <w:rPr>
          <w:b/>
        </w:rPr>
      </w:pPr>
    </w:p>
    <w:p w:rsidR="00BB3820" w:rsidRDefault="00BB3820" w:rsidP="00441B6C">
      <w:pPr>
        <w:autoSpaceDE w:val="0"/>
        <w:autoSpaceDN w:val="0"/>
        <w:adjustRightInd w:val="0"/>
        <w:spacing w:line="360" w:lineRule="auto"/>
        <w:ind w:left="720" w:hanging="720"/>
        <w:jc w:val="both"/>
        <w:rPr>
          <w:b/>
        </w:rPr>
      </w:pPr>
    </w:p>
    <w:p w:rsidR="00441B6C" w:rsidRPr="008573C5" w:rsidRDefault="00441B6C" w:rsidP="00441B6C">
      <w:pPr>
        <w:autoSpaceDE w:val="0"/>
        <w:autoSpaceDN w:val="0"/>
        <w:adjustRightInd w:val="0"/>
        <w:spacing w:line="360" w:lineRule="auto"/>
        <w:ind w:left="720" w:hanging="720"/>
        <w:jc w:val="both"/>
        <w:rPr>
          <w:b/>
        </w:rPr>
      </w:pPr>
      <w:r w:rsidRPr="008573C5">
        <w:rPr>
          <w:b/>
        </w:rPr>
        <w:t>Relevant to Financial and Non-Financial Companies in Nigeria</w:t>
      </w:r>
    </w:p>
    <w:p w:rsidR="0059440A" w:rsidRPr="008573C5" w:rsidRDefault="00441B6C" w:rsidP="0059440A">
      <w:pPr>
        <w:autoSpaceDE w:val="0"/>
        <w:autoSpaceDN w:val="0"/>
        <w:adjustRightInd w:val="0"/>
        <w:spacing w:line="360" w:lineRule="auto"/>
        <w:jc w:val="both"/>
      </w:pPr>
      <w:r w:rsidRPr="008573C5">
        <w:t>SAS</w:t>
      </w:r>
      <w:r w:rsidR="008E5826" w:rsidRPr="008573C5">
        <w:t>s</w:t>
      </w:r>
      <w:r w:rsidRPr="008573C5">
        <w:t xml:space="preserve"> does not materially conform to IFRS</w:t>
      </w:r>
      <w:r w:rsidR="008E5826" w:rsidRPr="008573C5">
        <w:t>s</w:t>
      </w:r>
      <w:r w:rsidRPr="008573C5">
        <w:t xml:space="preserve"> due to differences that bound substantially in scope, content and disclosure requirements. In </w:t>
      </w:r>
      <w:r w:rsidR="00C93FE0" w:rsidRPr="008573C5">
        <w:t>the period of the study, twenty one</w:t>
      </w:r>
      <w:r w:rsidRPr="008573C5">
        <w:t xml:space="preserve"> International Standards </w:t>
      </w:r>
      <w:r w:rsidR="00C73B43" w:rsidRPr="008573C5">
        <w:t>are</w:t>
      </w:r>
      <w:r w:rsidRPr="008573C5">
        <w:t xml:space="preserve"> found to be relevant to financial and non-financial companies. </w:t>
      </w:r>
      <w:r w:rsidR="008B252E" w:rsidRPr="008573C5">
        <w:t>After the preliminary analysis, the availability of informati</w:t>
      </w:r>
      <w:r w:rsidR="00DE7540">
        <w:t>on to determine whether there i</w:t>
      </w:r>
      <w:r w:rsidR="008B252E" w:rsidRPr="008573C5">
        <w:t>s compliance with the IFRS by the majority of the companies or not</w:t>
      </w:r>
      <w:r w:rsidR="00DE7540">
        <w:t xml:space="preserve"> is assessed. It i</w:t>
      </w:r>
      <w:r w:rsidR="008B252E" w:rsidRPr="008573C5">
        <w:t>s observed that the disclosure content that will assist us to determine the level of compl</w:t>
      </w:r>
      <w:r w:rsidR="00DE7540">
        <w:t>iance by the listed companies i</w:t>
      </w:r>
      <w:r w:rsidR="008B252E" w:rsidRPr="008573C5">
        <w:t xml:space="preserve">s very low in some cases (See Table 4.04).  Disclosure requirements of some Standards </w:t>
      </w:r>
      <w:r w:rsidR="00C73B43" w:rsidRPr="008573C5">
        <w:t>are</w:t>
      </w:r>
      <w:r w:rsidR="008B252E" w:rsidRPr="008573C5">
        <w:t xml:space="preserve"> not disclosed by all the companies.  IAS 20 Government Grants and Government Assistance and IFRS 2 Share Based Payment </w:t>
      </w:r>
      <w:r w:rsidR="00C73B43" w:rsidRPr="008573C5">
        <w:t>are</w:t>
      </w:r>
      <w:r w:rsidR="008B252E" w:rsidRPr="008573C5">
        <w:t xml:space="preserve"> eliminated for this reason.  Others where low compliance </w:t>
      </w:r>
      <w:r w:rsidR="00DE7540">
        <w:t>are</w:t>
      </w:r>
      <w:r w:rsidR="008B252E" w:rsidRPr="008573C5">
        <w:t xml:space="preserve"> recorded such as IAS 2, IAS 20, IAS 21, IAS 31 were also excluded.  Of the remaining fifteen standards, five Standards - IAS 1, IAS 10, IAS 16, IAS 37, IAS 40 - have national unrevised equivalent, while the remaining ten Standards  - IAS 14, IAS 18, IAS 23, IAS 24, IAS 27, IAS 28, IAS 32, IAS 36, IAS 38, IFRS 3- do not have equivalent Standard in Nigeria. For Standards with national unrevised equivalent, only the revised disclosures </w:t>
      </w:r>
      <w:r w:rsidR="00C73B43" w:rsidRPr="008573C5">
        <w:t>are</w:t>
      </w:r>
      <w:r w:rsidR="008B252E" w:rsidRPr="008573C5">
        <w:t xml:space="preserve"> included in the disclosure</w:t>
      </w:r>
      <w:r w:rsidR="0059440A" w:rsidRPr="008573C5">
        <w:t xml:space="preserve"> checklist, questions applicable to both SAS and IFRS </w:t>
      </w:r>
      <w:r w:rsidR="00DE7540">
        <w:t>are</w:t>
      </w:r>
      <w:r w:rsidR="0059440A" w:rsidRPr="008573C5">
        <w:t xml:space="preserve"> not included since they are in the SAS disclosure check list.</w:t>
      </w:r>
    </w:p>
    <w:p w:rsidR="0059440A" w:rsidRPr="008573C5" w:rsidRDefault="0059440A" w:rsidP="0059440A">
      <w:pPr>
        <w:autoSpaceDE w:val="0"/>
        <w:autoSpaceDN w:val="0"/>
        <w:adjustRightInd w:val="0"/>
        <w:spacing w:line="360" w:lineRule="auto"/>
        <w:jc w:val="both"/>
      </w:pPr>
    </w:p>
    <w:p w:rsidR="0059440A" w:rsidRPr="008573C5" w:rsidRDefault="0059440A" w:rsidP="0059440A">
      <w:pPr>
        <w:autoSpaceDE w:val="0"/>
        <w:autoSpaceDN w:val="0"/>
        <w:adjustRightInd w:val="0"/>
        <w:spacing w:line="360" w:lineRule="auto"/>
        <w:jc w:val="both"/>
        <w:rPr>
          <w:b/>
        </w:rPr>
      </w:pPr>
      <w:r w:rsidRPr="008573C5">
        <w:rPr>
          <w:b/>
        </w:rPr>
        <w:t>Accord substantially with the requirements of equivalent Nigerian standards</w:t>
      </w:r>
    </w:p>
    <w:p w:rsidR="0059440A" w:rsidRPr="008573C5" w:rsidRDefault="0059440A" w:rsidP="0059440A">
      <w:pPr>
        <w:autoSpaceDE w:val="0"/>
        <w:autoSpaceDN w:val="0"/>
        <w:adjustRightInd w:val="0"/>
        <w:spacing w:line="360" w:lineRule="auto"/>
        <w:jc w:val="both"/>
      </w:pPr>
      <w:r w:rsidRPr="008573C5">
        <w:t xml:space="preserve">Disclosure requirements of IAS 7 Cash Flow Statement and IAS 9 Research and Development accord substantially with SAS 18, Statement of Cash flow and SAS 22, On Research and Development costs respectively. Therefore these two standards are excluded from the study because the disclosures are duly incorporated into its national equivalent. </w:t>
      </w:r>
    </w:p>
    <w:p w:rsidR="00441B6C" w:rsidRPr="008573C5" w:rsidRDefault="00441B6C" w:rsidP="008B252E">
      <w:pPr>
        <w:spacing w:line="360" w:lineRule="auto"/>
        <w:jc w:val="both"/>
        <w:rPr>
          <w:b/>
          <w:sz w:val="28"/>
          <w:szCs w:val="28"/>
        </w:rPr>
      </w:pPr>
    </w:p>
    <w:p w:rsidR="0059440A" w:rsidRPr="008573C5" w:rsidRDefault="0059440A" w:rsidP="0059440A">
      <w:pPr>
        <w:spacing w:line="360" w:lineRule="auto"/>
        <w:jc w:val="both"/>
        <w:rPr>
          <w:b/>
        </w:rPr>
      </w:pPr>
      <w:r w:rsidRPr="008573C5">
        <w:rPr>
          <w:b/>
        </w:rPr>
        <w:t>Required on Certain Situations</w:t>
      </w:r>
    </w:p>
    <w:p w:rsidR="0059440A" w:rsidRPr="008573C5" w:rsidRDefault="0059440A" w:rsidP="0059440A">
      <w:pPr>
        <w:autoSpaceDE w:val="0"/>
        <w:autoSpaceDN w:val="0"/>
        <w:adjustRightInd w:val="0"/>
        <w:spacing w:line="360" w:lineRule="auto"/>
        <w:jc w:val="both"/>
      </w:pPr>
      <w:r w:rsidRPr="008573C5">
        <w:t>Any standard that applies just on certain occasions such as IAS 8 Accounting Policies, Changes in Accounting Estimates and Errors and IFRS 5 Non Current Assets are excluded from the study. This is due to the fact that non-disclosure of these items cannot be determined by the researcher.</w:t>
      </w:r>
    </w:p>
    <w:p w:rsidR="00BB3820" w:rsidRDefault="00BB3820" w:rsidP="000E6312">
      <w:pPr>
        <w:spacing w:line="360" w:lineRule="auto"/>
        <w:jc w:val="center"/>
        <w:rPr>
          <w:b/>
          <w:sz w:val="28"/>
          <w:szCs w:val="28"/>
        </w:rPr>
      </w:pPr>
    </w:p>
    <w:p w:rsidR="00C90F0E" w:rsidRPr="008573C5" w:rsidRDefault="00441B6C" w:rsidP="000E6312">
      <w:pPr>
        <w:spacing w:line="360" w:lineRule="auto"/>
        <w:jc w:val="center"/>
        <w:rPr>
          <w:b/>
          <w:sz w:val="28"/>
          <w:szCs w:val="28"/>
        </w:rPr>
      </w:pPr>
      <w:r w:rsidRPr="008573C5">
        <w:rPr>
          <w:b/>
          <w:sz w:val="28"/>
          <w:szCs w:val="28"/>
        </w:rPr>
        <w:t>T</w:t>
      </w:r>
      <w:r w:rsidR="00C90F0E" w:rsidRPr="008573C5">
        <w:rPr>
          <w:b/>
          <w:sz w:val="28"/>
          <w:szCs w:val="28"/>
        </w:rPr>
        <w:t>able  3.</w:t>
      </w:r>
      <w:r w:rsidR="000E6312" w:rsidRPr="008573C5">
        <w:rPr>
          <w:b/>
          <w:sz w:val="28"/>
          <w:szCs w:val="28"/>
        </w:rPr>
        <w:t>0</w:t>
      </w:r>
      <w:r w:rsidR="00C90F0E" w:rsidRPr="008573C5">
        <w:rPr>
          <w:b/>
          <w:sz w:val="28"/>
          <w:szCs w:val="28"/>
        </w:rPr>
        <w:t>4</w:t>
      </w:r>
      <w:r w:rsidR="000E6312" w:rsidRPr="008573C5">
        <w:rPr>
          <w:b/>
          <w:sz w:val="28"/>
          <w:szCs w:val="28"/>
        </w:rPr>
        <w:t xml:space="preserve">: </w:t>
      </w:r>
      <w:r w:rsidR="00C90F0E" w:rsidRPr="008573C5">
        <w:rPr>
          <w:b/>
          <w:sz w:val="28"/>
          <w:szCs w:val="28"/>
        </w:rPr>
        <w:t xml:space="preserve"> Reasons for Inclusion or Exclusion </w:t>
      </w:r>
      <w:r w:rsidR="000E6312" w:rsidRPr="008573C5">
        <w:rPr>
          <w:b/>
          <w:sz w:val="28"/>
          <w:szCs w:val="28"/>
        </w:rPr>
        <w:t>of IASs/IFRSs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6"/>
        <w:gridCol w:w="3582"/>
        <w:gridCol w:w="3007"/>
      </w:tblGrid>
      <w:tr w:rsidR="00891215" w:rsidRPr="008573C5" w:rsidTr="00891215">
        <w:tc>
          <w:tcPr>
            <w:tcW w:w="1936" w:type="dxa"/>
          </w:tcPr>
          <w:p w:rsidR="00891215" w:rsidRPr="00BB3820" w:rsidRDefault="00891215" w:rsidP="00A7236B">
            <w:pPr>
              <w:spacing w:line="360" w:lineRule="auto"/>
              <w:jc w:val="both"/>
              <w:rPr>
                <w:b/>
                <w:sz w:val="22"/>
                <w:szCs w:val="22"/>
              </w:rPr>
            </w:pPr>
            <w:r w:rsidRPr="00BB3820">
              <w:rPr>
                <w:b/>
                <w:sz w:val="22"/>
                <w:szCs w:val="22"/>
              </w:rPr>
              <w:t>Standards</w:t>
            </w:r>
          </w:p>
        </w:tc>
        <w:tc>
          <w:tcPr>
            <w:tcW w:w="3582" w:type="dxa"/>
          </w:tcPr>
          <w:p w:rsidR="00891215" w:rsidRPr="00BB3820" w:rsidRDefault="00891215" w:rsidP="00A7236B">
            <w:pPr>
              <w:spacing w:line="360" w:lineRule="auto"/>
              <w:jc w:val="both"/>
              <w:rPr>
                <w:b/>
                <w:sz w:val="22"/>
                <w:szCs w:val="22"/>
              </w:rPr>
            </w:pPr>
            <w:r w:rsidRPr="00BB3820">
              <w:rPr>
                <w:b/>
                <w:sz w:val="22"/>
                <w:szCs w:val="22"/>
              </w:rPr>
              <w:t>Reasons for inclusion and exclusion</w:t>
            </w:r>
          </w:p>
        </w:tc>
        <w:tc>
          <w:tcPr>
            <w:tcW w:w="3007" w:type="dxa"/>
          </w:tcPr>
          <w:p w:rsidR="00891215" w:rsidRPr="00BB3820" w:rsidRDefault="00891215" w:rsidP="00A7236B">
            <w:pPr>
              <w:spacing w:line="360" w:lineRule="auto"/>
              <w:jc w:val="both"/>
              <w:rPr>
                <w:b/>
                <w:sz w:val="22"/>
                <w:szCs w:val="22"/>
              </w:rPr>
            </w:pPr>
            <w:r w:rsidRPr="00BB3820">
              <w:rPr>
                <w:b/>
                <w:sz w:val="22"/>
                <w:szCs w:val="22"/>
              </w:rPr>
              <w:t>Remarks</w:t>
            </w:r>
          </w:p>
        </w:tc>
      </w:tr>
      <w:tr w:rsidR="00891215" w:rsidRPr="008573C5" w:rsidTr="00891215">
        <w:tc>
          <w:tcPr>
            <w:tcW w:w="1936" w:type="dxa"/>
          </w:tcPr>
          <w:p w:rsidR="00891215" w:rsidRPr="00BB3820" w:rsidRDefault="00891215" w:rsidP="00891215">
            <w:pPr>
              <w:spacing w:line="360" w:lineRule="auto"/>
              <w:jc w:val="both"/>
              <w:rPr>
                <w:sz w:val="22"/>
                <w:szCs w:val="22"/>
              </w:rPr>
            </w:pPr>
            <w:r w:rsidRPr="00BB3820">
              <w:rPr>
                <w:sz w:val="22"/>
                <w:szCs w:val="22"/>
              </w:rPr>
              <w:t>IAS 1, IAS 2, IAS 10,  IAS 12, IAS 14, IAS 16, IAS 18, IAS 20, IAS 21, IAS 23, IAS 24, IAS 27, IAS 28, IAS 31, IAS 32, IAS 36, IAS 37, IAS 38, IAS 40, IFRS 2, IFRS 3</w:t>
            </w:r>
          </w:p>
        </w:tc>
        <w:tc>
          <w:tcPr>
            <w:tcW w:w="3582" w:type="dxa"/>
          </w:tcPr>
          <w:p w:rsidR="00891215" w:rsidRPr="00BB3820" w:rsidRDefault="00891215" w:rsidP="00A7236B">
            <w:pPr>
              <w:spacing w:line="360" w:lineRule="auto"/>
              <w:jc w:val="both"/>
              <w:rPr>
                <w:sz w:val="22"/>
                <w:szCs w:val="22"/>
              </w:rPr>
            </w:pPr>
            <w:r w:rsidRPr="00BB3820">
              <w:rPr>
                <w:sz w:val="22"/>
                <w:szCs w:val="22"/>
              </w:rPr>
              <w:t>Relevant to financial and non-financial companies in Nigeria</w:t>
            </w:r>
          </w:p>
        </w:tc>
        <w:tc>
          <w:tcPr>
            <w:tcW w:w="3007" w:type="dxa"/>
          </w:tcPr>
          <w:p w:rsidR="00891215" w:rsidRPr="00BB3820" w:rsidRDefault="00891215" w:rsidP="00A7236B">
            <w:pPr>
              <w:spacing w:line="360" w:lineRule="auto"/>
              <w:jc w:val="both"/>
              <w:rPr>
                <w:sz w:val="22"/>
                <w:szCs w:val="22"/>
              </w:rPr>
            </w:pPr>
            <w:r w:rsidRPr="00BB3820">
              <w:rPr>
                <w:sz w:val="22"/>
                <w:szCs w:val="22"/>
              </w:rPr>
              <w:t>Included</w:t>
            </w:r>
          </w:p>
        </w:tc>
      </w:tr>
      <w:tr w:rsidR="00891215" w:rsidRPr="008573C5" w:rsidTr="00891215">
        <w:tc>
          <w:tcPr>
            <w:tcW w:w="1936" w:type="dxa"/>
          </w:tcPr>
          <w:p w:rsidR="00891215" w:rsidRPr="00BB3820" w:rsidRDefault="00891215" w:rsidP="00A7236B">
            <w:pPr>
              <w:spacing w:line="360" w:lineRule="auto"/>
              <w:jc w:val="both"/>
              <w:rPr>
                <w:sz w:val="22"/>
                <w:szCs w:val="22"/>
              </w:rPr>
            </w:pPr>
            <w:r w:rsidRPr="00BB3820">
              <w:rPr>
                <w:sz w:val="22"/>
                <w:szCs w:val="22"/>
              </w:rPr>
              <w:t>IAS 7, IAS 9</w:t>
            </w:r>
          </w:p>
        </w:tc>
        <w:tc>
          <w:tcPr>
            <w:tcW w:w="3582" w:type="dxa"/>
          </w:tcPr>
          <w:p w:rsidR="00891215" w:rsidRPr="00BB3820" w:rsidRDefault="00891215" w:rsidP="00A7236B">
            <w:pPr>
              <w:spacing w:line="360" w:lineRule="auto"/>
              <w:jc w:val="both"/>
              <w:rPr>
                <w:sz w:val="22"/>
                <w:szCs w:val="22"/>
              </w:rPr>
            </w:pPr>
            <w:r w:rsidRPr="00BB3820">
              <w:rPr>
                <w:sz w:val="22"/>
                <w:szCs w:val="22"/>
              </w:rPr>
              <w:t>Accord substantially with the requirements of equivalent Nigerian standards</w:t>
            </w:r>
          </w:p>
        </w:tc>
        <w:tc>
          <w:tcPr>
            <w:tcW w:w="3007" w:type="dxa"/>
          </w:tcPr>
          <w:p w:rsidR="00891215" w:rsidRPr="00BB3820" w:rsidRDefault="00891215" w:rsidP="00A7236B">
            <w:pPr>
              <w:spacing w:line="360" w:lineRule="auto"/>
              <w:jc w:val="both"/>
              <w:rPr>
                <w:sz w:val="22"/>
                <w:szCs w:val="22"/>
              </w:rPr>
            </w:pPr>
            <w:r w:rsidRPr="00BB3820">
              <w:rPr>
                <w:sz w:val="22"/>
                <w:szCs w:val="22"/>
              </w:rPr>
              <w:t>Excluded</w:t>
            </w:r>
          </w:p>
        </w:tc>
      </w:tr>
      <w:tr w:rsidR="00891215" w:rsidRPr="008573C5" w:rsidTr="00891215">
        <w:tc>
          <w:tcPr>
            <w:tcW w:w="1936" w:type="dxa"/>
          </w:tcPr>
          <w:p w:rsidR="00891215" w:rsidRPr="00BB3820" w:rsidRDefault="00891215" w:rsidP="00BF4CD7">
            <w:pPr>
              <w:spacing w:line="360" w:lineRule="auto"/>
              <w:jc w:val="both"/>
              <w:rPr>
                <w:sz w:val="22"/>
                <w:szCs w:val="22"/>
              </w:rPr>
            </w:pPr>
            <w:r w:rsidRPr="00BB3820">
              <w:rPr>
                <w:sz w:val="22"/>
                <w:szCs w:val="22"/>
              </w:rPr>
              <w:t xml:space="preserve">IAS 8, IFRS </w:t>
            </w:r>
            <w:r w:rsidR="00BF4CD7" w:rsidRPr="00BB3820">
              <w:rPr>
                <w:sz w:val="22"/>
                <w:szCs w:val="22"/>
              </w:rPr>
              <w:t>5</w:t>
            </w:r>
          </w:p>
        </w:tc>
        <w:tc>
          <w:tcPr>
            <w:tcW w:w="3582" w:type="dxa"/>
          </w:tcPr>
          <w:p w:rsidR="00891215" w:rsidRPr="00BB3820" w:rsidRDefault="00891215" w:rsidP="00A7236B">
            <w:pPr>
              <w:spacing w:line="360" w:lineRule="auto"/>
              <w:jc w:val="both"/>
              <w:rPr>
                <w:sz w:val="22"/>
                <w:szCs w:val="22"/>
              </w:rPr>
            </w:pPr>
            <w:r w:rsidRPr="00BB3820">
              <w:rPr>
                <w:sz w:val="22"/>
                <w:szCs w:val="22"/>
              </w:rPr>
              <w:t>Required on certain occasions</w:t>
            </w:r>
          </w:p>
        </w:tc>
        <w:tc>
          <w:tcPr>
            <w:tcW w:w="3007" w:type="dxa"/>
          </w:tcPr>
          <w:p w:rsidR="00891215" w:rsidRPr="00BB3820" w:rsidRDefault="00891215" w:rsidP="00A7236B">
            <w:pPr>
              <w:spacing w:line="360" w:lineRule="auto"/>
              <w:jc w:val="both"/>
              <w:rPr>
                <w:sz w:val="22"/>
                <w:szCs w:val="22"/>
              </w:rPr>
            </w:pPr>
            <w:r w:rsidRPr="00BB3820">
              <w:rPr>
                <w:sz w:val="22"/>
                <w:szCs w:val="22"/>
              </w:rPr>
              <w:t>Excluded</w:t>
            </w:r>
          </w:p>
        </w:tc>
      </w:tr>
      <w:tr w:rsidR="00891215" w:rsidRPr="008573C5" w:rsidTr="00891215">
        <w:tc>
          <w:tcPr>
            <w:tcW w:w="1936" w:type="dxa"/>
          </w:tcPr>
          <w:p w:rsidR="00891215" w:rsidRPr="00BB3820" w:rsidRDefault="00891215" w:rsidP="00A7236B">
            <w:pPr>
              <w:spacing w:line="360" w:lineRule="auto"/>
              <w:jc w:val="both"/>
              <w:rPr>
                <w:sz w:val="22"/>
                <w:szCs w:val="22"/>
              </w:rPr>
            </w:pPr>
            <w:r w:rsidRPr="00BB3820">
              <w:rPr>
                <w:sz w:val="22"/>
                <w:szCs w:val="22"/>
              </w:rPr>
              <w:t>IAS 11,</w:t>
            </w:r>
            <w:r w:rsidR="00BF4CD7" w:rsidRPr="00BB3820">
              <w:rPr>
                <w:sz w:val="22"/>
                <w:szCs w:val="22"/>
              </w:rPr>
              <w:t xml:space="preserve"> </w:t>
            </w:r>
            <w:r w:rsidRPr="00BB3820">
              <w:rPr>
                <w:sz w:val="22"/>
                <w:szCs w:val="22"/>
              </w:rPr>
              <w:t>IAS 17,</w:t>
            </w:r>
            <w:r w:rsidR="00BF4CD7" w:rsidRPr="00BB3820">
              <w:rPr>
                <w:sz w:val="22"/>
                <w:szCs w:val="22"/>
              </w:rPr>
              <w:t xml:space="preserve"> </w:t>
            </w:r>
            <w:r w:rsidRPr="00BB3820">
              <w:rPr>
                <w:sz w:val="22"/>
                <w:szCs w:val="22"/>
              </w:rPr>
              <w:t>IAS 41, IFRS 4, IFRS 6</w:t>
            </w:r>
          </w:p>
        </w:tc>
        <w:tc>
          <w:tcPr>
            <w:tcW w:w="3582" w:type="dxa"/>
          </w:tcPr>
          <w:p w:rsidR="00891215" w:rsidRPr="00BB3820" w:rsidRDefault="00891215" w:rsidP="00A7236B">
            <w:pPr>
              <w:spacing w:line="360" w:lineRule="auto"/>
              <w:jc w:val="both"/>
              <w:rPr>
                <w:sz w:val="22"/>
                <w:szCs w:val="22"/>
              </w:rPr>
            </w:pPr>
            <w:r w:rsidRPr="00BB3820">
              <w:rPr>
                <w:sz w:val="22"/>
                <w:szCs w:val="22"/>
              </w:rPr>
              <w:t>Industry-specific</w:t>
            </w:r>
          </w:p>
        </w:tc>
        <w:tc>
          <w:tcPr>
            <w:tcW w:w="3007" w:type="dxa"/>
          </w:tcPr>
          <w:p w:rsidR="00891215" w:rsidRPr="00BB3820" w:rsidRDefault="00891215" w:rsidP="00A7236B">
            <w:pPr>
              <w:spacing w:line="360" w:lineRule="auto"/>
              <w:jc w:val="both"/>
              <w:rPr>
                <w:sz w:val="22"/>
                <w:szCs w:val="22"/>
              </w:rPr>
            </w:pPr>
            <w:r w:rsidRPr="00BB3820">
              <w:rPr>
                <w:sz w:val="22"/>
                <w:szCs w:val="22"/>
              </w:rPr>
              <w:t>Excluded</w:t>
            </w:r>
          </w:p>
        </w:tc>
      </w:tr>
      <w:tr w:rsidR="00891215" w:rsidRPr="008573C5" w:rsidTr="00891215">
        <w:tc>
          <w:tcPr>
            <w:tcW w:w="1936" w:type="dxa"/>
          </w:tcPr>
          <w:p w:rsidR="00891215" w:rsidRPr="00BB3820" w:rsidRDefault="00891215" w:rsidP="00A7236B">
            <w:pPr>
              <w:spacing w:line="360" w:lineRule="auto"/>
              <w:jc w:val="both"/>
              <w:rPr>
                <w:sz w:val="22"/>
                <w:szCs w:val="22"/>
              </w:rPr>
            </w:pPr>
            <w:r w:rsidRPr="00BB3820">
              <w:rPr>
                <w:sz w:val="22"/>
                <w:szCs w:val="22"/>
              </w:rPr>
              <w:t>IAS 19, IAS 26, IAS 29, IAS 34, IAS 39</w:t>
            </w:r>
          </w:p>
        </w:tc>
        <w:tc>
          <w:tcPr>
            <w:tcW w:w="3582" w:type="dxa"/>
          </w:tcPr>
          <w:p w:rsidR="00891215" w:rsidRPr="00BB3820" w:rsidRDefault="00891215" w:rsidP="00A7236B">
            <w:pPr>
              <w:spacing w:line="360" w:lineRule="auto"/>
              <w:rPr>
                <w:sz w:val="22"/>
                <w:szCs w:val="22"/>
              </w:rPr>
            </w:pPr>
            <w:r w:rsidRPr="00BB3820">
              <w:rPr>
                <w:sz w:val="22"/>
                <w:szCs w:val="22"/>
              </w:rPr>
              <w:t>Standards excluded due to specific reasons</w:t>
            </w:r>
          </w:p>
          <w:p w:rsidR="00891215" w:rsidRPr="00BB3820" w:rsidRDefault="00891215" w:rsidP="00A7236B">
            <w:pPr>
              <w:spacing w:line="360" w:lineRule="auto"/>
              <w:jc w:val="both"/>
              <w:rPr>
                <w:sz w:val="22"/>
                <w:szCs w:val="22"/>
              </w:rPr>
            </w:pPr>
          </w:p>
        </w:tc>
        <w:tc>
          <w:tcPr>
            <w:tcW w:w="3007" w:type="dxa"/>
          </w:tcPr>
          <w:p w:rsidR="00891215" w:rsidRPr="00BB3820" w:rsidRDefault="00891215" w:rsidP="00A7236B">
            <w:pPr>
              <w:spacing w:line="360" w:lineRule="auto"/>
              <w:rPr>
                <w:sz w:val="22"/>
                <w:szCs w:val="22"/>
              </w:rPr>
            </w:pPr>
            <w:r w:rsidRPr="00BB3820">
              <w:rPr>
                <w:sz w:val="22"/>
                <w:szCs w:val="22"/>
              </w:rPr>
              <w:t>Excluded</w:t>
            </w:r>
          </w:p>
        </w:tc>
      </w:tr>
    </w:tbl>
    <w:p w:rsidR="00DD1D17" w:rsidRDefault="00DD1D17" w:rsidP="00BF4515">
      <w:pPr>
        <w:jc w:val="center"/>
        <w:rPr>
          <w:b/>
        </w:rPr>
      </w:pPr>
    </w:p>
    <w:p w:rsidR="00BF4515" w:rsidRPr="008573C5" w:rsidRDefault="00BF4515" w:rsidP="00BF4515">
      <w:pPr>
        <w:jc w:val="center"/>
        <w:rPr>
          <w:b/>
        </w:rPr>
      </w:pPr>
      <w:r w:rsidRPr="008573C5">
        <w:rPr>
          <w:b/>
        </w:rPr>
        <w:t>Source: Field Study (2009).</w:t>
      </w:r>
    </w:p>
    <w:p w:rsidR="00CA1A40" w:rsidRPr="008573C5" w:rsidRDefault="00CA1A40" w:rsidP="00CA1A40">
      <w:pPr>
        <w:spacing w:line="480" w:lineRule="auto"/>
        <w:jc w:val="both"/>
        <w:rPr>
          <w:b/>
        </w:rPr>
      </w:pPr>
    </w:p>
    <w:p w:rsidR="00C90F0E" w:rsidRPr="008573C5" w:rsidRDefault="00C90F0E" w:rsidP="00C90F0E">
      <w:pPr>
        <w:spacing w:line="360" w:lineRule="auto"/>
        <w:jc w:val="both"/>
        <w:rPr>
          <w:b/>
        </w:rPr>
      </w:pPr>
      <w:r w:rsidRPr="008573C5">
        <w:rPr>
          <w:b/>
        </w:rPr>
        <w:t>Industry-specific</w:t>
      </w:r>
    </w:p>
    <w:p w:rsidR="00C90F0E" w:rsidRPr="008573C5" w:rsidRDefault="00C90F0E" w:rsidP="00C90F0E">
      <w:pPr>
        <w:spacing w:line="360" w:lineRule="auto"/>
        <w:jc w:val="both"/>
      </w:pPr>
      <w:r w:rsidRPr="008573C5">
        <w:t>Like the SASs standards</w:t>
      </w:r>
      <w:r w:rsidR="001F39AC" w:rsidRPr="008573C5">
        <w:t xml:space="preserve">, those </w:t>
      </w:r>
      <w:r w:rsidR="0001478E" w:rsidRPr="008573C5">
        <w:t xml:space="preserve">IASs/IFRSs </w:t>
      </w:r>
      <w:r w:rsidR="001F39AC" w:rsidRPr="008573C5">
        <w:t>that</w:t>
      </w:r>
      <w:r w:rsidRPr="008573C5">
        <w:t xml:space="preserve"> are industry spe</w:t>
      </w:r>
      <w:r w:rsidR="00DD1D17">
        <w:t>cific a</w:t>
      </w:r>
      <w:r w:rsidR="001F39AC" w:rsidRPr="008573C5">
        <w:t>re eliminated from the s</w:t>
      </w:r>
      <w:r w:rsidRPr="008573C5">
        <w:t>tudy</w:t>
      </w:r>
      <w:r w:rsidR="001F39AC" w:rsidRPr="008573C5">
        <w:t>. T</w:t>
      </w:r>
      <w:r w:rsidRPr="008573C5">
        <w:t>h</w:t>
      </w:r>
      <w:r w:rsidR="00727C23" w:rsidRPr="008573C5">
        <w:t>ese include</w:t>
      </w:r>
      <w:r w:rsidRPr="008573C5">
        <w:t>: IAS 11</w:t>
      </w:r>
      <w:r w:rsidR="001F39AC" w:rsidRPr="008573C5">
        <w:t xml:space="preserve"> -</w:t>
      </w:r>
      <w:r w:rsidRPr="008573C5">
        <w:t xml:space="preserve"> Construction Contract; IAS 17</w:t>
      </w:r>
      <w:r w:rsidR="001F39AC" w:rsidRPr="008573C5">
        <w:t xml:space="preserve"> -</w:t>
      </w:r>
      <w:r w:rsidRPr="008573C5">
        <w:t xml:space="preserve"> Leases; IAS 41</w:t>
      </w:r>
      <w:r w:rsidR="001F39AC" w:rsidRPr="008573C5">
        <w:t xml:space="preserve"> -</w:t>
      </w:r>
      <w:r w:rsidRPr="008573C5">
        <w:t xml:space="preserve"> Agriculture; IAS 30</w:t>
      </w:r>
      <w:r w:rsidR="001F39AC" w:rsidRPr="008573C5">
        <w:t xml:space="preserve"> -</w:t>
      </w:r>
      <w:r w:rsidRPr="008573C5">
        <w:t xml:space="preserve"> Disclosures in the Financial Statement of Banks and Similar Financial Institutions and </w:t>
      </w:r>
      <w:r w:rsidRPr="008573C5">
        <w:rPr>
          <w:rFonts w:eastAsia="Calibri"/>
        </w:rPr>
        <w:t>IFRS 6 – Exploration for and Evaluation of Mineral Resources</w:t>
      </w:r>
      <w:r w:rsidRPr="008573C5">
        <w:t>.</w:t>
      </w:r>
    </w:p>
    <w:p w:rsidR="00C90F0E" w:rsidRPr="008573C5" w:rsidRDefault="00C90F0E" w:rsidP="00C90F0E">
      <w:pPr>
        <w:spacing w:line="360" w:lineRule="auto"/>
        <w:jc w:val="both"/>
        <w:rPr>
          <w:b/>
        </w:rPr>
      </w:pPr>
    </w:p>
    <w:p w:rsidR="00C90F0E" w:rsidRPr="008573C5" w:rsidRDefault="00C90F0E" w:rsidP="00C90F0E">
      <w:pPr>
        <w:spacing w:line="360" w:lineRule="auto"/>
        <w:jc w:val="both"/>
        <w:rPr>
          <w:b/>
        </w:rPr>
      </w:pPr>
      <w:r w:rsidRPr="008573C5">
        <w:rPr>
          <w:b/>
        </w:rPr>
        <w:t>Standards excluded due to Specific Reasons</w:t>
      </w:r>
    </w:p>
    <w:p w:rsidR="00C90F0E" w:rsidRPr="008573C5" w:rsidRDefault="00C90F0E" w:rsidP="00C90F0E">
      <w:pPr>
        <w:autoSpaceDE w:val="0"/>
        <w:autoSpaceDN w:val="0"/>
        <w:adjustRightInd w:val="0"/>
        <w:spacing w:line="360" w:lineRule="auto"/>
        <w:jc w:val="both"/>
      </w:pPr>
      <w:r w:rsidRPr="008573C5">
        <w:t xml:space="preserve">The following Standards </w:t>
      </w:r>
      <w:r w:rsidR="00DD1D17">
        <w:t>a</w:t>
      </w:r>
      <w:r w:rsidR="000F0CB8" w:rsidRPr="008573C5">
        <w:t>re</w:t>
      </w:r>
      <w:r w:rsidRPr="008573C5">
        <w:t xml:space="preserve"> excluded due to specific reasons: IAS 19, Employment Benefits and IAS 26</w:t>
      </w:r>
      <w:r w:rsidR="008817D7" w:rsidRPr="008573C5">
        <w:t>,</w:t>
      </w:r>
      <w:r w:rsidRPr="008573C5">
        <w:t xml:space="preserve"> Accounting and Reporting by Retirement Benefit </w:t>
      </w:r>
      <w:r w:rsidR="001B635E" w:rsidRPr="008573C5">
        <w:t xml:space="preserve">Plan </w:t>
      </w:r>
      <w:r w:rsidR="00DD1D17">
        <w:t>are</w:t>
      </w:r>
      <w:r w:rsidR="008817D7" w:rsidRPr="008573C5">
        <w:t xml:space="preserve"> not</w:t>
      </w:r>
      <w:r w:rsidRPr="008573C5">
        <w:t xml:space="preserve"> considered because Nigerian companies </w:t>
      </w:r>
      <w:r w:rsidR="008817D7" w:rsidRPr="008573C5">
        <w:t>a</w:t>
      </w:r>
      <w:r w:rsidRPr="008573C5">
        <w:t>re now be</w:t>
      </w:r>
      <w:r w:rsidR="00AC5C7C" w:rsidRPr="008573C5">
        <w:t>ing</w:t>
      </w:r>
      <w:r w:rsidRPr="008573C5">
        <w:t xml:space="preserve"> guided by the Pension Reform Act , 2004;  IAS 29 Hyperinflationary Economies </w:t>
      </w:r>
      <w:r w:rsidR="00AC5C7C" w:rsidRPr="008573C5">
        <w:t>are</w:t>
      </w:r>
      <w:r w:rsidRPr="008573C5">
        <w:t xml:space="preserve"> for situations w</w:t>
      </w:r>
      <w:r w:rsidR="00AC5C7C" w:rsidRPr="008573C5">
        <w:t>hen a company is operating in a</w:t>
      </w:r>
      <w:r w:rsidRPr="008573C5">
        <w:t xml:space="preserve"> hyperinflationary economy</w:t>
      </w:r>
      <w:r w:rsidR="008817D7" w:rsidRPr="008573C5">
        <w:t>;</w:t>
      </w:r>
      <w:r w:rsidR="00AC5C7C" w:rsidRPr="008573C5">
        <w:t xml:space="preserve"> </w:t>
      </w:r>
      <w:r w:rsidRPr="008573C5">
        <w:t xml:space="preserve"> IAS 39 Financial </w:t>
      </w:r>
      <w:r w:rsidR="00727C23" w:rsidRPr="008573C5">
        <w:t>I</w:t>
      </w:r>
      <w:r w:rsidRPr="008573C5">
        <w:t xml:space="preserve">nstrument </w:t>
      </w:r>
      <w:r w:rsidR="00727C23" w:rsidRPr="008573C5">
        <w:t>R</w:t>
      </w:r>
      <w:r w:rsidRPr="008573C5">
        <w:t xml:space="preserve">ecognition and </w:t>
      </w:r>
      <w:r w:rsidR="00727C23" w:rsidRPr="008573C5">
        <w:t>M</w:t>
      </w:r>
      <w:r w:rsidRPr="008573C5">
        <w:t>easurement has a disclosure counterpart, IAS 32,</w:t>
      </w:r>
      <w:r w:rsidR="00727C23" w:rsidRPr="008573C5">
        <w:t xml:space="preserve"> Financial I</w:t>
      </w:r>
      <w:r w:rsidRPr="008573C5">
        <w:t xml:space="preserve">nstrument </w:t>
      </w:r>
      <w:r w:rsidR="00727C23" w:rsidRPr="008573C5">
        <w:t>P</w:t>
      </w:r>
      <w:r w:rsidRPr="008573C5">
        <w:t>resentation which ha</w:t>
      </w:r>
      <w:r w:rsidR="00AC5C7C" w:rsidRPr="008573C5">
        <w:t>s</w:t>
      </w:r>
      <w:r w:rsidRPr="008573C5">
        <w:t xml:space="preserve"> been incorporated in the disclosure check list; IFRS 1 First Time Adoption of International Reporting Standards is required for companies adopting IFRS</w:t>
      </w:r>
      <w:r w:rsidR="00727C23" w:rsidRPr="008573C5">
        <w:t xml:space="preserve"> for the first time. Si</w:t>
      </w:r>
      <w:r w:rsidRPr="008573C5">
        <w:t>nce IFRS is only voluntary in Nigeria</w:t>
      </w:r>
      <w:r w:rsidR="00727C23" w:rsidRPr="008573C5">
        <w:t>, t</w:t>
      </w:r>
      <w:r w:rsidRPr="008573C5">
        <w:t>his is also excluded from the Study.</w:t>
      </w:r>
    </w:p>
    <w:p w:rsidR="00C90F0E" w:rsidRPr="008573C5" w:rsidRDefault="00C90F0E" w:rsidP="00B57B07">
      <w:pPr>
        <w:spacing w:line="360" w:lineRule="auto"/>
        <w:jc w:val="both"/>
        <w:rPr>
          <w:b/>
        </w:rPr>
      </w:pPr>
    </w:p>
    <w:p w:rsidR="00B57B07" w:rsidRPr="008573C5" w:rsidRDefault="000B0499" w:rsidP="000B0499">
      <w:pPr>
        <w:spacing w:after="200" w:line="360" w:lineRule="auto"/>
        <w:jc w:val="both"/>
        <w:rPr>
          <w:b/>
        </w:rPr>
      </w:pPr>
      <w:r w:rsidRPr="008573C5">
        <w:rPr>
          <w:b/>
          <w:bCs/>
        </w:rPr>
        <w:t>3.2.3.5</w:t>
      </w:r>
      <w:r w:rsidR="006A67BD" w:rsidRPr="008573C5">
        <w:rPr>
          <w:b/>
          <w:bCs/>
        </w:rPr>
        <w:t xml:space="preserve">    </w:t>
      </w:r>
      <w:r w:rsidRPr="008573C5">
        <w:rPr>
          <w:b/>
        </w:rPr>
        <w:t>The S</w:t>
      </w:r>
      <w:r w:rsidR="00B57B07" w:rsidRPr="008573C5">
        <w:rPr>
          <w:b/>
        </w:rPr>
        <w:t xml:space="preserve">coring Procedure for </w:t>
      </w:r>
      <w:r w:rsidR="00744747" w:rsidRPr="008573C5">
        <w:rPr>
          <w:b/>
        </w:rPr>
        <w:t>Disclosure</w:t>
      </w:r>
      <w:r w:rsidR="00B57B07" w:rsidRPr="008573C5">
        <w:rPr>
          <w:b/>
        </w:rPr>
        <w:t xml:space="preserve"> Indexes</w:t>
      </w:r>
    </w:p>
    <w:p w:rsidR="00B57B07" w:rsidRPr="008573C5" w:rsidRDefault="00B57B07" w:rsidP="009162BD">
      <w:pPr>
        <w:spacing w:line="360" w:lineRule="auto"/>
        <w:jc w:val="both"/>
      </w:pPr>
      <w:r w:rsidRPr="008573C5">
        <w:t xml:space="preserve">There </w:t>
      </w:r>
      <w:r w:rsidR="00DD1D17">
        <w:t>are</w:t>
      </w:r>
      <w:r w:rsidRPr="008573C5">
        <w:t xml:space="preserve"> two important and contentious issues in previous researches on the scoring of disclosure items (Barako, 2007:119). The issues are whether the disclosure items should be weighted or unweigh</w:t>
      </w:r>
      <w:r w:rsidR="0001478E" w:rsidRPr="008573C5">
        <w:t>ted. Barako, (2007: 118), argues</w:t>
      </w:r>
      <w:r w:rsidRPr="008573C5">
        <w:t xml:space="preserve"> that both approaches ha</w:t>
      </w:r>
      <w:r w:rsidR="0001478E" w:rsidRPr="008573C5">
        <w:t>ve been criticized. T</w:t>
      </w:r>
      <w:r w:rsidR="00551B66" w:rsidRPr="008573C5">
        <w:t xml:space="preserve">he weighted approach </w:t>
      </w:r>
      <w:r w:rsidRPr="008573C5">
        <w:t>may introduce a bias towards a particular user-orientation</w:t>
      </w:r>
      <w:r w:rsidR="00551B66" w:rsidRPr="008573C5">
        <w:t xml:space="preserve">. The </w:t>
      </w:r>
      <w:r w:rsidRPr="008573C5">
        <w:t>unweighted approach</w:t>
      </w:r>
      <w:r w:rsidR="00551B66" w:rsidRPr="008573C5">
        <w:t xml:space="preserve"> dwells on the fundamental</w:t>
      </w:r>
      <w:r w:rsidRPr="008573C5">
        <w:t xml:space="preserve"> assumption that all items are equally important, which may not necessarily be true. According to Chavent et al. (2006:185), t</w:t>
      </w:r>
      <w:r w:rsidRPr="008573C5">
        <w:rPr>
          <w:rFonts w:eastAsia="Calibri"/>
        </w:rPr>
        <w:t xml:space="preserve">he major argument against </w:t>
      </w:r>
      <w:r w:rsidR="00B8061C" w:rsidRPr="008573C5">
        <w:rPr>
          <w:rFonts w:eastAsia="Calibri"/>
        </w:rPr>
        <w:t xml:space="preserve">weighted approaches is that of </w:t>
      </w:r>
      <w:r w:rsidRPr="008573C5">
        <w:rPr>
          <w:rFonts w:eastAsia="Calibri"/>
        </w:rPr>
        <w:t>Cooke</w:t>
      </w:r>
      <w:r w:rsidR="00B8061C" w:rsidRPr="008573C5">
        <w:rPr>
          <w:rFonts w:eastAsia="Calibri"/>
        </w:rPr>
        <w:t xml:space="preserve"> (</w:t>
      </w:r>
      <w:r w:rsidRPr="008573C5">
        <w:rPr>
          <w:rFonts w:eastAsia="Calibri"/>
        </w:rPr>
        <w:t xml:space="preserve">1989: 115) </w:t>
      </w:r>
      <w:r w:rsidR="00B8061C" w:rsidRPr="008573C5">
        <w:rPr>
          <w:rFonts w:eastAsia="Calibri"/>
        </w:rPr>
        <w:t xml:space="preserve">stating that </w:t>
      </w:r>
      <w:r w:rsidRPr="008573C5">
        <w:rPr>
          <w:rFonts w:eastAsia="Calibri"/>
        </w:rPr>
        <w:t xml:space="preserve">‘one class of user will attach different weights to an item . . . than another class’ and that ‘the subjective weights of user groups will average each other out’. </w:t>
      </w:r>
    </w:p>
    <w:p w:rsidR="00B57B07" w:rsidRPr="008573C5" w:rsidRDefault="00B57B07" w:rsidP="009162BD">
      <w:pPr>
        <w:autoSpaceDE w:val="0"/>
        <w:autoSpaceDN w:val="0"/>
        <w:adjustRightInd w:val="0"/>
        <w:spacing w:line="360" w:lineRule="auto"/>
        <w:jc w:val="both"/>
      </w:pPr>
    </w:p>
    <w:p w:rsidR="00B57B07" w:rsidRPr="008573C5" w:rsidRDefault="00842E87" w:rsidP="009162BD">
      <w:pPr>
        <w:spacing w:line="360" w:lineRule="auto"/>
        <w:jc w:val="both"/>
      </w:pPr>
      <w:r w:rsidRPr="008573C5">
        <w:t>T</w:t>
      </w:r>
      <w:r w:rsidR="00B57B07" w:rsidRPr="008573C5">
        <w:t xml:space="preserve">his research is adopting the unweighted approach for the scoring. </w:t>
      </w:r>
      <w:r w:rsidR="00DD1D17">
        <w:rPr>
          <w:rFonts w:eastAsia="Calibri"/>
        </w:rPr>
        <w:t>Cooke (1989: 115) i</w:t>
      </w:r>
      <w:r w:rsidR="00B57B07" w:rsidRPr="008573C5">
        <w:rPr>
          <w:rFonts w:eastAsia="Calibri"/>
        </w:rPr>
        <w:t xml:space="preserve">s the first to propose the unweighted model hence this model is generally referred to </w:t>
      </w:r>
      <w:r w:rsidR="00FD3E9F" w:rsidRPr="008573C5">
        <w:rPr>
          <w:rFonts w:eastAsia="Calibri"/>
        </w:rPr>
        <w:t xml:space="preserve">as </w:t>
      </w:r>
      <w:r w:rsidR="00B57B07" w:rsidRPr="008573C5">
        <w:rPr>
          <w:rFonts w:eastAsia="Calibri"/>
        </w:rPr>
        <w:t>Cooke index.</w:t>
      </w:r>
      <w:r w:rsidR="00B57B07" w:rsidRPr="008573C5">
        <w:t xml:space="preserve"> Unweighted approach is preferred because it is based on the assumption that each item of disclosure is equally important, it reduces subjectivity and it provides a neutral assessment of items. This approach uses a dichotomous procedure to develop a scoring scheme that captures the level of disclosure. Complete a</w:t>
      </w:r>
      <w:r w:rsidR="00DD1D17">
        <w:t>nnual report for each company i</w:t>
      </w:r>
      <w:r w:rsidR="00B57B07" w:rsidRPr="008573C5">
        <w:t xml:space="preserve">s reviewed in order to understand the nature and complexity of each company’s operation and to form an opinion about the company before scoring the items. </w:t>
      </w:r>
    </w:p>
    <w:p w:rsidR="00B57B07" w:rsidRPr="008573C5" w:rsidRDefault="00B57B07" w:rsidP="00B57B07">
      <w:pPr>
        <w:spacing w:line="360" w:lineRule="auto"/>
        <w:jc w:val="both"/>
      </w:pPr>
    </w:p>
    <w:p w:rsidR="00B57B07" w:rsidRPr="008573C5" w:rsidRDefault="00B57B07" w:rsidP="00B57B07">
      <w:pPr>
        <w:spacing w:line="360" w:lineRule="auto"/>
        <w:jc w:val="both"/>
        <w:rPr>
          <w:b/>
        </w:rPr>
      </w:pPr>
      <w:r w:rsidRPr="008573C5">
        <w:t xml:space="preserve">For the SAS and IFRS scores, each disclosure item on the checklist is assigned a value of ‘1’ if it is disclosed and ‘0’ if the item </w:t>
      </w:r>
      <w:r w:rsidR="00551B66" w:rsidRPr="008573C5">
        <w:t xml:space="preserve">is </w:t>
      </w:r>
      <w:r w:rsidR="00D61C08" w:rsidRPr="008573C5">
        <w:t>assumed</w:t>
      </w:r>
      <w:r w:rsidRPr="008573C5">
        <w:t xml:space="preserve"> relevant but not disclosed. Items obviously not applicable and the items that the researcher does not know </w:t>
      </w:r>
      <w:r w:rsidR="00DD1D17">
        <w:t>are</w:t>
      </w:r>
      <w:r w:rsidRPr="008573C5">
        <w:t xml:space="preserve"> coded not applicable (NA). When an item of information is not mentioned in the annual report, it is assumed it is not relevant (e.g prior year adjustment</w:t>
      </w:r>
      <w:r w:rsidR="00FD3E9F" w:rsidRPr="008573C5">
        <w:t>s</w:t>
      </w:r>
      <w:r w:rsidRPr="008573C5">
        <w:t>).</w:t>
      </w:r>
      <w:r w:rsidRPr="008573C5">
        <w:rPr>
          <w:rFonts w:ascii="Times" w:hAnsi="Times" w:cs="Times"/>
        </w:rPr>
        <w:t xml:space="preserve"> The score (index) for each standard is the ratio of actual disclosure d</w:t>
      </w:r>
      <w:r w:rsidR="00551B66" w:rsidRPr="008573C5">
        <w:rPr>
          <w:rFonts w:ascii="Times" w:hAnsi="Times" w:cs="Times"/>
        </w:rPr>
        <w:t>ivided by applicable disclosure. I</w:t>
      </w:r>
      <w:r w:rsidRPr="008573C5">
        <w:rPr>
          <w:rFonts w:ascii="Times" w:hAnsi="Times" w:cs="Times"/>
        </w:rPr>
        <w:t>t excludes not applicable disclosures.</w:t>
      </w:r>
    </w:p>
    <w:p w:rsidR="00B57B07" w:rsidRPr="008573C5" w:rsidRDefault="00B57B07" w:rsidP="00B57B07">
      <w:pPr>
        <w:autoSpaceDE w:val="0"/>
        <w:autoSpaceDN w:val="0"/>
        <w:adjustRightInd w:val="0"/>
        <w:spacing w:line="360" w:lineRule="auto"/>
        <w:jc w:val="both"/>
      </w:pPr>
    </w:p>
    <w:p w:rsidR="00B57B07" w:rsidRPr="008573C5" w:rsidRDefault="00B57B07" w:rsidP="00B57B07">
      <w:pPr>
        <w:autoSpaceDE w:val="0"/>
        <w:autoSpaceDN w:val="0"/>
        <w:adjustRightInd w:val="0"/>
        <w:spacing w:line="360" w:lineRule="auto"/>
        <w:jc w:val="both"/>
        <w:rPr>
          <w:rFonts w:ascii="Times" w:hAnsi="Times" w:cs="Times"/>
        </w:rPr>
      </w:pPr>
      <w:r w:rsidRPr="008573C5">
        <w:t xml:space="preserve">For voluntary disclosures, the study utilizes a slightly different scale by allocating scores of 0 if no information, 1 for minimal and insufficient information and 2 for sufficient and detailed information. </w:t>
      </w:r>
      <w:r w:rsidRPr="008573C5">
        <w:rPr>
          <w:rFonts w:ascii="Times" w:hAnsi="Times" w:cs="Times"/>
        </w:rPr>
        <w:t>The oth</w:t>
      </w:r>
      <w:r w:rsidR="00FD3E9F" w:rsidRPr="008573C5">
        <w:rPr>
          <w:rFonts w:ascii="Times" w:hAnsi="Times" w:cs="Times"/>
        </w:rPr>
        <w:t xml:space="preserve">er voluntary index (Vol index) </w:t>
      </w:r>
      <w:r w:rsidRPr="008573C5">
        <w:rPr>
          <w:rFonts w:ascii="Times" w:hAnsi="Times" w:cs="Times"/>
        </w:rPr>
        <w:t xml:space="preserve">is computed for each company by dividing the number of points achieved by the total points possible. </w:t>
      </w:r>
    </w:p>
    <w:p w:rsidR="00B57B07" w:rsidRPr="008573C5" w:rsidRDefault="00B57B07" w:rsidP="00B57B07">
      <w:pPr>
        <w:autoSpaceDE w:val="0"/>
        <w:autoSpaceDN w:val="0"/>
        <w:adjustRightInd w:val="0"/>
        <w:spacing w:line="360" w:lineRule="auto"/>
        <w:jc w:val="both"/>
        <w:rPr>
          <w:rFonts w:ascii="Times" w:hAnsi="Times" w:cs="Times"/>
        </w:rPr>
      </w:pPr>
    </w:p>
    <w:p w:rsidR="00B57B07" w:rsidRPr="008573C5" w:rsidRDefault="00B57B07" w:rsidP="00B57B07">
      <w:pPr>
        <w:spacing w:line="360" w:lineRule="auto"/>
        <w:jc w:val="both"/>
        <w:rPr>
          <w:rFonts w:ascii="Times" w:hAnsi="Times" w:cs="Times"/>
        </w:rPr>
      </w:pPr>
      <w:r w:rsidRPr="008573C5">
        <w:t>The extent of disclosure is measured by three indices, viz, SAS index, IFRS index and Vol  index. The aggregate of the three is a primary index labeled overall disclosure index (ODI).</w:t>
      </w:r>
    </w:p>
    <w:p w:rsidR="00B57B07" w:rsidRPr="008573C5" w:rsidRDefault="00B57B07" w:rsidP="00B57B07">
      <w:pPr>
        <w:spacing w:line="360" w:lineRule="auto"/>
        <w:jc w:val="center"/>
        <w:rPr>
          <w:rFonts w:ascii="Times" w:hAnsi="Times" w:cs="Times"/>
        </w:rPr>
      </w:pPr>
      <w:r w:rsidRPr="008573C5">
        <w:rPr>
          <w:rFonts w:ascii="Times" w:hAnsi="Times" w:cs="Times"/>
        </w:rPr>
        <w:t>Overall disclosure index (ODI) = SAS index + IFRS index + Vol index</w:t>
      </w:r>
    </w:p>
    <w:p w:rsidR="00B57B07" w:rsidRPr="008573C5" w:rsidRDefault="00B57B07" w:rsidP="00B57B07">
      <w:pPr>
        <w:spacing w:line="360" w:lineRule="auto"/>
        <w:jc w:val="center"/>
        <w:rPr>
          <w:rFonts w:ascii="Times" w:hAnsi="Times" w:cs="Times"/>
        </w:rPr>
      </w:pPr>
    </w:p>
    <w:p w:rsidR="00B57B07" w:rsidRPr="008573C5" w:rsidRDefault="00B42CC1" w:rsidP="00B42CC1">
      <w:pPr>
        <w:spacing w:after="200" w:line="360" w:lineRule="auto"/>
        <w:jc w:val="both"/>
        <w:rPr>
          <w:b/>
        </w:rPr>
      </w:pPr>
      <w:r w:rsidRPr="008573C5">
        <w:rPr>
          <w:b/>
        </w:rPr>
        <w:t>The S</w:t>
      </w:r>
      <w:r w:rsidR="00B57B07" w:rsidRPr="008573C5">
        <w:rPr>
          <w:b/>
        </w:rPr>
        <w:t>coring Procedure for Cluster Analysis</w:t>
      </w:r>
    </w:p>
    <w:p w:rsidR="00B57B07" w:rsidRPr="008573C5" w:rsidRDefault="00B57B07" w:rsidP="00B57B07">
      <w:pPr>
        <w:spacing w:line="360" w:lineRule="auto"/>
        <w:jc w:val="both"/>
        <w:rPr>
          <w:rFonts w:ascii="Times" w:hAnsi="Times" w:cs="Times"/>
        </w:rPr>
      </w:pPr>
      <w:r w:rsidRPr="008573C5">
        <w:t>For voluntary clusters, the information item is scored “0” if it is not disclosed, “1” if it is partially disclosed ( not in details), and “2” if it is fully disclosed.</w:t>
      </w:r>
      <w:r w:rsidRPr="008573C5">
        <w:rPr>
          <w:rFonts w:ascii="Times" w:hAnsi="Times" w:cs="Times"/>
        </w:rPr>
        <w:t xml:space="preserve"> </w:t>
      </w:r>
    </w:p>
    <w:p w:rsidR="00B57B07" w:rsidRPr="008573C5" w:rsidRDefault="00B57B07" w:rsidP="00B57B07">
      <w:pPr>
        <w:spacing w:line="360" w:lineRule="auto"/>
        <w:jc w:val="both"/>
        <w:rPr>
          <w:rFonts w:ascii="TimesNewRoman,Bold" w:hAnsi="TimesNewRoman,Bold" w:cs="TimesNewRoman,Bold"/>
          <w:b/>
          <w:bCs/>
        </w:rPr>
      </w:pPr>
    </w:p>
    <w:p w:rsidR="00FF5EDF" w:rsidRPr="008573C5" w:rsidRDefault="00B42CC1" w:rsidP="00FF5EDF">
      <w:pPr>
        <w:spacing w:line="360" w:lineRule="auto"/>
        <w:jc w:val="both"/>
        <w:rPr>
          <w:rFonts w:ascii="Times" w:hAnsi="Times" w:cs="Times"/>
          <w:sz w:val="28"/>
          <w:szCs w:val="28"/>
        </w:rPr>
      </w:pPr>
      <w:r w:rsidRPr="008573C5">
        <w:rPr>
          <w:rFonts w:cs="TimesNewRoman,Bold"/>
          <w:b/>
          <w:bCs/>
          <w:sz w:val="28"/>
          <w:szCs w:val="28"/>
        </w:rPr>
        <w:t>3.2.4</w:t>
      </w:r>
      <w:r w:rsidR="00FF5EDF" w:rsidRPr="008573C5">
        <w:rPr>
          <w:rFonts w:ascii="TimesNewRoman,Bold" w:hAnsi="TimesNewRoman,Bold" w:cs="TimesNewRoman,Bold"/>
          <w:b/>
          <w:bCs/>
        </w:rPr>
        <w:tab/>
      </w:r>
      <w:r w:rsidR="00FF5EDF" w:rsidRPr="008573C5">
        <w:rPr>
          <w:rFonts w:ascii="TimesNewRoman,Bold" w:hAnsi="TimesNewRoman,Bold" w:cs="TimesNewRoman,Bold"/>
          <w:b/>
          <w:bCs/>
          <w:sz w:val="28"/>
          <w:szCs w:val="28"/>
        </w:rPr>
        <w:t>V</w:t>
      </w:r>
      <w:r w:rsidR="00CD7912" w:rsidRPr="008573C5">
        <w:rPr>
          <w:rFonts w:ascii="TimesNewRoman,Bold" w:hAnsi="TimesNewRoman,Bold" w:cs="TimesNewRoman,Bold"/>
          <w:b/>
          <w:bCs/>
          <w:sz w:val="28"/>
          <w:szCs w:val="28"/>
        </w:rPr>
        <w:t xml:space="preserve">alidity of </w:t>
      </w:r>
      <w:r w:rsidRPr="008573C5">
        <w:rPr>
          <w:rFonts w:ascii="TimesNewRoman,Bold" w:hAnsi="TimesNewRoman,Bold" w:cs="TimesNewRoman,Bold"/>
          <w:b/>
          <w:bCs/>
          <w:sz w:val="28"/>
          <w:szCs w:val="28"/>
        </w:rPr>
        <w:t xml:space="preserve">Content Analysis </w:t>
      </w:r>
      <w:r w:rsidR="00FF5EDF" w:rsidRPr="008573C5">
        <w:rPr>
          <w:rFonts w:ascii="TimesNewRoman,Bold" w:hAnsi="TimesNewRoman,Bold" w:cs="TimesNewRoman,Bold"/>
          <w:b/>
          <w:bCs/>
          <w:sz w:val="28"/>
          <w:szCs w:val="28"/>
        </w:rPr>
        <w:t>I</w:t>
      </w:r>
      <w:r w:rsidRPr="008573C5">
        <w:rPr>
          <w:rFonts w:ascii="TimesNewRoman,Bold" w:hAnsi="TimesNewRoman,Bold" w:cs="TimesNewRoman,Bold"/>
          <w:b/>
          <w:bCs/>
          <w:sz w:val="28"/>
          <w:szCs w:val="28"/>
        </w:rPr>
        <w:t>nstrument</w:t>
      </w:r>
    </w:p>
    <w:p w:rsidR="00FF5EDF" w:rsidRPr="008573C5" w:rsidRDefault="0082337D" w:rsidP="00FF5EDF">
      <w:pPr>
        <w:autoSpaceDE w:val="0"/>
        <w:autoSpaceDN w:val="0"/>
        <w:adjustRightInd w:val="0"/>
        <w:spacing w:line="360" w:lineRule="auto"/>
        <w:jc w:val="both"/>
        <w:rPr>
          <w:bCs/>
        </w:rPr>
      </w:pPr>
      <w:r w:rsidRPr="008573C5">
        <w:t xml:space="preserve">The validity of an instrument is being able to measure what </w:t>
      </w:r>
      <w:r w:rsidR="00FD3E9F" w:rsidRPr="008573C5">
        <w:t xml:space="preserve">it </w:t>
      </w:r>
      <w:r w:rsidRPr="008573C5">
        <w:t>is supposed to measure</w:t>
      </w:r>
      <w:r w:rsidR="00CD7912" w:rsidRPr="008573C5">
        <w:t>.</w:t>
      </w:r>
      <w:r w:rsidRPr="008573C5">
        <w:t xml:space="preserve"> Th</w:t>
      </w:r>
      <w:r w:rsidR="00551B66" w:rsidRPr="008573C5">
        <w:t>is</w:t>
      </w:r>
      <w:r w:rsidR="00CD7912" w:rsidRPr="008573C5">
        <w:t xml:space="preserve"> </w:t>
      </w:r>
      <w:r w:rsidRPr="008573C5">
        <w:t>ensure</w:t>
      </w:r>
      <w:r w:rsidR="00551B66" w:rsidRPr="008573C5">
        <w:t>s</w:t>
      </w:r>
      <w:r w:rsidRPr="008573C5">
        <w:t xml:space="preserve"> the content validity</w:t>
      </w:r>
      <w:r w:rsidR="00CD7912" w:rsidRPr="008573C5">
        <w:t xml:space="preserve"> of the </w:t>
      </w:r>
      <w:r w:rsidR="00FF5EDF" w:rsidRPr="008573C5">
        <w:t>disclosure checklist</w:t>
      </w:r>
      <w:r w:rsidR="00CD7912" w:rsidRPr="008573C5">
        <w:t>. The checklist</w:t>
      </w:r>
      <w:r w:rsidR="008B7F0C">
        <w:t xml:space="preserve"> i</w:t>
      </w:r>
      <w:r w:rsidR="00CD7912" w:rsidRPr="008573C5">
        <w:t>s</w:t>
      </w:r>
      <w:r w:rsidR="00FF5EDF" w:rsidRPr="008573C5">
        <w:t xml:space="preserve"> reviewed by the researcher</w:t>
      </w:r>
      <w:r w:rsidR="00CD7912" w:rsidRPr="008573C5">
        <w:t>’</w:t>
      </w:r>
      <w:r w:rsidR="00FF5EDF" w:rsidRPr="008573C5">
        <w:t>s supervisor, co-supervisor</w:t>
      </w:r>
      <w:r w:rsidR="00CE08A7" w:rsidRPr="008573C5">
        <w:t xml:space="preserve">, </w:t>
      </w:r>
      <w:r w:rsidR="00CD7912" w:rsidRPr="008573C5">
        <w:t>and two</w:t>
      </w:r>
      <w:r w:rsidR="00CE08A7" w:rsidRPr="008573C5">
        <w:t xml:space="preserve"> lecturers </w:t>
      </w:r>
      <w:r w:rsidR="00CD7912" w:rsidRPr="008573C5">
        <w:t>at</w:t>
      </w:r>
      <w:r w:rsidR="00CE08A7" w:rsidRPr="008573C5">
        <w:t xml:space="preserve"> th</w:t>
      </w:r>
      <w:r w:rsidR="00CD7912" w:rsidRPr="008573C5">
        <w:t xml:space="preserve">e </w:t>
      </w:r>
      <w:r w:rsidR="00551B66" w:rsidRPr="008573C5">
        <w:t>D</w:t>
      </w:r>
      <w:r w:rsidR="00CD7912" w:rsidRPr="008573C5">
        <w:t xml:space="preserve">epartment of </w:t>
      </w:r>
      <w:r w:rsidR="00551B66" w:rsidRPr="008573C5">
        <w:t>A</w:t>
      </w:r>
      <w:r w:rsidR="00CE08A7" w:rsidRPr="008573C5">
        <w:t>ccounting at Covenant University</w:t>
      </w:r>
      <w:r w:rsidR="00CD7912" w:rsidRPr="008573C5">
        <w:t>.</w:t>
      </w:r>
      <w:r w:rsidR="00FF5EDF" w:rsidRPr="008573C5">
        <w:t xml:space="preserve"> On the basis</w:t>
      </w:r>
      <w:r w:rsidR="008B7F0C">
        <w:t xml:space="preserve"> of this review a few changes a</w:t>
      </w:r>
      <w:r w:rsidR="00FF5EDF" w:rsidRPr="008573C5">
        <w:t>re made to some of the questions. The content validity of the d</w:t>
      </w:r>
      <w:r w:rsidR="008B7F0C">
        <w:t>isclosure-measuring templates i</w:t>
      </w:r>
      <w:r w:rsidR="00FF5EDF" w:rsidRPr="008573C5">
        <w:t xml:space="preserve">s further piloted among three professional accountants. </w:t>
      </w:r>
      <w:r w:rsidR="00FF5EDF" w:rsidRPr="008573C5">
        <w:rPr>
          <w:bCs/>
        </w:rPr>
        <w:t>The essence of pre-testing the measuring template is to determine the sensitivity, stability, dependability and reliability of the measuring instrument.</w:t>
      </w:r>
      <w:r w:rsidR="00B803D5" w:rsidRPr="008573C5">
        <w:rPr>
          <w:bCs/>
        </w:rPr>
        <w:t xml:space="preserve"> </w:t>
      </w:r>
      <w:r w:rsidR="00FF5EDF" w:rsidRPr="008573C5">
        <w:t>The resul</w:t>
      </w:r>
      <w:r w:rsidR="008B7F0C">
        <w:t>t from the independent scores i</w:t>
      </w:r>
      <w:r w:rsidR="00FF5EDF" w:rsidRPr="008573C5">
        <w:t xml:space="preserve">s </w:t>
      </w:r>
      <w:r w:rsidR="00085741" w:rsidRPr="008573C5">
        <w:t xml:space="preserve">later </w:t>
      </w:r>
      <w:r w:rsidR="00FF5EDF" w:rsidRPr="008573C5">
        <w:t xml:space="preserve">compared with the researcher’s scores. The results </w:t>
      </w:r>
      <w:r w:rsidR="00085741" w:rsidRPr="008573C5">
        <w:t xml:space="preserve">from </w:t>
      </w:r>
      <w:r w:rsidR="008B7F0C">
        <w:t>the researcher’s scores a</w:t>
      </w:r>
      <w:r w:rsidR="00FF5EDF" w:rsidRPr="008573C5">
        <w:t>re substantially in agreement w</w:t>
      </w:r>
      <w:r w:rsidR="00085741" w:rsidRPr="008573C5">
        <w:t>ith the independent score</w:t>
      </w:r>
      <w:r w:rsidR="00FF5EDF" w:rsidRPr="008573C5">
        <w:t>s</w:t>
      </w:r>
      <w:r w:rsidR="00085741" w:rsidRPr="008573C5">
        <w:t xml:space="preserve"> except for a few</w:t>
      </w:r>
      <w:r w:rsidR="00FF5EDF" w:rsidRPr="008573C5">
        <w:t xml:space="preserve">. </w:t>
      </w:r>
      <w:r w:rsidR="00085741" w:rsidRPr="008573C5">
        <w:t>Necessary a</w:t>
      </w:r>
      <w:r w:rsidR="00FF5EDF" w:rsidRPr="008573C5">
        <w:t>dju</w:t>
      </w:r>
      <w:r w:rsidR="008B7F0C">
        <w:t>stments a</w:t>
      </w:r>
      <w:r w:rsidR="00FF5EDF" w:rsidRPr="008573C5">
        <w:t xml:space="preserve">re made to some </w:t>
      </w:r>
      <w:r w:rsidR="00085741" w:rsidRPr="008573C5">
        <w:t xml:space="preserve">of these </w:t>
      </w:r>
      <w:r w:rsidR="00FF5EDF" w:rsidRPr="008573C5">
        <w:t>i</w:t>
      </w:r>
      <w:r w:rsidR="008B7F0C">
        <w:t>tems. This validated template i</w:t>
      </w:r>
      <w:r w:rsidR="00FF5EDF" w:rsidRPr="008573C5">
        <w:t xml:space="preserve">s applied to the annual reports of the ninety selected companies, thereafter. The scores </w:t>
      </w:r>
      <w:r w:rsidR="00D61C08" w:rsidRPr="008573C5">
        <w:t>for each company</w:t>
      </w:r>
      <w:r w:rsidR="00FF5EDF" w:rsidRPr="008573C5">
        <w:t xml:space="preserve"> </w:t>
      </w:r>
      <w:r w:rsidR="008B7F0C">
        <w:t>a</w:t>
      </w:r>
      <w:r w:rsidR="0069775F" w:rsidRPr="008573C5">
        <w:t>re</w:t>
      </w:r>
      <w:r w:rsidR="00FF5EDF" w:rsidRPr="008573C5">
        <w:t xml:space="preserve"> re-confirmed by the researcher in order to ensure consistency.  </w:t>
      </w:r>
      <w:r w:rsidR="00FF5EDF" w:rsidRPr="008573C5">
        <w:rPr>
          <w:bCs/>
        </w:rPr>
        <w:t xml:space="preserve">The scores </w:t>
      </w:r>
      <w:r w:rsidR="008B7F0C">
        <w:rPr>
          <w:bCs/>
        </w:rPr>
        <w:t>for each item a</w:t>
      </w:r>
      <w:r w:rsidR="00FF5EDF" w:rsidRPr="008573C5">
        <w:rPr>
          <w:bCs/>
        </w:rPr>
        <w:t>re added and equally weighted to derive a final disclosure score for each company.</w:t>
      </w:r>
    </w:p>
    <w:p w:rsidR="00FF5EDF" w:rsidRPr="008573C5" w:rsidRDefault="00FF5EDF" w:rsidP="00FF5EDF">
      <w:pPr>
        <w:autoSpaceDE w:val="0"/>
        <w:autoSpaceDN w:val="0"/>
        <w:adjustRightInd w:val="0"/>
        <w:spacing w:line="360" w:lineRule="auto"/>
        <w:jc w:val="both"/>
        <w:rPr>
          <w:rFonts w:ascii="TimesTen-Roman" w:hAnsi="TimesTen-Roman" w:cs="TimesTen-Roman"/>
          <w:sz w:val="20"/>
          <w:szCs w:val="20"/>
        </w:rPr>
      </w:pPr>
    </w:p>
    <w:p w:rsidR="00FF5EDF" w:rsidRPr="008573C5" w:rsidRDefault="009340E4" w:rsidP="00FF5EDF">
      <w:pPr>
        <w:spacing w:line="360" w:lineRule="auto"/>
        <w:jc w:val="both"/>
        <w:rPr>
          <w:rFonts w:ascii="Times" w:hAnsi="Times" w:cs="Times"/>
          <w:b/>
          <w:sz w:val="28"/>
          <w:szCs w:val="28"/>
        </w:rPr>
      </w:pPr>
      <w:r w:rsidRPr="008573C5">
        <w:rPr>
          <w:rFonts w:cs="TimesNewRoman,Bold"/>
          <w:b/>
          <w:bCs/>
          <w:sz w:val="28"/>
          <w:szCs w:val="28"/>
        </w:rPr>
        <w:t>3.2.</w:t>
      </w:r>
      <w:r w:rsidR="00D341A1" w:rsidRPr="008573C5">
        <w:rPr>
          <w:rFonts w:cs="TimesNewRoman,Bold"/>
          <w:b/>
          <w:bCs/>
          <w:sz w:val="28"/>
          <w:szCs w:val="28"/>
        </w:rPr>
        <w:t>5</w:t>
      </w:r>
      <w:r w:rsidRPr="008573C5">
        <w:rPr>
          <w:rFonts w:ascii="TimesNewRoman,Bold" w:hAnsi="TimesNewRoman,Bold" w:cs="TimesNewRoman,Bold"/>
          <w:b/>
          <w:bCs/>
          <w:sz w:val="28"/>
          <w:szCs w:val="28"/>
        </w:rPr>
        <w:tab/>
        <w:t>M</w:t>
      </w:r>
      <w:r w:rsidR="00FF5EDF" w:rsidRPr="008573C5">
        <w:rPr>
          <w:rFonts w:ascii="Times" w:hAnsi="Times" w:cs="Times"/>
          <w:b/>
          <w:sz w:val="28"/>
          <w:szCs w:val="28"/>
        </w:rPr>
        <w:t xml:space="preserve">odel </w:t>
      </w:r>
      <w:r w:rsidR="003E7878" w:rsidRPr="008573C5">
        <w:rPr>
          <w:rFonts w:ascii="Times" w:hAnsi="Times" w:cs="Times"/>
          <w:b/>
          <w:sz w:val="28"/>
          <w:szCs w:val="28"/>
        </w:rPr>
        <w:t>Specification</w:t>
      </w:r>
    </w:p>
    <w:p w:rsidR="003E7878" w:rsidRPr="008573C5" w:rsidRDefault="00FF5EDF" w:rsidP="00FF5EDF">
      <w:pPr>
        <w:spacing w:line="360" w:lineRule="auto"/>
        <w:jc w:val="both"/>
        <w:rPr>
          <w:rFonts w:ascii="Times" w:hAnsi="Times" w:cs="Times"/>
        </w:rPr>
      </w:pPr>
      <w:r w:rsidRPr="008573C5">
        <w:rPr>
          <w:rFonts w:ascii="Times" w:hAnsi="Times" w:cs="Times"/>
        </w:rPr>
        <w:t xml:space="preserve">The </w:t>
      </w:r>
      <w:r w:rsidR="003E7878" w:rsidRPr="008573C5">
        <w:rPr>
          <w:rFonts w:ascii="Times" w:hAnsi="Times" w:cs="Times"/>
        </w:rPr>
        <w:t xml:space="preserve">empirical model is specified as follows: </w:t>
      </w:r>
    </w:p>
    <w:p w:rsidR="00FF5EDF" w:rsidRPr="008573C5" w:rsidRDefault="003E7878" w:rsidP="003E7878">
      <w:pPr>
        <w:spacing w:line="360" w:lineRule="auto"/>
        <w:jc w:val="both"/>
        <w:rPr>
          <w:bCs/>
        </w:rPr>
      </w:pPr>
      <w:r w:rsidRPr="008573C5">
        <w:t>ODI = f (</w:t>
      </w:r>
      <w:r w:rsidRPr="008573C5">
        <w:rPr>
          <w:bCs/>
        </w:rPr>
        <w:t>SIZE, PRO, LEV, AGE, SEC, AUD, MULT)</w:t>
      </w:r>
      <w:r w:rsidR="00692B73" w:rsidRPr="008573C5">
        <w:rPr>
          <w:bCs/>
        </w:rPr>
        <w:t>………………….(1)</w:t>
      </w:r>
    </w:p>
    <w:p w:rsidR="003E7878" w:rsidRPr="008573C5" w:rsidRDefault="003E7878" w:rsidP="003E7878">
      <w:pPr>
        <w:spacing w:line="360" w:lineRule="auto"/>
        <w:jc w:val="both"/>
        <w:rPr>
          <w:bCs/>
        </w:rPr>
      </w:pPr>
      <w:r w:rsidRPr="008573C5">
        <w:rPr>
          <w:bCs/>
        </w:rPr>
        <w:t xml:space="preserve">The dependent variable </w:t>
      </w:r>
      <w:r w:rsidR="00D554C7" w:rsidRPr="008573C5">
        <w:rPr>
          <w:bCs/>
        </w:rPr>
        <w:t xml:space="preserve">ODI </w:t>
      </w:r>
      <w:r w:rsidRPr="008573C5">
        <w:rPr>
          <w:bCs/>
        </w:rPr>
        <w:t xml:space="preserve">is further broken down into three </w:t>
      </w:r>
      <w:r w:rsidR="00D554C7" w:rsidRPr="008573C5">
        <w:rPr>
          <w:bCs/>
        </w:rPr>
        <w:t>sub-models as</w:t>
      </w:r>
      <w:r w:rsidRPr="008573C5">
        <w:rPr>
          <w:bCs/>
        </w:rPr>
        <w:t xml:space="preserve"> below</w:t>
      </w:r>
      <w:r w:rsidR="00D554C7" w:rsidRPr="008573C5">
        <w:rPr>
          <w:bCs/>
        </w:rPr>
        <w:t>:</w:t>
      </w:r>
    </w:p>
    <w:p w:rsidR="003E7878" w:rsidRPr="008573C5" w:rsidRDefault="00D554C7" w:rsidP="003E7878">
      <w:pPr>
        <w:spacing w:line="360" w:lineRule="auto"/>
        <w:jc w:val="both"/>
        <w:rPr>
          <w:bCs/>
        </w:rPr>
      </w:pPr>
      <w:r w:rsidRPr="008573C5">
        <w:rPr>
          <w:rFonts w:ascii="Times" w:hAnsi="Times" w:cs="Times"/>
        </w:rPr>
        <w:t>DISAS</w:t>
      </w:r>
      <w:r w:rsidRPr="008573C5">
        <w:t xml:space="preserve"> </w:t>
      </w:r>
      <w:r w:rsidR="003E7878" w:rsidRPr="008573C5">
        <w:t xml:space="preserve"> = f (</w:t>
      </w:r>
      <w:r w:rsidR="003E7878" w:rsidRPr="008573C5">
        <w:rPr>
          <w:bCs/>
        </w:rPr>
        <w:t>SIZE, PRO, LEV, AGE, SEC, AUD, MULT)</w:t>
      </w:r>
      <w:r w:rsidR="00692B73" w:rsidRPr="008573C5">
        <w:rPr>
          <w:bCs/>
        </w:rPr>
        <w:t>………………..(2)</w:t>
      </w:r>
    </w:p>
    <w:p w:rsidR="003E7878" w:rsidRPr="008573C5" w:rsidRDefault="00D554C7" w:rsidP="003E7878">
      <w:pPr>
        <w:spacing w:line="360" w:lineRule="auto"/>
        <w:jc w:val="both"/>
        <w:rPr>
          <w:bCs/>
        </w:rPr>
      </w:pPr>
      <w:r w:rsidRPr="008573C5">
        <w:t>DIFRS</w:t>
      </w:r>
      <w:r w:rsidR="003E7878" w:rsidRPr="008573C5">
        <w:t xml:space="preserve"> = f (</w:t>
      </w:r>
      <w:r w:rsidR="003E7878" w:rsidRPr="008573C5">
        <w:rPr>
          <w:bCs/>
        </w:rPr>
        <w:t>SIZE, PRO, LEV, AGE, SEC, AUD, MULT)</w:t>
      </w:r>
      <w:r w:rsidR="00692B73" w:rsidRPr="008573C5">
        <w:rPr>
          <w:bCs/>
        </w:rPr>
        <w:t>…………………(3)</w:t>
      </w:r>
    </w:p>
    <w:p w:rsidR="003E7878" w:rsidRPr="008573C5" w:rsidRDefault="00D554C7" w:rsidP="003E7878">
      <w:pPr>
        <w:spacing w:line="360" w:lineRule="auto"/>
        <w:jc w:val="both"/>
        <w:rPr>
          <w:bCs/>
        </w:rPr>
      </w:pPr>
      <w:r w:rsidRPr="008573C5">
        <w:t>DIVol</w:t>
      </w:r>
      <w:r w:rsidR="003E7878" w:rsidRPr="008573C5">
        <w:t xml:space="preserve"> = f (</w:t>
      </w:r>
      <w:r w:rsidR="003E7878" w:rsidRPr="008573C5">
        <w:rPr>
          <w:bCs/>
        </w:rPr>
        <w:t>SIZE, PRO, LEV, AGE, SEC, AUD, MULT)</w:t>
      </w:r>
      <w:r w:rsidR="00692B73" w:rsidRPr="008573C5">
        <w:rPr>
          <w:bCs/>
        </w:rPr>
        <w:t>………………….(4)</w:t>
      </w:r>
    </w:p>
    <w:p w:rsidR="003E7878" w:rsidRPr="008573C5" w:rsidRDefault="003E7878" w:rsidP="003E7878">
      <w:pPr>
        <w:spacing w:line="360" w:lineRule="auto"/>
        <w:jc w:val="both"/>
        <w:rPr>
          <w:rFonts w:ascii="Times" w:hAnsi="Times" w:cs="Times"/>
        </w:rPr>
      </w:pPr>
    </w:p>
    <w:p w:rsidR="00012688" w:rsidRPr="008573C5" w:rsidRDefault="00983536" w:rsidP="00B0707A">
      <w:pPr>
        <w:autoSpaceDE w:val="0"/>
        <w:autoSpaceDN w:val="0"/>
        <w:adjustRightInd w:val="0"/>
        <w:spacing w:line="360" w:lineRule="auto"/>
        <w:jc w:val="both"/>
        <w:rPr>
          <w:rFonts w:eastAsia="Calibri"/>
        </w:rPr>
      </w:pPr>
      <w:r w:rsidRPr="008573C5">
        <w:t xml:space="preserve">The empirical </w:t>
      </w:r>
      <w:r w:rsidR="00A96B32" w:rsidRPr="008573C5">
        <w:t>model and sub-model</w:t>
      </w:r>
      <w:r w:rsidR="00012688" w:rsidRPr="008573C5">
        <w:t>s are</w:t>
      </w:r>
      <w:r w:rsidR="00A96B32" w:rsidRPr="008573C5">
        <w:t xml:space="preserve"> specified into four multiple regression equations</w:t>
      </w:r>
      <w:r w:rsidR="00012688" w:rsidRPr="008573C5">
        <w:t xml:space="preserve">. The model is further replicated into four models, </w:t>
      </w:r>
      <w:r w:rsidRPr="008573C5">
        <w:t xml:space="preserve">Model 1, Model 2, Model 3 and Model 4 using </w:t>
      </w:r>
      <w:r w:rsidR="00012688" w:rsidRPr="008573C5">
        <w:t>unranked and ranked data and specified into</w:t>
      </w:r>
      <w:r w:rsidR="00A96B32" w:rsidRPr="008573C5">
        <w:t xml:space="preserve"> sixteen equations all</w:t>
      </w:r>
      <w:r w:rsidR="00012688" w:rsidRPr="008573C5">
        <w:t xml:space="preserve"> together. </w:t>
      </w:r>
      <w:r w:rsidR="00A96B32" w:rsidRPr="008573C5">
        <w:t>The application of unranked and ranked data is in line with the works of Al</w:t>
      </w:r>
      <w:r w:rsidR="00A96B32" w:rsidRPr="008573C5">
        <w:rPr>
          <w:rFonts w:eastAsia="Calibri"/>
        </w:rPr>
        <w:t>i et al</w:t>
      </w:r>
      <w:r w:rsidR="00FB57E2" w:rsidRPr="008573C5">
        <w:rPr>
          <w:rFonts w:eastAsia="Calibri"/>
        </w:rPr>
        <w:t>.</w:t>
      </w:r>
      <w:r w:rsidR="00A96B32" w:rsidRPr="008573C5">
        <w:rPr>
          <w:rFonts w:eastAsia="Calibri"/>
        </w:rPr>
        <w:t>, 2004:183; Wallace and Naser, 1995:311).</w:t>
      </w:r>
    </w:p>
    <w:p w:rsidR="00012688" w:rsidRPr="008573C5" w:rsidRDefault="00012688" w:rsidP="00983536">
      <w:pPr>
        <w:autoSpaceDE w:val="0"/>
        <w:autoSpaceDN w:val="0"/>
        <w:adjustRightInd w:val="0"/>
        <w:spacing w:line="360" w:lineRule="auto"/>
        <w:rPr>
          <w:rFonts w:eastAsia="Calibri"/>
        </w:rPr>
      </w:pPr>
    </w:p>
    <w:p w:rsidR="00B27D44" w:rsidRPr="008573C5" w:rsidRDefault="00983536" w:rsidP="00983536">
      <w:pPr>
        <w:autoSpaceDE w:val="0"/>
        <w:autoSpaceDN w:val="0"/>
        <w:adjustRightInd w:val="0"/>
        <w:spacing w:line="360" w:lineRule="auto"/>
        <w:rPr>
          <w:lang w:val="en-GB" w:eastAsia="en-GB"/>
        </w:rPr>
      </w:pPr>
      <w:r w:rsidRPr="008573C5">
        <w:t xml:space="preserve">The full specification of the </w:t>
      </w:r>
      <w:r w:rsidR="00B8368C" w:rsidRPr="008573C5">
        <w:t>sixteen</w:t>
      </w:r>
      <w:r w:rsidRPr="008573C5">
        <w:t xml:space="preserve"> regression </w:t>
      </w:r>
      <w:r w:rsidR="00B8368C" w:rsidRPr="008573C5">
        <w:t>equations</w:t>
      </w:r>
      <w:r w:rsidRPr="008573C5">
        <w:rPr>
          <w:lang w:val="en-GB" w:eastAsia="en-GB"/>
        </w:rPr>
        <w:t xml:space="preserve"> are as below, where, </w:t>
      </w:r>
      <w:r w:rsidRPr="008573C5">
        <w:rPr>
          <w:b/>
          <w:bCs/>
        </w:rPr>
        <w:t>β</w:t>
      </w:r>
      <w:r w:rsidRPr="008573C5">
        <w:rPr>
          <w:bCs/>
          <w:vertAlign w:val="subscript"/>
        </w:rPr>
        <w:t>0</w:t>
      </w:r>
      <w:r w:rsidRPr="008573C5">
        <w:rPr>
          <w:lang w:val="en-GB" w:eastAsia="en-GB"/>
        </w:rPr>
        <w:t>=regression i</w:t>
      </w:r>
    </w:p>
    <w:p w:rsidR="00983536" w:rsidRPr="008573C5" w:rsidRDefault="00983536" w:rsidP="00983536">
      <w:pPr>
        <w:autoSpaceDE w:val="0"/>
        <w:autoSpaceDN w:val="0"/>
        <w:adjustRightInd w:val="0"/>
        <w:spacing w:line="360" w:lineRule="auto"/>
      </w:pPr>
      <w:r w:rsidRPr="008573C5">
        <w:rPr>
          <w:lang w:val="en-GB" w:eastAsia="en-GB"/>
        </w:rPr>
        <w:t xml:space="preserve">ntercept; </w:t>
      </w:r>
      <w:r w:rsidRPr="008573C5">
        <w:rPr>
          <w:b/>
          <w:bCs/>
        </w:rPr>
        <w:t>β</w:t>
      </w:r>
      <w:r w:rsidRPr="008573C5">
        <w:rPr>
          <w:bCs/>
          <w:vertAlign w:val="subscript"/>
        </w:rPr>
        <w:t>i</w:t>
      </w:r>
      <w:r w:rsidRPr="008573C5">
        <w:rPr>
          <w:lang w:val="en-GB" w:eastAsia="en-GB"/>
        </w:rPr>
        <w:t>=parameters to be estimated;</w:t>
      </w:r>
      <w:r w:rsidRPr="008573C5">
        <w:rPr>
          <w:bCs/>
        </w:rPr>
        <w:t xml:space="preserve">  </w:t>
      </w:r>
      <w:r w:rsidRPr="008573C5">
        <w:rPr>
          <w:lang w:val="en-GB" w:eastAsia="en-GB"/>
        </w:rPr>
        <w:t xml:space="preserve">j=1.....,90 ( number of samples) </w:t>
      </w:r>
      <w:r w:rsidRPr="008573C5">
        <w:t xml:space="preserve">and </w:t>
      </w:r>
      <w:r w:rsidRPr="008573C5">
        <w:rPr>
          <w:bCs/>
        </w:rPr>
        <w:t>ε</w:t>
      </w:r>
      <w:r w:rsidRPr="008573C5">
        <w:rPr>
          <w:vertAlign w:val="subscript"/>
        </w:rPr>
        <w:t>j</w:t>
      </w:r>
      <w:r w:rsidRPr="008573C5">
        <w:t xml:space="preserve"> = the error term.</w:t>
      </w:r>
    </w:p>
    <w:p w:rsidR="00B048BA" w:rsidRPr="008573C5" w:rsidRDefault="00B048BA" w:rsidP="00983536">
      <w:pPr>
        <w:autoSpaceDE w:val="0"/>
        <w:autoSpaceDN w:val="0"/>
        <w:adjustRightInd w:val="0"/>
        <w:spacing w:line="360" w:lineRule="auto"/>
      </w:pPr>
    </w:p>
    <w:p w:rsidR="00B048BA" w:rsidRPr="008573C5" w:rsidRDefault="00B048BA" w:rsidP="00983536">
      <w:pPr>
        <w:autoSpaceDE w:val="0"/>
        <w:autoSpaceDN w:val="0"/>
        <w:adjustRightInd w:val="0"/>
        <w:spacing w:line="360" w:lineRule="auto"/>
      </w:pPr>
      <w:r w:rsidRPr="008573C5">
        <w:t>The ‘a priori expectations are:</w:t>
      </w:r>
    </w:p>
    <w:p w:rsidR="00B048BA" w:rsidRPr="008573C5" w:rsidRDefault="00B048BA" w:rsidP="00983536">
      <w:pPr>
        <w:autoSpaceDE w:val="0"/>
        <w:autoSpaceDN w:val="0"/>
        <w:adjustRightInd w:val="0"/>
        <w:spacing w:line="360" w:lineRule="auto"/>
      </w:pPr>
    </w:p>
    <w:p w:rsidR="00B048BA" w:rsidRPr="008573C5" w:rsidRDefault="00B048BA" w:rsidP="00983536">
      <w:pPr>
        <w:autoSpaceDE w:val="0"/>
        <w:autoSpaceDN w:val="0"/>
        <w:adjustRightInd w:val="0"/>
        <w:spacing w:line="360" w:lineRule="auto"/>
        <w:rPr>
          <w:bCs/>
        </w:rPr>
      </w:pPr>
      <w:r w:rsidRPr="008573C5">
        <w:rPr>
          <w:b/>
          <w:bCs/>
        </w:rPr>
        <w:t>β</w:t>
      </w:r>
      <w:r w:rsidRPr="008573C5">
        <w:rPr>
          <w:bCs/>
          <w:vertAlign w:val="subscript"/>
        </w:rPr>
        <w:t xml:space="preserve">1 </w:t>
      </w:r>
      <w:r w:rsidRPr="008573C5">
        <w:rPr>
          <w:bCs/>
        </w:rPr>
        <w:t xml:space="preserve"> &gt; 0; implying that the higher the SIZE,  the higher the disclosure indexes,</w:t>
      </w:r>
    </w:p>
    <w:p w:rsidR="00B048BA" w:rsidRPr="008573C5" w:rsidRDefault="00B048BA" w:rsidP="00B048BA">
      <w:pPr>
        <w:autoSpaceDE w:val="0"/>
        <w:autoSpaceDN w:val="0"/>
        <w:adjustRightInd w:val="0"/>
        <w:spacing w:line="360" w:lineRule="auto"/>
        <w:rPr>
          <w:bCs/>
        </w:rPr>
      </w:pPr>
      <w:r w:rsidRPr="008573C5">
        <w:rPr>
          <w:b/>
          <w:bCs/>
        </w:rPr>
        <w:t>β</w:t>
      </w:r>
      <w:r w:rsidR="00DB243F" w:rsidRPr="008573C5">
        <w:rPr>
          <w:bCs/>
          <w:vertAlign w:val="subscript"/>
        </w:rPr>
        <w:t>2</w:t>
      </w:r>
      <w:r w:rsidRPr="008573C5">
        <w:rPr>
          <w:bCs/>
          <w:vertAlign w:val="subscript"/>
        </w:rPr>
        <w:t xml:space="preserve"> </w:t>
      </w:r>
      <w:r w:rsidRPr="008573C5">
        <w:rPr>
          <w:bCs/>
        </w:rPr>
        <w:t xml:space="preserve"> &gt; 0; implying that the higher the PRO,  the higher the disclosure indexes,</w:t>
      </w:r>
    </w:p>
    <w:p w:rsidR="00B048BA" w:rsidRPr="008573C5" w:rsidRDefault="00B048BA" w:rsidP="00B048BA">
      <w:pPr>
        <w:autoSpaceDE w:val="0"/>
        <w:autoSpaceDN w:val="0"/>
        <w:adjustRightInd w:val="0"/>
        <w:spacing w:line="360" w:lineRule="auto"/>
        <w:rPr>
          <w:bCs/>
        </w:rPr>
      </w:pPr>
      <w:r w:rsidRPr="008573C5">
        <w:rPr>
          <w:b/>
          <w:bCs/>
        </w:rPr>
        <w:t>β</w:t>
      </w:r>
      <w:r w:rsidR="00DB243F" w:rsidRPr="008573C5">
        <w:rPr>
          <w:bCs/>
          <w:vertAlign w:val="subscript"/>
        </w:rPr>
        <w:t>3</w:t>
      </w:r>
      <w:r w:rsidRPr="008573C5">
        <w:rPr>
          <w:bCs/>
          <w:vertAlign w:val="subscript"/>
        </w:rPr>
        <w:t xml:space="preserve"> </w:t>
      </w:r>
      <w:r w:rsidRPr="008573C5">
        <w:rPr>
          <w:bCs/>
        </w:rPr>
        <w:t xml:space="preserve"> &gt; 0; implying that the higher the LEV,  the higher the disclosure indexes,</w:t>
      </w:r>
    </w:p>
    <w:p w:rsidR="00B048BA" w:rsidRPr="008573C5" w:rsidRDefault="00B048BA" w:rsidP="00B048BA">
      <w:pPr>
        <w:autoSpaceDE w:val="0"/>
        <w:autoSpaceDN w:val="0"/>
        <w:adjustRightInd w:val="0"/>
        <w:spacing w:line="360" w:lineRule="auto"/>
        <w:rPr>
          <w:bCs/>
        </w:rPr>
      </w:pPr>
      <w:r w:rsidRPr="008573C5">
        <w:rPr>
          <w:b/>
          <w:bCs/>
        </w:rPr>
        <w:t>β</w:t>
      </w:r>
      <w:r w:rsidR="00DB243F" w:rsidRPr="008573C5">
        <w:rPr>
          <w:bCs/>
          <w:vertAlign w:val="subscript"/>
        </w:rPr>
        <w:t>4</w:t>
      </w:r>
      <w:r w:rsidRPr="008573C5">
        <w:rPr>
          <w:bCs/>
          <w:vertAlign w:val="subscript"/>
        </w:rPr>
        <w:t xml:space="preserve"> </w:t>
      </w:r>
      <w:r w:rsidR="00DB243F" w:rsidRPr="008573C5">
        <w:rPr>
          <w:bCs/>
        </w:rPr>
        <w:t xml:space="preserve"> &lt;</w:t>
      </w:r>
      <w:r w:rsidRPr="008573C5">
        <w:rPr>
          <w:bCs/>
        </w:rPr>
        <w:t xml:space="preserve"> 0; implying that the higher the AGE,  the </w:t>
      </w:r>
      <w:r w:rsidR="00DB243F" w:rsidRPr="008573C5">
        <w:rPr>
          <w:bCs/>
        </w:rPr>
        <w:t>lower</w:t>
      </w:r>
      <w:r w:rsidRPr="008573C5">
        <w:rPr>
          <w:bCs/>
        </w:rPr>
        <w:t xml:space="preserve"> the disclosure indexes,</w:t>
      </w:r>
    </w:p>
    <w:p w:rsidR="00B048BA" w:rsidRPr="008573C5" w:rsidRDefault="00B048BA" w:rsidP="00B048BA">
      <w:pPr>
        <w:autoSpaceDE w:val="0"/>
        <w:autoSpaceDN w:val="0"/>
        <w:adjustRightInd w:val="0"/>
        <w:spacing w:line="360" w:lineRule="auto"/>
        <w:rPr>
          <w:bCs/>
        </w:rPr>
      </w:pPr>
      <w:r w:rsidRPr="008573C5">
        <w:rPr>
          <w:b/>
          <w:bCs/>
        </w:rPr>
        <w:t>β</w:t>
      </w:r>
      <w:r w:rsidR="00DB243F" w:rsidRPr="008573C5">
        <w:rPr>
          <w:bCs/>
          <w:vertAlign w:val="subscript"/>
        </w:rPr>
        <w:t>5</w:t>
      </w:r>
      <w:r w:rsidRPr="008573C5">
        <w:rPr>
          <w:bCs/>
          <w:vertAlign w:val="subscript"/>
        </w:rPr>
        <w:t xml:space="preserve"> </w:t>
      </w:r>
      <w:r w:rsidRPr="008573C5">
        <w:rPr>
          <w:bCs/>
        </w:rPr>
        <w:t xml:space="preserve"> &gt; 0; implying that the higher the SEC,  the higher the disclosure indexes,</w:t>
      </w:r>
    </w:p>
    <w:p w:rsidR="00B048BA" w:rsidRPr="008573C5" w:rsidRDefault="00B048BA" w:rsidP="00B048BA">
      <w:pPr>
        <w:autoSpaceDE w:val="0"/>
        <w:autoSpaceDN w:val="0"/>
        <w:adjustRightInd w:val="0"/>
        <w:spacing w:line="360" w:lineRule="auto"/>
        <w:rPr>
          <w:bCs/>
        </w:rPr>
      </w:pPr>
      <w:r w:rsidRPr="008573C5">
        <w:rPr>
          <w:b/>
          <w:bCs/>
        </w:rPr>
        <w:t>β</w:t>
      </w:r>
      <w:r w:rsidR="00DB243F" w:rsidRPr="008573C5">
        <w:rPr>
          <w:bCs/>
          <w:vertAlign w:val="subscript"/>
        </w:rPr>
        <w:t>6</w:t>
      </w:r>
      <w:r w:rsidRPr="008573C5">
        <w:rPr>
          <w:bCs/>
          <w:vertAlign w:val="subscript"/>
        </w:rPr>
        <w:t xml:space="preserve"> </w:t>
      </w:r>
      <w:r w:rsidRPr="008573C5">
        <w:rPr>
          <w:bCs/>
        </w:rPr>
        <w:t xml:space="preserve"> &gt; 0; implying that the higher the AUD,  the higher the disclosure indexes,</w:t>
      </w:r>
    </w:p>
    <w:p w:rsidR="00B048BA" w:rsidRPr="008573C5" w:rsidRDefault="00B048BA" w:rsidP="00B048BA">
      <w:pPr>
        <w:autoSpaceDE w:val="0"/>
        <w:autoSpaceDN w:val="0"/>
        <w:adjustRightInd w:val="0"/>
        <w:spacing w:line="360" w:lineRule="auto"/>
        <w:rPr>
          <w:bCs/>
        </w:rPr>
      </w:pPr>
      <w:r w:rsidRPr="008573C5">
        <w:rPr>
          <w:b/>
          <w:bCs/>
        </w:rPr>
        <w:t>β</w:t>
      </w:r>
      <w:r w:rsidR="00DB243F" w:rsidRPr="008573C5">
        <w:rPr>
          <w:bCs/>
          <w:vertAlign w:val="subscript"/>
        </w:rPr>
        <w:t>7</w:t>
      </w:r>
      <w:r w:rsidRPr="008573C5">
        <w:rPr>
          <w:bCs/>
          <w:vertAlign w:val="subscript"/>
        </w:rPr>
        <w:t xml:space="preserve"> </w:t>
      </w:r>
      <w:r w:rsidRPr="008573C5">
        <w:rPr>
          <w:bCs/>
        </w:rPr>
        <w:t xml:space="preserve"> &gt; 0; i</w:t>
      </w:r>
      <w:r w:rsidR="00DB243F" w:rsidRPr="008573C5">
        <w:rPr>
          <w:bCs/>
        </w:rPr>
        <w:t>mplying that the higher the MULT</w:t>
      </w:r>
      <w:r w:rsidRPr="008573C5">
        <w:rPr>
          <w:bCs/>
        </w:rPr>
        <w:t>,  the higher the disclosure indexes,</w:t>
      </w:r>
    </w:p>
    <w:p w:rsidR="00B048BA" w:rsidRPr="008573C5" w:rsidRDefault="00B048BA" w:rsidP="00B048BA">
      <w:pPr>
        <w:autoSpaceDE w:val="0"/>
        <w:autoSpaceDN w:val="0"/>
        <w:adjustRightInd w:val="0"/>
        <w:spacing w:line="360" w:lineRule="auto"/>
        <w:rPr>
          <w:bCs/>
        </w:rPr>
      </w:pPr>
    </w:p>
    <w:p w:rsidR="00B048BA" w:rsidRPr="008573C5" w:rsidRDefault="00B048BA" w:rsidP="00B048BA">
      <w:pPr>
        <w:autoSpaceDE w:val="0"/>
        <w:autoSpaceDN w:val="0"/>
        <w:adjustRightInd w:val="0"/>
        <w:spacing w:line="360" w:lineRule="auto"/>
        <w:rPr>
          <w:bCs/>
        </w:rPr>
      </w:pPr>
    </w:p>
    <w:p w:rsidR="00BB3820" w:rsidRDefault="00BB3820" w:rsidP="00983536">
      <w:pPr>
        <w:autoSpaceDE w:val="0"/>
        <w:autoSpaceDN w:val="0"/>
        <w:adjustRightInd w:val="0"/>
        <w:spacing w:line="360" w:lineRule="auto"/>
        <w:jc w:val="both"/>
        <w:rPr>
          <w:b/>
        </w:rPr>
      </w:pPr>
    </w:p>
    <w:p w:rsidR="00983536" w:rsidRPr="008573C5" w:rsidRDefault="00983536" w:rsidP="00983536">
      <w:pPr>
        <w:autoSpaceDE w:val="0"/>
        <w:autoSpaceDN w:val="0"/>
        <w:adjustRightInd w:val="0"/>
        <w:spacing w:line="360" w:lineRule="auto"/>
        <w:jc w:val="both"/>
        <w:rPr>
          <w:b/>
        </w:rPr>
      </w:pPr>
      <w:r w:rsidRPr="008573C5">
        <w:rPr>
          <w:b/>
        </w:rPr>
        <w:t>Model 1</w:t>
      </w:r>
    </w:p>
    <w:p w:rsidR="00983536" w:rsidRPr="008573C5" w:rsidRDefault="008B7F0C" w:rsidP="00983536">
      <w:pPr>
        <w:autoSpaceDE w:val="0"/>
        <w:autoSpaceDN w:val="0"/>
        <w:adjustRightInd w:val="0"/>
        <w:spacing w:line="360" w:lineRule="auto"/>
        <w:jc w:val="both"/>
      </w:pPr>
      <w:r>
        <w:t>Model 1 utilises</w:t>
      </w:r>
      <w:r w:rsidR="00C74BC3" w:rsidRPr="008573C5">
        <w:t xml:space="preserve"> unranked OLS and a </w:t>
      </w:r>
      <w:r w:rsidR="00A96B32" w:rsidRPr="008573C5">
        <w:t>composite</w:t>
      </w:r>
      <w:r w:rsidR="00C74BC3" w:rsidRPr="008573C5">
        <w:t xml:space="preserve"> </w:t>
      </w:r>
      <w:r w:rsidR="00A96B32" w:rsidRPr="008573C5">
        <w:t xml:space="preserve">size </w:t>
      </w:r>
      <w:r w:rsidR="00C74BC3" w:rsidRPr="008573C5">
        <w:t xml:space="preserve">variable </w:t>
      </w:r>
      <w:r w:rsidR="00A96B32" w:rsidRPr="008573C5">
        <w:t>as proxy for</w:t>
      </w:r>
      <w:r w:rsidR="00C74BC3" w:rsidRPr="008573C5">
        <w:t xml:space="preserve"> company size. </w:t>
      </w:r>
      <w:r w:rsidR="00983536" w:rsidRPr="008573C5">
        <w:t xml:space="preserve">The full specification of the regression equations using unranked OLS </w:t>
      </w:r>
      <w:r w:rsidR="00B8368C" w:rsidRPr="008573C5">
        <w:t>are</w:t>
      </w:r>
      <w:r w:rsidR="00983536" w:rsidRPr="008573C5">
        <w:t xml:space="preserve"> assumed to be as follows:</w:t>
      </w:r>
    </w:p>
    <w:p w:rsidR="00983536" w:rsidRPr="008573C5" w:rsidRDefault="00983536" w:rsidP="00983536">
      <w:pPr>
        <w:autoSpaceDE w:val="0"/>
        <w:autoSpaceDN w:val="0"/>
        <w:adjustRightInd w:val="0"/>
        <w:spacing w:line="360" w:lineRule="auto"/>
        <w:jc w:val="both"/>
        <w:rPr>
          <w:b/>
          <w:bCs/>
        </w:rPr>
      </w:pPr>
      <w:r w:rsidRPr="008573C5">
        <w:rPr>
          <w:b/>
        </w:rPr>
        <w:t>Equation A</w:t>
      </w:r>
      <w:r w:rsidRPr="008573C5">
        <w:rPr>
          <w:b/>
          <w:vertAlign w:val="subscript"/>
        </w:rPr>
        <w:t>1</w:t>
      </w:r>
      <w:r w:rsidRPr="008573C5">
        <w:t>: ODI</w:t>
      </w:r>
      <w:r w:rsidRPr="008573C5">
        <w:rPr>
          <w:vertAlign w:val="subscript"/>
        </w:rPr>
        <w:t>j</w:t>
      </w:r>
      <w:r w:rsidRPr="008573C5">
        <w:t xml:space="preserve"> = </w:t>
      </w:r>
      <w:r w:rsidRPr="008573C5">
        <w:rPr>
          <w:b/>
          <w:bCs/>
        </w:rPr>
        <w:t xml:space="preserve"> β</w:t>
      </w:r>
      <w:r w:rsidRPr="008573C5">
        <w:rPr>
          <w:bCs/>
          <w:vertAlign w:val="subscript"/>
        </w:rPr>
        <w:t xml:space="preserve">0 </w:t>
      </w:r>
      <w:r w:rsidRPr="008573C5">
        <w:rPr>
          <w:bCs/>
        </w:rPr>
        <w:t xml:space="preserve">+ </w:t>
      </w:r>
      <w:r w:rsidRPr="008573C5">
        <w:rPr>
          <w:b/>
          <w:bCs/>
        </w:rPr>
        <w:t>β</w:t>
      </w:r>
      <w:r w:rsidRPr="008573C5">
        <w:rPr>
          <w:bCs/>
          <w:vertAlign w:val="subscript"/>
        </w:rPr>
        <w:t>1</w:t>
      </w:r>
      <w:r w:rsidRPr="008573C5">
        <w:rPr>
          <w:bCs/>
        </w:rPr>
        <w:t>SIZE(Fac)</w:t>
      </w:r>
      <w:r w:rsidRPr="008573C5">
        <w:rPr>
          <w:vertAlign w:val="subscript"/>
        </w:rPr>
        <w:t>j</w:t>
      </w:r>
      <w:r w:rsidRPr="008573C5">
        <w:rPr>
          <w:bCs/>
        </w:rPr>
        <w:t xml:space="preserve"> + </w:t>
      </w:r>
      <w:r w:rsidRPr="008573C5">
        <w:rPr>
          <w:b/>
          <w:bCs/>
        </w:rPr>
        <w:t>β</w:t>
      </w:r>
      <w:r w:rsidRPr="008573C5">
        <w:rPr>
          <w:bCs/>
          <w:vertAlign w:val="subscript"/>
        </w:rPr>
        <w:t>2</w:t>
      </w:r>
      <w:r w:rsidRPr="008573C5">
        <w:rPr>
          <w:bCs/>
        </w:rPr>
        <w:t>PRO</w:t>
      </w:r>
      <w:r w:rsidRPr="008573C5">
        <w:rPr>
          <w:vertAlign w:val="subscript"/>
        </w:rPr>
        <w:t>j</w:t>
      </w:r>
      <w:r w:rsidRPr="008573C5">
        <w:rPr>
          <w:bCs/>
        </w:rPr>
        <w:t xml:space="preserve"> + </w:t>
      </w:r>
      <w:r w:rsidRPr="008573C5">
        <w:rPr>
          <w:b/>
          <w:bCs/>
        </w:rPr>
        <w:t>β</w:t>
      </w:r>
      <w:r w:rsidRPr="008573C5">
        <w:rPr>
          <w:bCs/>
          <w:vertAlign w:val="subscript"/>
        </w:rPr>
        <w:t>3</w:t>
      </w:r>
      <w:r w:rsidRPr="008573C5">
        <w:rPr>
          <w:bCs/>
        </w:rPr>
        <w:t>LEV</w:t>
      </w:r>
      <w:r w:rsidRPr="008573C5">
        <w:rPr>
          <w:vertAlign w:val="subscript"/>
        </w:rPr>
        <w:t>j</w:t>
      </w:r>
      <w:r w:rsidRPr="008573C5">
        <w:rPr>
          <w:bCs/>
        </w:rPr>
        <w:t xml:space="preserve"> + </w:t>
      </w:r>
      <w:r w:rsidRPr="008573C5">
        <w:rPr>
          <w:b/>
          <w:bCs/>
        </w:rPr>
        <w:t>β</w:t>
      </w:r>
      <w:r w:rsidRPr="008573C5">
        <w:rPr>
          <w:bCs/>
          <w:vertAlign w:val="subscript"/>
        </w:rPr>
        <w:t>4</w:t>
      </w:r>
      <w:r w:rsidRPr="008573C5">
        <w:rPr>
          <w:bCs/>
        </w:rPr>
        <w:t>AGE</w:t>
      </w:r>
      <w:r w:rsidRPr="008573C5">
        <w:rPr>
          <w:vertAlign w:val="subscript"/>
        </w:rPr>
        <w:t>j</w:t>
      </w:r>
      <w:r w:rsidRPr="008573C5">
        <w:rPr>
          <w:bCs/>
        </w:rPr>
        <w:t xml:space="preserve"> + </w:t>
      </w:r>
      <w:r w:rsidRPr="008573C5">
        <w:rPr>
          <w:b/>
          <w:bCs/>
        </w:rPr>
        <w:t>β</w:t>
      </w:r>
      <w:r w:rsidRPr="008573C5">
        <w:rPr>
          <w:bCs/>
          <w:vertAlign w:val="subscript"/>
        </w:rPr>
        <w:t>5</w:t>
      </w:r>
      <w:r w:rsidRPr="008573C5">
        <w:rPr>
          <w:bCs/>
        </w:rPr>
        <w:t>SEC</w:t>
      </w:r>
      <w:r w:rsidRPr="008573C5">
        <w:rPr>
          <w:vertAlign w:val="subscript"/>
        </w:rPr>
        <w:t>j</w:t>
      </w:r>
      <w:r w:rsidRPr="008573C5">
        <w:rPr>
          <w:b/>
          <w:bCs/>
        </w:rPr>
        <w:t xml:space="preserve"> + β</w:t>
      </w:r>
      <w:r w:rsidRPr="008573C5">
        <w:rPr>
          <w:bCs/>
          <w:vertAlign w:val="subscript"/>
        </w:rPr>
        <w:t>6</w:t>
      </w:r>
      <w:r w:rsidRPr="008573C5">
        <w:rPr>
          <w:bCs/>
        </w:rPr>
        <w:t xml:space="preserve"> AUD</w:t>
      </w:r>
      <w:r w:rsidRPr="008573C5">
        <w:rPr>
          <w:bCs/>
          <w:vertAlign w:val="subscript"/>
        </w:rPr>
        <w:t>j</w:t>
      </w:r>
      <w:r w:rsidRPr="008573C5">
        <w:rPr>
          <w:bCs/>
        </w:rPr>
        <w:t xml:space="preserve">+ </w:t>
      </w:r>
      <w:r w:rsidRPr="008573C5">
        <w:rPr>
          <w:b/>
          <w:bCs/>
        </w:rPr>
        <w:t>β</w:t>
      </w:r>
      <w:r w:rsidRPr="008573C5">
        <w:rPr>
          <w:bCs/>
          <w:vertAlign w:val="subscript"/>
        </w:rPr>
        <w:t>7</w:t>
      </w:r>
      <w:r w:rsidRPr="008573C5">
        <w:rPr>
          <w:bCs/>
        </w:rPr>
        <w:t>MULT</w:t>
      </w:r>
      <w:r w:rsidRPr="008573C5">
        <w:rPr>
          <w:bCs/>
          <w:vertAlign w:val="subscript"/>
        </w:rPr>
        <w:t>j</w:t>
      </w:r>
      <w:r w:rsidRPr="008573C5">
        <w:rPr>
          <w:bCs/>
        </w:rPr>
        <w:t>+ ε</w:t>
      </w:r>
      <w:r w:rsidRPr="008573C5">
        <w:rPr>
          <w:vertAlign w:val="subscript"/>
        </w:rPr>
        <w:t>j</w:t>
      </w:r>
      <w:r w:rsidR="00B86F16" w:rsidRPr="008573C5">
        <w:rPr>
          <w:vertAlign w:val="subscript"/>
        </w:rPr>
        <w:t xml:space="preserve">  </w:t>
      </w:r>
      <w:r w:rsidR="00B86F16" w:rsidRPr="008573C5">
        <w:t>…………………………….(1)</w:t>
      </w:r>
    </w:p>
    <w:p w:rsidR="00983536" w:rsidRPr="008573C5" w:rsidRDefault="00983536" w:rsidP="00983536">
      <w:pPr>
        <w:autoSpaceDE w:val="0"/>
        <w:autoSpaceDN w:val="0"/>
        <w:adjustRightInd w:val="0"/>
        <w:spacing w:line="360" w:lineRule="auto"/>
        <w:jc w:val="both"/>
        <w:rPr>
          <w:b/>
          <w:bCs/>
        </w:rPr>
      </w:pPr>
      <w:r w:rsidRPr="008573C5">
        <w:rPr>
          <w:b/>
        </w:rPr>
        <w:t>Equation A</w:t>
      </w:r>
      <w:r w:rsidRPr="008573C5">
        <w:rPr>
          <w:b/>
          <w:vertAlign w:val="subscript"/>
        </w:rPr>
        <w:t>2</w:t>
      </w:r>
      <w:r w:rsidRPr="008573C5">
        <w:t xml:space="preserve">: DISASj = </w:t>
      </w:r>
      <w:r w:rsidRPr="008573C5">
        <w:rPr>
          <w:b/>
          <w:bCs/>
        </w:rPr>
        <w:t xml:space="preserve"> </w:t>
      </w:r>
      <w:r w:rsidRPr="008573C5">
        <w:t xml:space="preserve"> </w:t>
      </w:r>
      <w:r w:rsidRPr="008573C5">
        <w:rPr>
          <w:b/>
          <w:bCs/>
        </w:rPr>
        <w:t xml:space="preserve"> β</w:t>
      </w:r>
      <w:r w:rsidRPr="008573C5">
        <w:rPr>
          <w:bCs/>
          <w:vertAlign w:val="subscript"/>
        </w:rPr>
        <w:t xml:space="preserve">0 </w:t>
      </w:r>
      <w:r w:rsidRPr="008573C5">
        <w:rPr>
          <w:bCs/>
        </w:rPr>
        <w:t xml:space="preserve">+ </w:t>
      </w:r>
      <w:r w:rsidRPr="008573C5">
        <w:rPr>
          <w:b/>
          <w:bCs/>
        </w:rPr>
        <w:t>β</w:t>
      </w:r>
      <w:r w:rsidRPr="008573C5">
        <w:rPr>
          <w:bCs/>
          <w:vertAlign w:val="subscript"/>
        </w:rPr>
        <w:t>1</w:t>
      </w:r>
      <w:r w:rsidRPr="008573C5">
        <w:rPr>
          <w:bCs/>
        </w:rPr>
        <w:t>SIZE(Fac)</w:t>
      </w:r>
      <w:r w:rsidRPr="008573C5">
        <w:rPr>
          <w:vertAlign w:val="subscript"/>
        </w:rPr>
        <w:t>j</w:t>
      </w:r>
      <w:r w:rsidRPr="008573C5">
        <w:rPr>
          <w:bCs/>
        </w:rPr>
        <w:t xml:space="preserve"> + </w:t>
      </w:r>
      <w:r w:rsidRPr="008573C5">
        <w:rPr>
          <w:b/>
          <w:bCs/>
        </w:rPr>
        <w:t>β</w:t>
      </w:r>
      <w:r w:rsidRPr="008573C5">
        <w:rPr>
          <w:bCs/>
          <w:vertAlign w:val="subscript"/>
        </w:rPr>
        <w:t>2</w:t>
      </w:r>
      <w:r w:rsidRPr="008573C5">
        <w:rPr>
          <w:bCs/>
        </w:rPr>
        <w:t>PRO</w:t>
      </w:r>
      <w:r w:rsidRPr="008573C5">
        <w:rPr>
          <w:vertAlign w:val="subscript"/>
        </w:rPr>
        <w:t>j</w:t>
      </w:r>
      <w:r w:rsidRPr="008573C5">
        <w:rPr>
          <w:bCs/>
        </w:rPr>
        <w:t xml:space="preserve"> + </w:t>
      </w:r>
      <w:r w:rsidRPr="008573C5">
        <w:rPr>
          <w:b/>
          <w:bCs/>
        </w:rPr>
        <w:t>β</w:t>
      </w:r>
      <w:r w:rsidRPr="008573C5">
        <w:rPr>
          <w:bCs/>
          <w:vertAlign w:val="subscript"/>
        </w:rPr>
        <w:t>3</w:t>
      </w:r>
      <w:r w:rsidRPr="008573C5">
        <w:rPr>
          <w:bCs/>
        </w:rPr>
        <w:t>LEV</w:t>
      </w:r>
      <w:r w:rsidRPr="008573C5">
        <w:rPr>
          <w:vertAlign w:val="subscript"/>
        </w:rPr>
        <w:t>j</w:t>
      </w:r>
      <w:r w:rsidRPr="008573C5">
        <w:rPr>
          <w:bCs/>
        </w:rPr>
        <w:t xml:space="preserve"> + </w:t>
      </w:r>
      <w:r w:rsidRPr="008573C5">
        <w:rPr>
          <w:b/>
          <w:bCs/>
        </w:rPr>
        <w:t>β</w:t>
      </w:r>
      <w:r w:rsidRPr="008573C5">
        <w:rPr>
          <w:bCs/>
          <w:vertAlign w:val="subscript"/>
        </w:rPr>
        <w:t>4</w:t>
      </w:r>
      <w:r w:rsidRPr="008573C5">
        <w:rPr>
          <w:bCs/>
        </w:rPr>
        <w:t>AGE</w:t>
      </w:r>
      <w:r w:rsidRPr="008573C5">
        <w:rPr>
          <w:vertAlign w:val="subscript"/>
        </w:rPr>
        <w:t>j</w:t>
      </w:r>
      <w:r w:rsidRPr="008573C5">
        <w:rPr>
          <w:bCs/>
        </w:rPr>
        <w:t xml:space="preserve"> + </w:t>
      </w:r>
      <w:r w:rsidRPr="008573C5">
        <w:rPr>
          <w:b/>
          <w:bCs/>
        </w:rPr>
        <w:t>β</w:t>
      </w:r>
      <w:r w:rsidRPr="008573C5">
        <w:rPr>
          <w:bCs/>
          <w:vertAlign w:val="subscript"/>
        </w:rPr>
        <w:t>5</w:t>
      </w:r>
      <w:r w:rsidRPr="008573C5">
        <w:rPr>
          <w:bCs/>
        </w:rPr>
        <w:t>SEC</w:t>
      </w:r>
      <w:r w:rsidRPr="008573C5">
        <w:rPr>
          <w:vertAlign w:val="subscript"/>
        </w:rPr>
        <w:t>j</w:t>
      </w:r>
      <w:r w:rsidRPr="008573C5">
        <w:rPr>
          <w:b/>
          <w:bCs/>
        </w:rPr>
        <w:t xml:space="preserve"> + β</w:t>
      </w:r>
      <w:r w:rsidRPr="008573C5">
        <w:rPr>
          <w:bCs/>
          <w:vertAlign w:val="subscript"/>
        </w:rPr>
        <w:t>6</w:t>
      </w:r>
      <w:r w:rsidRPr="008573C5">
        <w:rPr>
          <w:bCs/>
        </w:rPr>
        <w:t xml:space="preserve"> AUD</w:t>
      </w:r>
      <w:r w:rsidRPr="008573C5">
        <w:rPr>
          <w:bCs/>
          <w:vertAlign w:val="subscript"/>
        </w:rPr>
        <w:t>j</w:t>
      </w:r>
      <w:r w:rsidRPr="008573C5">
        <w:rPr>
          <w:bCs/>
        </w:rPr>
        <w:t xml:space="preserve">+ </w:t>
      </w:r>
      <w:r w:rsidRPr="008573C5">
        <w:rPr>
          <w:b/>
          <w:bCs/>
        </w:rPr>
        <w:t>β</w:t>
      </w:r>
      <w:r w:rsidRPr="008573C5">
        <w:rPr>
          <w:bCs/>
          <w:vertAlign w:val="subscript"/>
        </w:rPr>
        <w:t>7</w:t>
      </w:r>
      <w:r w:rsidRPr="008573C5">
        <w:rPr>
          <w:bCs/>
        </w:rPr>
        <w:t>MULT</w:t>
      </w:r>
      <w:r w:rsidRPr="008573C5">
        <w:rPr>
          <w:bCs/>
          <w:vertAlign w:val="subscript"/>
        </w:rPr>
        <w:t>j</w:t>
      </w:r>
      <w:r w:rsidRPr="008573C5">
        <w:rPr>
          <w:bCs/>
        </w:rPr>
        <w:t>+ ε</w:t>
      </w:r>
      <w:r w:rsidRPr="008573C5">
        <w:rPr>
          <w:vertAlign w:val="subscript"/>
        </w:rPr>
        <w:t>j</w:t>
      </w:r>
      <w:r w:rsidR="00B86F16" w:rsidRPr="008573C5">
        <w:rPr>
          <w:vertAlign w:val="subscript"/>
        </w:rPr>
        <w:t xml:space="preserve"> </w:t>
      </w:r>
      <w:r w:rsidR="00B86F16" w:rsidRPr="008573C5">
        <w:t>………………………..(2)</w:t>
      </w:r>
    </w:p>
    <w:p w:rsidR="00983536" w:rsidRPr="008573C5" w:rsidRDefault="00983536" w:rsidP="00983536">
      <w:pPr>
        <w:autoSpaceDE w:val="0"/>
        <w:autoSpaceDN w:val="0"/>
        <w:adjustRightInd w:val="0"/>
        <w:spacing w:line="360" w:lineRule="auto"/>
        <w:jc w:val="both"/>
        <w:rPr>
          <w:b/>
          <w:bCs/>
        </w:rPr>
      </w:pPr>
      <w:r w:rsidRPr="008573C5">
        <w:rPr>
          <w:b/>
        </w:rPr>
        <w:t>Equation A</w:t>
      </w:r>
      <w:r w:rsidRPr="008573C5">
        <w:rPr>
          <w:b/>
          <w:vertAlign w:val="subscript"/>
        </w:rPr>
        <w:t>3</w:t>
      </w:r>
      <w:r w:rsidRPr="008573C5">
        <w:t xml:space="preserve"> = DIFRS</w:t>
      </w:r>
      <w:r w:rsidRPr="008573C5">
        <w:rPr>
          <w:vertAlign w:val="subscript"/>
        </w:rPr>
        <w:t>j</w:t>
      </w:r>
      <w:r w:rsidRPr="008573C5">
        <w:t xml:space="preserve"> = </w:t>
      </w:r>
      <w:r w:rsidRPr="008573C5">
        <w:rPr>
          <w:b/>
          <w:bCs/>
        </w:rPr>
        <w:t xml:space="preserve"> β</w:t>
      </w:r>
      <w:r w:rsidRPr="008573C5">
        <w:rPr>
          <w:bCs/>
          <w:vertAlign w:val="subscript"/>
        </w:rPr>
        <w:t xml:space="preserve">0 </w:t>
      </w:r>
      <w:r w:rsidRPr="008573C5">
        <w:rPr>
          <w:bCs/>
        </w:rPr>
        <w:t xml:space="preserve">+ </w:t>
      </w:r>
      <w:r w:rsidRPr="008573C5">
        <w:rPr>
          <w:b/>
          <w:bCs/>
        </w:rPr>
        <w:t>β</w:t>
      </w:r>
      <w:r w:rsidRPr="008573C5">
        <w:rPr>
          <w:bCs/>
          <w:vertAlign w:val="subscript"/>
        </w:rPr>
        <w:t>1</w:t>
      </w:r>
      <w:r w:rsidRPr="008573C5">
        <w:rPr>
          <w:bCs/>
        </w:rPr>
        <w:t>SIZE(Fac)</w:t>
      </w:r>
      <w:r w:rsidRPr="008573C5">
        <w:rPr>
          <w:vertAlign w:val="subscript"/>
        </w:rPr>
        <w:t>j</w:t>
      </w:r>
      <w:r w:rsidRPr="008573C5">
        <w:rPr>
          <w:bCs/>
        </w:rPr>
        <w:t xml:space="preserve"> + </w:t>
      </w:r>
      <w:r w:rsidRPr="008573C5">
        <w:rPr>
          <w:b/>
          <w:bCs/>
        </w:rPr>
        <w:t>β</w:t>
      </w:r>
      <w:r w:rsidRPr="008573C5">
        <w:rPr>
          <w:bCs/>
          <w:vertAlign w:val="subscript"/>
        </w:rPr>
        <w:t>2</w:t>
      </w:r>
      <w:r w:rsidRPr="008573C5">
        <w:rPr>
          <w:bCs/>
        </w:rPr>
        <w:t>PRO</w:t>
      </w:r>
      <w:r w:rsidRPr="008573C5">
        <w:rPr>
          <w:vertAlign w:val="subscript"/>
        </w:rPr>
        <w:t>j</w:t>
      </w:r>
      <w:r w:rsidRPr="008573C5">
        <w:rPr>
          <w:bCs/>
        </w:rPr>
        <w:t xml:space="preserve"> + </w:t>
      </w:r>
      <w:r w:rsidRPr="008573C5">
        <w:rPr>
          <w:b/>
          <w:bCs/>
        </w:rPr>
        <w:t>β</w:t>
      </w:r>
      <w:r w:rsidRPr="008573C5">
        <w:rPr>
          <w:bCs/>
          <w:vertAlign w:val="subscript"/>
        </w:rPr>
        <w:t>3</w:t>
      </w:r>
      <w:r w:rsidRPr="008573C5">
        <w:rPr>
          <w:bCs/>
        </w:rPr>
        <w:t>LEV</w:t>
      </w:r>
      <w:r w:rsidRPr="008573C5">
        <w:rPr>
          <w:vertAlign w:val="subscript"/>
        </w:rPr>
        <w:t>j</w:t>
      </w:r>
      <w:r w:rsidRPr="008573C5">
        <w:rPr>
          <w:bCs/>
        </w:rPr>
        <w:t xml:space="preserve"> + </w:t>
      </w:r>
      <w:r w:rsidRPr="008573C5">
        <w:rPr>
          <w:b/>
          <w:bCs/>
        </w:rPr>
        <w:t>β</w:t>
      </w:r>
      <w:r w:rsidRPr="008573C5">
        <w:rPr>
          <w:bCs/>
          <w:vertAlign w:val="subscript"/>
        </w:rPr>
        <w:t>4</w:t>
      </w:r>
      <w:r w:rsidRPr="008573C5">
        <w:rPr>
          <w:bCs/>
        </w:rPr>
        <w:t>AGE</w:t>
      </w:r>
      <w:r w:rsidRPr="008573C5">
        <w:rPr>
          <w:vertAlign w:val="subscript"/>
        </w:rPr>
        <w:t>j</w:t>
      </w:r>
      <w:r w:rsidRPr="008573C5">
        <w:rPr>
          <w:bCs/>
        </w:rPr>
        <w:t xml:space="preserve"> + </w:t>
      </w:r>
      <w:r w:rsidRPr="008573C5">
        <w:rPr>
          <w:b/>
          <w:bCs/>
        </w:rPr>
        <w:t>β</w:t>
      </w:r>
      <w:r w:rsidRPr="008573C5">
        <w:rPr>
          <w:bCs/>
          <w:vertAlign w:val="subscript"/>
        </w:rPr>
        <w:t>5</w:t>
      </w:r>
      <w:r w:rsidRPr="008573C5">
        <w:rPr>
          <w:bCs/>
        </w:rPr>
        <w:t>SEC</w:t>
      </w:r>
      <w:r w:rsidRPr="008573C5">
        <w:rPr>
          <w:vertAlign w:val="subscript"/>
        </w:rPr>
        <w:t>j</w:t>
      </w:r>
      <w:r w:rsidRPr="008573C5">
        <w:rPr>
          <w:b/>
          <w:bCs/>
        </w:rPr>
        <w:t xml:space="preserve"> + β</w:t>
      </w:r>
      <w:r w:rsidRPr="008573C5">
        <w:rPr>
          <w:bCs/>
          <w:vertAlign w:val="subscript"/>
        </w:rPr>
        <w:t>6</w:t>
      </w:r>
      <w:r w:rsidRPr="008573C5">
        <w:rPr>
          <w:bCs/>
        </w:rPr>
        <w:t xml:space="preserve"> AUD</w:t>
      </w:r>
      <w:r w:rsidRPr="008573C5">
        <w:rPr>
          <w:bCs/>
          <w:vertAlign w:val="subscript"/>
        </w:rPr>
        <w:t>j</w:t>
      </w:r>
      <w:r w:rsidRPr="008573C5">
        <w:rPr>
          <w:bCs/>
        </w:rPr>
        <w:t xml:space="preserve">+ </w:t>
      </w:r>
      <w:r w:rsidRPr="008573C5">
        <w:rPr>
          <w:b/>
          <w:bCs/>
        </w:rPr>
        <w:t>β</w:t>
      </w:r>
      <w:r w:rsidRPr="008573C5">
        <w:rPr>
          <w:bCs/>
          <w:vertAlign w:val="subscript"/>
        </w:rPr>
        <w:t>7</w:t>
      </w:r>
      <w:r w:rsidRPr="008573C5">
        <w:rPr>
          <w:bCs/>
        </w:rPr>
        <w:t>MULT</w:t>
      </w:r>
      <w:r w:rsidRPr="008573C5">
        <w:rPr>
          <w:bCs/>
          <w:vertAlign w:val="subscript"/>
        </w:rPr>
        <w:t>j</w:t>
      </w:r>
      <w:r w:rsidRPr="008573C5">
        <w:rPr>
          <w:bCs/>
        </w:rPr>
        <w:t>+ ε</w:t>
      </w:r>
      <w:r w:rsidRPr="008573C5">
        <w:rPr>
          <w:vertAlign w:val="subscript"/>
        </w:rPr>
        <w:t>j</w:t>
      </w:r>
      <w:r w:rsidR="00B86F16" w:rsidRPr="008573C5">
        <w:t>…………………………(3)</w:t>
      </w:r>
    </w:p>
    <w:p w:rsidR="00983536" w:rsidRPr="008573C5" w:rsidRDefault="00983536" w:rsidP="00983536">
      <w:pPr>
        <w:autoSpaceDE w:val="0"/>
        <w:autoSpaceDN w:val="0"/>
        <w:adjustRightInd w:val="0"/>
        <w:spacing w:line="360" w:lineRule="auto"/>
        <w:jc w:val="both"/>
        <w:rPr>
          <w:b/>
          <w:bCs/>
        </w:rPr>
      </w:pPr>
      <w:r w:rsidRPr="008573C5">
        <w:rPr>
          <w:b/>
        </w:rPr>
        <w:t>Equation A</w:t>
      </w:r>
      <w:r w:rsidRPr="008573C5">
        <w:rPr>
          <w:b/>
          <w:vertAlign w:val="subscript"/>
        </w:rPr>
        <w:t>4</w:t>
      </w:r>
      <w:r w:rsidRPr="008573C5">
        <w:t xml:space="preserve"> = DIVOL</w:t>
      </w:r>
      <w:r w:rsidRPr="008573C5">
        <w:rPr>
          <w:vertAlign w:val="subscript"/>
        </w:rPr>
        <w:t>j</w:t>
      </w:r>
      <w:r w:rsidRPr="008573C5">
        <w:t xml:space="preserve"> = </w:t>
      </w:r>
      <w:r w:rsidRPr="008573C5">
        <w:rPr>
          <w:b/>
          <w:bCs/>
        </w:rPr>
        <w:t xml:space="preserve"> β</w:t>
      </w:r>
      <w:r w:rsidRPr="008573C5">
        <w:rPr>
          <w:bCs/>
          <w:vertAlign w:val="subscript"/>
        </w:rPr>
        <w:t xml:space="preserve">0 </w:t>
      </w:r>
      <w:r w:rsidRPr="008573C5">
        <w:rPr>
          <w:bCs/>
        </w:rPr>
        <w:t xml:space="preserve">+ </w:t>
      </w:r>
      <w:r w:rsidRPr="008573C5">
        <w:rPr>
          <w:b/>
          <w:bCs/>
        </w:rPr>
        <w:t>β</w:t>
      </w:r>
      <w:r w:rsidRPr="008573C5">
        <w:rPr>
          <w:bCs/>
          <w:vertAlign w:val="subscript"/>
        </w:rPr>
        <w:t>1</w:t>
      </w:r>
      <w:r w:rsidRPr="008573C5">
        <w:rPr>
          <w:bCs/>
        </w:rPr>
        <w:t>SIZE(Fac)</w:t>
      </w:r>
      <w:r w:rsidRPr="008573C5">
        <w:rPr>
          <w:vertAlign w:val="subscript"/>
        </w:rPr>
        <w:t>j</w:t>
      </w:r>
      <w:r w:rsidRPr="008573C5">
        <w:rPr>
          <w:bCs/>
        </w:rPr>
        <w:t xml:space="preserve"> + </w:t>
      </w:r>
      <w:r w:rsidRPr="008573C5">
        <w:rPr>
          <w:b/>
          <w:bCs/>
        </w:rPr>
        <w:t>β</w:t>
      </w:r>
      <w:r w:rsidRPr="008573C5">
        <w:rPr>
          <w:bCs/>
          <w:vertAlign w:val="subscript"/>
        </w:rPr>
        <w:t>2</w:t>
      </w:r>
      <w:r w:rsidRPr="008573C5">
        <w:rPr>
          <w:bCs/>
        </w:rPr>
        <w:t>PRO</w:t>
      </w:r>
      <w:r w:rsidRPr="008573C5">
        <w:rPr>
          <w:vertAlign w:val="subscript"/>
        </w:rPr>
        <w:t>j</w:t>
      </w:r>
      <w:r w:rsidRPr="008573C5">
        <w:rPr>
          <w:bCs/>
        </w:rPr>
        <w:t xml:space="preserve"> + </w:t>
      </w:r>
      <w:r w:rsidRPr="008573C5">
        <w:rPr>
          <w:b/>
          <w:bCs/>
        </w:rPr>
        <w:t>β</w:t>
      </w:r>
      <w:r w:rsidRPr="008573C5">
        <w:rPr>
          <w:bCs/>
          <w:vertAlign w:val="subscript"/>
        </w:rPr>
        <w:t>3</w:t>
      </w:r>
      <w:r w:rsidRPr="008573C5">
        <w:rPr>
          <w:bCs/>
        </w:rPr>
        <w:t>LEV</w:t>
      </w:r>
      <w:r w:rsidRPr="008573C5">
        <w:rPr>
          <w:vertAlign w:val="subscript"/>
        </w:rPr>
        <w:t>j</w:t>
      </w:r>
      <w:r w:rsidRPr="008573C5">
        <w:rPr>
          <w:bCs/>
        </w:rPr>
        <w:t xml:space="preserve"> + </w:t>
      </w:r>
      <w:r w:rsidRPr="008573C5">
        <w:rPr>
          <w:b/>
          <w:bCs/>
        </w:rPr>
        <w:t>β</w:t>
      </w:r>
      <w:r w:rsidRPr="008573C5">
        <w:rPr>
          <w:bCs/>
          <w:vertAlign w:val="subscript"/>
        </w:rPr>
        <w:t>4</w:t>
      </w:r>
      <w:r w:rsidRPr="008573C5">
        <w:rPr>
          <w:bCs/>
        </w:rPr>
        <w:t>AGE</w:t>
      </w:r>
      <w:r w:rsidRPr="008573C5">
        <w:rPr>
          <w:vertAlign w:val="subscript"/>
        </w:rPr>
        <w:t>j</w:t>
      </w:r>
      <w:r w:rsidRPr="008573C5">
        <w:rPr>
          <w:bCs/>
        </w:rPr>
        <w:t xml:space="preserve"> + </w:t>
      </w:r>
      <w:r w:rsidRPr="008573C5">
        <w:rPr>
          <w:b/>
          <w:bCs/>
        </w:rPr>
        <w:t>β</w:t>
      </w:r>
      <w:r w:rsidRPr="008573C5">
        <w:rPr>
          <w:bCs/>
          <w:vertAlign w:val="subscript"/>
        </w:rPr>
        <w:t>5</w:t>
      </w:r>
      <w:r w:rsidRPr="008573C5">
        <w:rPr>
          <w:bCs/>
        </w:rPr>
        <w:t>SEC</w:t>
      </w:r>
      <w:r w:rsidRPr="008573C5">
        <w:rPr>
          <w:vertAlign w:val="subscript"/>
        </w:rPr>
        <w:t>j</w:t>
      </w:r>
      <w:r w:rsidRPr="008573C5">
        <w:rPr>
          <w:b/>
          <w:bCs/>
        </w:rPr>
        <w:t xml:space="preserve"> + β</w:t>
      </w:r>
      <w:r w:rsidRPr="008573C5">
        <w:rPr>
          <w:bCs/>
          <w:vertAlign w:val="subscript"/>
        </w:rPr>
        <w:t>6</w:t>
      </w:r>
      <w:r w:rsidRPr="008573C5">
        <w:rPr>
          <w:bCs/>
        </w:rPr>
        <w:t xml:space="preserve"> AUD</w:t>
      </w:r>
      <w:r w:rsidRPr="008573C5">
        <w:rPr>
          <w:bCs/>
          <w:vertAlign w:val="subscript"/>
        </w:rPr>
        <w:t>j</w:t>
      </w:r>
      <w:r w:rsidRPr="008573C5">
        <w:rPr>
          <w:bCs/>
        </w:rPr>
        <w:t xml:space="preserve">+ </w:t>
      </w:r>
      <w:r w:rsidRPr="008573C5">
        <w:rPr>
          <w:b/>
          <w:bCs/>
        </w:rPr>
        <w:t>β</w:t>
      </w:r>
      <w:r w:rsidRPr="008573C5">
        <w:rPr>
          <w:bCs/>
          <w:vertAlign w:val="subscript"/>
        </w:rPr>
        <w:t>7</w:t>
      </w:r>
      <w:r w:rsidRPr="008573C5">
        <w:rPr>
          <w:bCs/>
        </w:rPr>
        <w:t>MULT</w:t>
      </w:r>
      <w:r w:rsidRPr="008573C5">
        <w:rPr>
          <w:bCs/>
          <w:vertAlign w:val="subscript"/>
        </w:rPr>
        <w:t>j</w:t>
      </w:r>
      <w:r w:rsidRPr="008573C5">
        <w:rPr>
          <w:bCs/>
        </w:rPr>
        <w:t>+ ε</w:t>
      </w:r>
      <w:r w:rsidRPr="008573C5">
        <w:rPr>
          <w:vertAlign w:val="subscript"/>
        </w:rPr>
        <w:t>j</w:t>
      </w:r>
      <w:r w:rsidR="00B86F16" w:rsidRPr="008573C5">
        <w:rPr>
          <w:vertAlign w:val="subscript"/>
        </w:rPr>
        <w:t xml:space="preserve"> </w:t>
      </w:r>
      <w:r w:rsidR="00B86F16" w:rsidRPr="008573C5">
        <w:t>.......................................(4)</w:t>
      </w:r>
    </w:p>
    <w:p w:rsidR="00983536" w:rsidRPr="008573C5" w:rsidRDefault="00983536" w:rsidP="00983536">
      <w:pPr>
        <w:autoSpaceDE w:val="0"/>
        <w:autoSpaceDN w:val="0"/>
        <w:adjustRightInd w:val="0"/>
        <w:spacing w:line="360" w:lineRule="auto"/>
        <w:jc w:val="both"/>
      </w:pPr>
    </w:p>
    <w:p w:rsidR="00983536" w:rsidRPr="008573C5" w:rsidRDefault="00983536" w:rsidP="00983536">
      <w:pPr>
        <w:autoSpaceDE w:val="0"/>
        <w:autoSpaceDN w:val="0"/>
        <w:adjustRightInd w:val="0"/>
        <w:spacing w:line="360" w:lineRule="auto"/>
        <w:rPr>
          <w:rFonts w:eastAsia="Calibri"/>
          <w:b/>
        </w:rPr>
      </w:pPr>
      <w:r w:rsidRPr="008573C5">
        <w:rPr>
          <w:rFonts w:eastAsia="Calibri"/>
          <w:b/>
        </w:rPr>
        <w:t>Model 2</w:t>
      </w:r>
    </w:p>
    <w:p w:rsidR="00983536" w:rsidRPr="008573C5" w:rsidRDefault="008B7F0C" w:rsidP="00983536">
      <w:pPr>
        <w:autoSpaceDE w:val="0"/>
        <w:autoSpaceDN w:val="0"/>
        <w:adjustRightInd w:val="0"/>
        <w:spacing w:line="360" w:lineRule="auto"/>
        <w:jc w:val="both"/>
      </w:pPr>
      <w:r>
        <w:t>T</w:t>
      </w:r>
      <w:r w:rsidR="00C74BC3" w:rsidRPr="008573C5">
        <w:t>he original four multivariate equations (Model 1) using ranked OLS a</w:t>
      </w:r>
      <w:r w:rsidR="00A96B32" w:rsidRPr="008573C5">
        <w:t>nd a</w:t>
      </w:r>
      <w:r w:rsidR="00C74BC3" w:rsidRPr="008573C5">
        <w:t xml:space="preserve"> </w:t>
      </w:r>
      <w:r w:rsidR="00A96B32" w:rsidRPr="008573C5">
        <w:t>composite</w:t>
      </w:r>
      <w:r w:rsidR="00C74BC3" w:rsidRPr="008573C5">
        <w:t xml:space="preserve"> </w:t>
      </w:r>
      <w:r w:rsidR="00A96B32" w:rsidRPr="008573C5">
        <w:t xml:space="preserve">size </w:t>
      </w:r>
      <w:r w:rsidR="00C74BC3" w:rsidRPr="008573C5">
        <w:t xml:space="preserve">variable </w:t>
      </w:r>
      <w:r w:rsidR="00A96B32" w:rsidRPr="008573C5">
        <w:t>as proxy for</w:t>
      </w:r>
      <w:r w:rsidR="00C74BC3" w:rsidRPr="008573C5">
        <w:t xml:space="preserve"> company size</w:t>
      </w:r>
      <w:r>
        <w:t xml:space="preserve"> is repeated</w:t>
      </w:r>
      <w:r w:rsidR="00C74BC3" w:rsidRPr="008573C5">
        <w:t xml:space="preserve">. </w:t>
      </w:r>
      <w:r w:rsidR="00983536" w:rsidRPr="008573C5">
        <w:t xml:space="preserve">The full specification of the second four regression equations using ranked OLS </w:t>
      </w:r>
      <w:r w:rsidR="00B8368C" w:rsidRPr="008573C5">
        <w:t>are</w:t>
      </w:r>
      <w:r w:rsidR="00983536" w:rsidRPr="008573C5">
        <w:t xml:space="preserve"> assumed to be as follows:</w:t>
      </w:r>
    </w:p>
    <w:p w:rsidR="00014B8D" w:rsidRPr="008573C5" w:rsidRDefault="00014B8D" w:rsidP="00983536">
      <w:pPr>
        <w:autoSpaceDE w:val="0"/>
        <w:autoSpaceDN w:val="0"/>
        <w:adjustRightInd w:val="0"/>
        <w:spacing w:line="360" w:lineRule="auto"/>
        <w:jc w:val="both"/>
      </w:pPr>
    </w:p>
    <w:p w:rsidR="00983536" w:rsidRPr="008573C5" w:rsidRDefault="00983536" w:rsidP="00983536">
      <w:pPr>
        <w:autoSpaceDE w:val="0"/>
        <w:autoSpaceDN w:val="0"/>
        <w:adjustRightInd w:val="0"/>
        <w:spacing w:line="360" w:lineRule="auto"/>
        <w:jc w:val="both"/>
        <w:rPr>
          <w:b/>
          <w:bCs/>
        </w:rPr>
      </w:pPr>
      <w:r w:rsidRPr="008573C5">
        <w:rPr>
          <w:b/>
        </w:rPr>
        <w:t>Equation A</w:t>
      </w:r>
      <w:r w:rsidRPr="008573C5">
        <w:rPr>
          <w:b/>
          <w:vertAlign w:val="subscript"/>
        </w:rPr>
        <w:t>5</w:t>
      </w:r>
      <w:r w:rsidRPr="008573C5">
        <w:t>: RODI</w:t>
      </w:r>
      <w:r w:rsidRPr="008573C5">
        <w:rPr>
          <w:vertAlign w:val="subscript"/>
        </w:rPr>
        <w:t>j</w:t>
      </w:r>
      <w:r w:rsidRPr="008573C5">
        <w:t xml:space="preserve"> = </w:t>
      </w:r>
      <w:r w:rsidRPr="008573C5">
        <w:rPr>
          <w:b/>
          <w:bCs/>
        </w:rPr>
        <w:t>β</w:t>
      </w:r>
      <w:r w:rsidRPr="008573C5">
        <w:rPr>
          <w:bCs/>
          <w:vertAlign w:val="subscript"/>
        </w:rPr>
        <w:t xml:space="preserve">0 </w:t>
      </w:r>
      <w:r w:rsidRPr="008573C5">
        <w:rPr>
          <w:bCs/>
        </w:rPr>
        <w:t xml:space="preserve">+ </w:t>
      </w:r>
      <w:r w:rsidRPr="008573C5">
        <w:rPr>
          <w:b/>
          <w:bCs/>
        </w:rPr>
        <w:t>β</w:t>
      </w:r>
      <w:r w:rsidRPr="008573C5">
        <w:rPr>
          <w:bCs/>
          <w:vertAlign w:val="subscript"/>
        </w:rPr>
        <w:t>1</w:t>
      </w:r>
      <w:r w:rsidRPr="008573C5">
        <w:rPr>
          <w:bCs/>
        </w:rPr>
        <w:t>RSIZE(Fac)</w:t>
      </w:r>
      <w:r w:rsidRPr="008573C5">
        <w:rPr>
          <w:vertAlign w:val="subscript"/>
        </w:rPr>
        <w:t>j</w:t>
      </w:r>
      <w:r w:rsidRPr="008573C5">
        <w:rPr>
          <w:bCs/>
        </w:rPr>
        <w:t xml:space="preserve"> + </w:t>
      </w:r>
      <w:r w:rsidRPr="008573C5">
        <w:rPr>
          <w:b/>
          <w:bCs/>
        </w:rPr>
        <w:t>β</w:t>
      </w:r>
      <w:r w:rsidRPr="008573C5">
        <w:rPr>
          <w:bCs/>
          <w:vertAlign w:val="subscript"/>
        </w:rPr>
        <w:t>2</w:t>
      </w:r>
      <w:r w:rsidRPr="008573C5">
        <w:rPr>
          <w:bCs/>
        </w:rPr>
        <w:t>RPRO</w:t>
      </w:r>
      <w:r w:rsidRPr="008573C5">
        <w:rPr>
          <w:vertAlign w:val="subscript"/>
        </w:rPr>
        <w:t>j</w:t>
      </w:r>
      <w:r w:rsidRPr="008573C5">
        <w:rPr>
          <w:bCs/>
        </w:rPr>
        <w:t xml:space="preserve"> + </w:t>
      </w:r>
      <w:r w:rsidRPr="008573C5">
        <w:rPr>
          <w:b/>
          <w:bCs/>
        </w:rPr>
        <w:t>β</w:t>
      </w:r>
      <w:r w:rsidRPr="008573C5">
        <w:rPr>
          <w:bCs/>
          <w:vertAlign w:val="subscript"/>
        </w:rPr>
        <w:t>3</w:t>
      </w:r>
      <w:r w:rsidRPr="008573C5">
        <w:rPr>
          <w:bCs/>
        </w:rPr>
        <w:t>RLEV</w:t>
      </w:r>
      <w:r w:rsidRPr="008573C5">
        <w:rPr>
          <w:vertAlign w:val="subscript"/>
        </w:rPr>
        <w:t>j</w:t>
      </w:r>
      <w:r w:rsidRPr="008573C5">
        <w:rPr>
          <w:bCs/>
        </w:rPr>
        <w:t xml:space="preserve"> + </w:t>
      </w:r>
      <w:r w:rsidRPr="008573C5">
        <w:rPr>
          <w:b/>
          <w:bCs/>
        </w:rPr>
        <w:t>β</w:t>
      </w:r>
      <w:r w:rsidRPr="008573C5">
        <w:rPr>
          <w:bCs/>
          <w:vertAlign w:val="subscript"/>
        </w:rPr>
        <w:t>4</w:t>
      </w:r>
      <w:r w:rsidRPr="008573C5">
        <w:rPr>
          <w:bCs/>
        </w:rPr>
        <w:t>RAGE</w:t>
      </w:r>
      <w:r w:rsidRPr="008573C5">
        <w:t>j</w:t>
      </w:r>
      <w:r w:rsidRPr="008573C5">
        <w:rPr>
          <w:bCs/>
        </w:rPr>
        <w:t xml:space="preserve"> + </w:t>
      </w:r>
      <w:r w:rsidRPr="008573C5">
        <w:rPr>
          <w:b/>
          <w:bCs/>
        </w:rPr>
        <w:t>β</w:t>
      </w:r>
      <w:r w:rsidRPr="008573C5">
        <w:rPr>
          <w:bCs/>
          <w:vertAlign w:val="subscript"/>
        </w:rPr>
        <w:t>5</w:t>
      </w:r>
      <w:r w:rsidRPr="008573C5">
        <w:rPr>
          <w:bCs/>
        </w:rPr>
        <w:t>SEC</w:t>
      </w:r>
      <w:r w:rsidRPr="008573C5">
        <w:rPr>
          <w:vertAlign w:val="subscript"/>
        </w:rPr>
        <w:t>j</w:t>
      </w:r>
      <w:r w:rsidRPr="008573C5">
        <w:rPr>
          <w:b/>
          <w:bCs/>
        </w:rPr>
        <w:t xml:space="preserve"> + β</w:t>
      </w:r>
      <w:r w:rsidRPr="008573C5">
        <w:rPr>
          <w:bCs/>
          <w:vertAlign w:val="subscript"/>
        </w:rPr>
        <w:t>6</w:t>
      </w:r>
      <w:r w:rsidRPr="008573C5">
        <w:rPr>
          <w:bCs/>
        </w:rPr>
        <w:t xml:space="preserve"> AUD</w:t>
      </w:r>
      <w:r w:rsidRPr="008573C5">
        <w:rPr>
          <w:bCs/>
          <w:vertAlign w:val="subscript"/>
        </w:rPr>
        <w:t>j</w:t>
      </w:r>
      <w:r w:rsidRPr="008573C5">
        <w:rPr>
          <w:bCs/>
        </w:rPr>
        <w:t xml:space="preserve">+ </w:t>
      </w:r>
      <w:r w:rsidRPr="008573C5">
        <w:rPr>
          <w:b/>
          <w:bCs/>
        </w:rPr>
        <w:t>β</w:t>
      </w:r>
      <w:r w:rsidRPr="008573C5">
        <w:rPr>
          <w:bCs/>
          <w:vertAlign w:val="subscript"/>
        </w:rPr>
        <w:t>7</w:t>
      </w:r>
      <w:r w:rsidRPr="008573C5">
        <w:rPr>
          <w:bCs/>
        </w:rPr>
        <w:t>RMULT</w:t>
      </w:r>
      <w:r w:rsidRPr="008573C5">
        <w:rPr>
          <w:bCs/>
          <w:vertAlign w:val="subscript"/>
        </w:rPr>
        <w:t>j</w:t>
      </w:r>
      <w:r w:rsidRPr="008573C5">
        <w:rPr>
          <w:bCs/>
        </w:rPr>
        <w:t>+ ε</w:t>
      </w:r>
      <w:r w:rsidRPr="008573C5">
        <w:rPr>
          <w:vertAlign w:val="subscript"/>
        </w:rPr>
        <w:t>j</w:t>
      </w:r>
      <w:r w:rsidR="00B86F16" w:rsidRPr="008573C5">
        <w:t>………………… (5)</w:t>
      </w:r>
    </w:p>
    <w:p w:rsidR="00983536" w:rsidRPr="008573C5" w:rsidRDefault="00983536" w:rsidP="00983536">
      <w:pPr>
        <w:autoSpaceDE w:val="0"/>
        <w:autoSpaceDN w:val="0"/>
        <w:adjustRightInd w:val="0"/>
        <w:spacing w:line="360" w:lineRule="auto"/>
        <w:jc w:val="both"/>
        <w:rPr>
          <w:b/>
          <w:bCs/>
        </w:rPr>
      </w:pPr>
      <w:r w:rsidRPr="008573C5">
        <w:rPr>
          <w:b/>
        </w:rPr>
        <w:t>Equation A</w:t>
      </w:r>
      <w:r w:rsidRPr="008573C5">
        <w:rPr>
          <w:b/>
          <w:vertAlign w:val="subscript"/>
        </w:rPr>
        <w:t>6</w:t>
      </w:r>
      <w:r w:rsidRPr="008573C5">
        <w:rPr>
          <w:vertAlign w:val="subscript"/>
        </w:rPr>
        <w:t xml:space="preserve"> </w:t>
      </w:r>
      <w:r w:rsidRPr="008573C5">
        <w:t>: RDISAS</w:t>
      </w:r>
      <w:r w:rsidRPr="008573C5">
        <w:rPr>
          <w:vertAlign w:val="subscript"/>
        </w:rPr>
        <w:t>j</w:t>
      </w:r>
      <w:r w:rsidRPr="008573C5">
        <w:t xml:space="preserve"> = </w:t>
      </w:r>
      <w:r w:rsidRPr="008573C5">
        <w:rPr>
          <w:b/>
          <w:bCs/>
        </w:rPr>
        <w:t xml:space="preserve"> β</w:t>
      </w:r>
      <w:r w:rsidRPr="008573C5">
        <w:rPr>
          <w:bCs/>
          <w:vertAlign w:val="subscript"/>
        </w:rPr>
        <w:t xml:space="preserve">0 </w:t>
      </w:r>
      <w:r w:rsidRPr="008573C5">
        <w:rPr>
          <w:bCs/>
        </w:rPr>
        <w:t xml:space="preserve">+ </w:t>
      </w:r>
      <w:r w:rsidRPr="008573C5">
        <w:rPr>
          <w:b/>
          <w:bCs/>
        </w:rPr>
        <w:t>β</w:t>
      </w:r>
      <w:r w:rsidRPr="008573C5">
        <w:rPr>
          <w:bCs/>
          <w:vertAlign w:val="subscript"/>
        </w:rPr>
        <w:t>1</w:t>
      </w:r>
      <w:r w:rsidRPr="008573C5">
        <w:rPr>
          <w:bCs/>
        </w:rPr>
        <w:t>RSIZE(Fac)</w:t>
      </w:r>
      <w:r w:rsidRPr="008573C5">
        <w:rPr>
          <w:vertAlign w:val="subscript"/>
        </w:rPr>
        <w:t>j</w:t>
      </w:r>
      <w:r w:rsidRPr="008573C5">
        <w:rPr>
          <w:bCs/>
        </w:rPr>
        <w:t xml:space="preserve"> + </w:t>
      </w:r>
      <w:r w:rsidRPr="008573C5">
        <w:rPr>
          <w:b/>
          <w:bCs/>
        </w:rPr>
        <w:t>β</w:t>
      </w:r>
      <w:r w:rsidRPr="008573C5">
        <w:rPr>
          <w:bCs/>
          <w:vertAlign w:val="subscript"/>
        </w:rPr>
        <w:t>2</w:t>
      </w:r>
      <w:r w:rsidRPr="008573C5">
        <w:rPr>
          <w:bCs/>
        </w:rPr>
        <w:t>RPRO</w:t>
      </w:r>
      <w:r w:rsidRPr="008573C5">
        <w:rPr>
          <w:vertAlign w:val="subscript"/>
        </w:rPr>
        <w:t>j</w:t>
      </w:r>
      <w:r w:rsidRPr="008573C5">
        <w:rPr>
          <w:bCs/>
        </w:rPr>
        <w:t xml:space="preserve"> + </w:t>
      </w:r>
      <w:r w:rsidRPr="008573C5">
        <w:rPr>
          <w:b/>
          <w:bCs/>
        </w:rPr>
        <w:t>β</w:t>
      </w:r>
      <w:r w:rsidRPr="008573C5">
        <w:rPr>
          <w:bCs/>
          <w:vertAlign w:val="subscript"/>
        </w:rPr>
        <w:t>3</w:t>
      </w:r>
      <w:r w:rsidRPr="008573C5">
        <w:rPr>
          <w:bCs/>
        </w:rPr>
        <w:t>RLEV</w:t>
      </w:r>
      <w:r w:rsidRPr="008573C5">
        <w:rPr>
          <w:vertAlign w:val="subscript"/>
        </w:rPr>
        <w:t>j</w:t>
      </w:r>
      <w:r w:rsidRPr="008573C5">
        <w:rPr>
          <w:bCs/>
        </w:rPr>
        <w:t xml:space="preserve"> + </w:t>
      </w:r>
      <w:r w:rsidRPr="008573C5">
        <w:rPr>
          <w:b/>
          <w:bCs/>
        </w:rPr>
        <w:t>β</w:t>
      </w:r>
      <w:r w:rsidRPr="008573C5">
        <w:rPr>
          <w:bCs/>
          <w:vertAlign w:val="subscript"/>
        </w:rPr>
        <w:t>4</w:t>
      </w:r>
      <w:r w:rsidRPr="008573C5">
        <w:rPr>
          <w:bCs/>
        </w:rPr>
        <w:t>RAGE</w:t>
      </w:r>
      <w:r w:rsidRPr="008573C5">
        <w:t>j</w:t>
      </w:r>
      <w:r w:rsidRPr="008573C5">
        <w:rPr>
          <w:bCs/>
        </w:rPr>
        <w:t xml:space="preserve"> + </w:t>
      </w:r>
      <w:r w:rsidRPr="008573C5">
        <w:rPr>
          <w:b/>
          <w:bCs/>
        </w:rPr>
        <w:t>β</w:t>
      </w:r>
      <w:r w:rsidRPr="008573C5">
        <w:rPr>
          <w:bCs/>
          <w:vertAlign w:val="subscript"/>
        </w:rPr>
        <w:t>5</w:t>
      </w:r>
      <w:r w:rsidRPr="008573C5">
        <w:rPr>
          <w:bCs/>
        </w:rPr>
        <w:t>SEC</w:t>
      </w:r>
      <w:r w:rsidRPr="008573C5">
        <w:rPr>
          <w:vertAlign w:val="subscript"/>
        </w:rPr>
        <w:t>j</w:t>
      </w:r>
      <w:r w:rsidRPr="008573C5">
        <w:rPr>
          <w:b/>
          <w:bCs/>
        </w:rPr>
        <w:t xml:space="preserve"> + β</w:t>
      </w:r>
      <w:r w:rsidRPr="008573C5">
        <w:rPr>
          <w:bCs/>
          <w:vertAlign w:val="subscript"/>
        </w:rPr>
        <w:t>6</w:t>
      </w:r>
      <w:r w:rsidRPr="008573C5">
        <w:rPr>
          <w:bCs/>
        </w:rPr>
        <w:t>AUD</w:t>
      </w:r>
      <w:r w:rsidRPr="008573C5">
        <w:rPr>
          <w:bCs/>
          <w:vertAlign w:val="subscript"/>
        </w:rPr>
        <w:t>j</w:t>
      </w:r>
      <w:r w:rsidRPr="008573C5">
        <w:rPr>
          <w:bCs/>
        </w:rPr>
        <w:t xml:space="preserve">+ </w:t>
      </w:r>
      <w:r w:rsidRPr="008573C5">
        <w:rPr>
          <w:b/>
          <w:bCs/>
        </w:rPr>
        <w:t>β</w:t>
      </w:r>
      <w:r w:rsidRPr="008573C5">
        <w:rPr>
          <w:bCs/>
          <w:vertAlign w:val="subscript"/>
        </w:rPr>
        <w:t>7</w:t>
      </w:r>
      <w:r w:rsidRPr="008573C5">
        <w:rPr>
          <w:bCs/>
        </w:rPr>
        <w:t>RMULT</w:t>
      </w:r>
      <w:r w:rsidRPr="008573C5">
        <w:rPr>
          <w:bCs/>
          <w:vertAlign w:val="subscript"/>
        </w:rPr>
        <w:t>j</w:t>
      </w:r>
      <w:r w:rsidRPr="008573C5">
        <w:rPr>
          <w:bCs/>
        </w:rPr>
        <w:t>+ ε</w:t>
      </w:r>
      <w:r w:rsidRPr="008573C5">
        <w:rPr>
          <w:vertAlign w:val="subscript"/>
        </w:rPr>
        <w:t>j</w:t>
      </w:r>
      <w:r w:rsidR="00B86F16" w:rsidRPr="008573C5">
        <w:t xml:space="preserve"> …………………..(6)</w:t>
      </w:r>
    </w:p>
    <w:p w:rsidR="00983536" w:rsidRPr="008573C5" w:rsidRDefault="00983536" w:rsidP="00983536">
      <w:pPr>
        <w:autoSpaceDE w:val="0"/>
        <w:autoSpaceDN w:val="0"/>
        <w:adjustRightInd w:val="0"/>
        <w:spacing w:line="360" w:lineRule="auto"/>
        <w:jc w:val="both"/>
        <w:rPr>
          <w:b/>
          <w:bCs/>
        </w:rPr>
      </w:pPr>
      <w:r w:rsidRPr="008573C5">
        <w:rPr>
          <w:b/>
        </w:rPr>
        <w:t>Equation A</w:t>
      </w:r>
      <w:r w:rsidRPr="008573C5">
        <w:rPr>
          <w:b/>
          <w:vertAlign w:val="subscript"/>
        </w:rPr>
        <w:t>7</w:t>
      </w:r>
      <w:r w:rsidRPr="008573C5">
        <w:t>:  RDIFRS</w:t>
      </w:r>
      <w:r w:rsidRPr="008573C5">
        <w:rPr>
          <w:vertAlign w:val="subscript"/>
        </w:rPr>
        <w:t>j</w:t>
      </w:r>
      <w:r w:rsidRPr="008573C5">
        <w:t xml:space="preserve"> = </w:t>
      </w:r>
      <w:r w:rsidRPr="008573C5">
        <w:rPr>
          <w:b/>
          <w:bCs/>
        </w:rPr>
        <w:t>β</w:t>
      </w:r>
      <w:r w:rsidRPr="008573C5">
        <w:rPr>
          <w:bCs/>
          <w:vertAlign w:val="subscript"/>
        </w:rPr>
        <w:t xml:space="preserve">0 </w:t>
      </w:r>
      <w:r w:rsidRPr="008573C5">
        <w:rPr>
          <w:bCs/>
        </w:rPr>
        <w:t xml:space="preserve">+ </w:t>
      </w:r>
      <w:r w:rsidRPr="008573C5">
        <w:rPr>
          <w:b/>
          <w:bCs/>
        </w:rPr>
        <w:t>β</w:t>
      </w:r>
      <w:r w:rsidRPr="008573C5">
        <w:rPr>
          <w:bCs/>
          <w:vertAlign w:val="subscript"/>
        </w:rPr>
        <w:t>1</w:t>
      </w:r>
      <w:r w:rsidRPr="008573C5">
        <w:rPr>
          <w:bCs/>
        </w:rPr>
        <w:t>RSIZE(Fac)</w:t>
      </w:r>
      <w:r w:rsidRPr="008573C5">
        <w:rPr>
          <w:vertAlign w:val="subscript"/>
        </w:rPr>
        <w:t>j</w:t>
      </w:r>
      <w:r w:rsidRPr="008573C5">
        <w:rPr>
          <w:bCs/>
        </w:rPr>
        <w:t xml:space="preserve"> + </w:t>
      </w:r>
      <w:r w:rsidRPr="008573C5">
        <w:rPr>
          <w:b/>
          <w:bCs/>
        </w:rPr>
        <w:t>β</w:t>
      </w:r>
      <w:r w:rsidRPr="008573C5">
        <w:rPr>
          <w:bCs/>
          <w:vertAlign w:val="subscript"/>
        </w:rPr>
        <w:t>2</w:t>
      </w:r>
      <w:r w:rsidRPr="008573C5">
        <w:rPr>
          <w:bCs/>
        </w:rPr>
        <w:t>RPRO</w:t>
      </w:r>
      <w:r w:rsidRPr="008573C5">
        <w:rPr>
          <w:vertAlign w:val="subscript"/>
        </w:rPr>
        <w:t>j</w:t>
      </w:r>
      <w:r w:rsidRPr="008573C5">
        <w:rPr>
          <w:bCs/>
        </w:rPr>
        <w:t xml:space="preserve"> + </w:t>
      </w:r>
      <w:r w:rsidRPr="008573C5">
        <w:rPr>
          <w:b/>
          <w:bCs/>
        </w:rPr>
        <w:t>β</w:t>
      </w:r>
      <w:r w:rsidRPr="008573C5">
        <w:rPr>
          <w:bCs/>
          <w:vertAlign w:val="subscript"/>
        </w:rPr>
        <w:t>3</w:t>
      </w:r>
      <w:r w:rsidRPr="008573C5">
        <w:rPr>
          <w:bCs/>
        </w:rPr>
        <w:t>RLEV</w:t>
      </w:r>
      <w:r w:rsidRPr="008573C5">
        <w:rPr>
          <w:vertAlign w:val="subscript"/>
        </w:rPr>
        <w:t>j</w:t>
      </w:r>
      <w:r w:rsidRPr="008573C5">
        <w:rPr>
          <w:bCs/>
        </w:rPr>
        <w:t xml:space="preserve"> + </w:t>
      </w:r>
      <w:r w:rsidRPr="008573C5">
        <w:rPr>
          <w:b/>
          <w:bCs/>
        </w:rPr>
        <w:t>β</w:t>
      </w:r>
      <w:r w:rsidRPr="008573C5">
        <w:rPr>
          <w:bCs/>
          <w:vertAlign w:val="subscript"/>
        </w:rPr>
        <w:t>4</w:t>
      </w:r>
      <w:r w:rsidRPr="008573C5">
        <w:rPr>
          <w:bCs/>
        </w:rPr>
        <w:t>RAGE</w:t>
      </w:r>
      <w:r w:rsidRPr="008573C5">
        <w:t>j</w:t>
      </w:r>
      <w:r w:rsidRPr="008573C5">
        <w:rPr>
          <w:bCs/>
        </w:rPr>
        <w:t xml:space="preserve"> + </w:t>
      </w:r>
      <w:r w:rsidRPr="008573C5">
        <w:rPr>
          <w:b/>
          <w:bCs/>
        </w:rPr>
        <w:t>β</w:t>
      </w:r>
      <w:r w:rsidRPr="008573C5">
        <w:rPr>
          <w:bCs/>
          <w:vertAlign w:val="subscript"/>
        </w:rPr>
        <w:t>5</w:t>
      </w:r>
      <w:r w:rsidRPr="008573C5">
        <w:rPr>
          <w:bCs/>
        </w:rPr>
        <w:t>SEC</w:t>
      </w:r>
      <w:r w:rsidRPr="008573C5">
        <w:rPr>
          <w:vertAlign w:val="subscript"/>
        </w:rPr>
        <w:t>j</w:t>
      </w:r>
      <w:r w:rsidRPr="008573C5">
        <w:rPr>
          <w:b/>
          <w:bCs/>
        </w:rPr>
        <w:t xml:space="preserve"> + β</w:t>
      </w:r>
      <w:r w:rsidRPr="008573C5">
        <w:rPr>
          <w:bCs/>
          <w:vertAlign w:val="subscript"/>
        </w:rPr>
        <w:t>6</w:t>
      </w:r>
      <w:r w:rsidRPr="008573C5">
        <w:rPr>
          <w:bCs/>
        </w:rPr>
        <w:t>AUD</w:t>
      </w:r>
      <w:r w:rsidRPr="008573C5">
        <w:rPr>
          <w:bCs/>
          <w:vertAlign w:val="subscript"/>
        </w:rPr>
        <w:t>j</w:t>
      </w:r>
      <w:r w:rsidRPr="008573C5">
        <w:rPr>
          <w:bCs/>
        </w:rPr>
        <w:t xml:space="preserve">+ </w:t>
      </w:r>
      <w:r w:rsidRPr="008573C5">
        <w:rPr>
          <w:b/>
          <w:bCs/>
        </w:rPr>
        <w:t>β</w:t>
      </w:r>
      <w:r w:rsidRPr="008573C5">
        <w:rPr>
          <w:bCs/>
          <w:vertAlign w:val="subscript"/>
        </w:rPr>
        <w:t>7</w:t>
      </w:r>
      <w:r w:rsidRPr="008573C5">
        <w:rPr>
          <w:bCs/>
        </w:rPr>
        <w:t>RMULT</w:t>
      </w:r>
      <w:r w:rsidRPr="008573C5">
        <w:rPr>
          <w:bCs/>
          <w:vertAlign w:val="subscript"/>
        </w:rPr>
        <w:t>j</w:t>
      </w:r>
      <w:r w:rsidRPr="008573C5">
        <w:rPr>
          <w:bCs/>
        </w:rPr>
        <w:t>+ ε</w:t>
      </w:r>
      <w:r w:rsidRPr="008573C5">
        <w:rPr>
          <w:vertAlign w:val="subscript"/>
        </w:rPr>
        <w:t>j</w:t>
      </w:r>
      <w:r w:rsidR="00B86F16" w:rsidRPr="008573C5">
        <w:rPr>
          <w:vertAlign w:val="subscript"/>
        </w:rPr>
        <w:t xml:space="preserve"> </w:t>
      </w:r>
      <w:r w:rsidR="00B86F16" w:rsidRPr="008573C5">
        <w:t>…………………...(7)</w:t>
      </w:r>
    </w:p>
    <w:p w:rsidR="00983536" w:rsidRPr="008573C5" w:rsidRDefault="00983536" w:rsidP="00983536">
      <w:pPr>
        <w:autoSpaceDE w:val="0"/>
        <w:autoSpaceDN w:val="0"/>
        <w:adjustRightInd w:val="0"/>
        <w:spacing w:line="360" w:lineRule="auto"/>
        <w:jc w:val="both"/>
        <w:rPr>
          <w:b/>
          <w:bCs/>
        </w:rPr>
      </w:pPr>
      <w:r w:rsidRPr="008573C5">
        <w:rPr>
          <w:b/>
        </w:rPr>
        <w:t>Equation A</w:t>
      </w:r>
      <w:r w:rsidRPr="008573C5">
        <w:rPr>
          <w:b/>
          <w:vertAlign w:val="subscript"/>
        </w:rPr>
        <w:t>8</w:t>
      </w:r>
      <w:r w:rsidRPr="008573C5">
        <w:t>: RDIVOL</w:t>
      </w:r>
      <w:r w:rsidRPr="008573C5">
        <w:rPr>
          <w:vertAlign w:val="subscript"/>
        </w:rPr>
        <w:t>j</w:t>
      </w:r>
      <w:r w:rsidRPr="008573C5">
        <w:t xml:space="preserve"> = </w:t>
      </w:r>
      <w:r w:rsidRPr="008573C5">
        <w:rPr>
          <w:b/>
          <w:bCs/>
        </w:rPr>
        <w:t>β</w:t>
      </w:r>
      <w:r w:rsidRPr="008573C5">
        <w:rPr>
          <w:bCs/>
          <w:vertAlign w:val="subscript"/>
        </w:rPr>
        <w:t xml:space="preserve">0 </w:t>
      </w:r>
      <w:r w:rsidRPr="008573C5">
        <w:rPr>
          <w:bCs/>
        </w:rPr>
        <w:t xml:space="preserve">+ </w:t>
      </w:r>
      <w:r w:rsidRPr="008573C5">
        <w:rPr>
          <w:b/>
          <w:bCs/>
        </w:rPr>
        <w:t>β</w:t>
      </w:r>
      <w:r w:rsidRPr="008573C5">
        <w:rPr>
          <w:bCs/>
          <w:vertAlign w:val="subscript"/>
        </w:rPr>
        <w:t>1</w:t>
      </w:r>
      <w:r w:rsidRPr="008573C5">
        <w:rPr>
          <w:bCs/>
        </w:rPr>
        <w:t>RSIZE(Fac)</w:t>
      </w:r>
      <w:r w:rsidRPr="008573C5">
        <w:rPr>
          <w:vertAlign w:val="subscript"/>
        </w:rPr>
        <w:t>j</w:t>
      </w:r>
      <w:r w:rsidRPr="008573C5">
        <w:rPr>
          <w:bCs/>
        </w:rPr>
        <w:t xml:space="preserve"> + </w:t>
      </w:r>
      <w:r w:rsidRPr="008573C5">
        <w:rPr>
          <w:b/>
          <w:bCs/>
        </w:rPr>
        <w:t>β</w:t>
      </w:r>
      <w:r w:rsidRPr="008573C5">
        <w:rPr>
          <w:bCs/>
          <w:vertAlign w:val="subscript"/>
        </w:rPr>
        <w:t>2</w:t>
      </w:r>
      <w:r w:rsidRPr="008573C5">
        <w:rPr>
          <w:bCs/>
        </w:rPr>
        <w:t>RPRO</w:t>
      </w:r>
      <w:r w:rsidRPr="008573C5">
        <w:rPr>
          <w:vertAlign w:val="subscript"/>
        </w:rPr>
        <w:t>j</w:t>
      </w:r>
      <w:r w:rsidRPr="008573C5">
        <w:rPr>
          <w:bCs/>
        </w:rPr>
        <w:t xml:space="preserve"> + </w:t>
      </w:r>
      <w:r w:rsidRPr="008573C5">
        <w:rPr>
          <w:b/>
          <w:bCs/>
        </w:rPr>
        <w:t>β</w:t>
      </w:r>
      <w:r w:rsidRPr="008573C5">
        <w:rPr>
          <w:bCs/>
          <w:vertAlign w:val="subscript"/>
        </w:rPr>
        <w:t>3</w:t>
      </w:r>
      <w:r w:rsidRPr="008573C5">
        <w:rPr>
          <w:bCs/>
        </w:rPr>
        <w:t>RLEV</w:t>
      </w:r>
      <w:r w:rsidRPr="008573C5">
        <w:rPr>
          <w:vertAlign w:val="subscript"/>
        </w:rPr>
        <w:t>j</w:t>
      </w:r>
      <w:r w:rsidRPr="008573C5">
        <w:rPr>
          <w:bCs/>
        </w:rPr>
        <w:t xml:space="preserve"> + </w:t>
      </w:r>
      <w:r w:rsidRPr="008573C5">
        <w:rPr>
          <w:b/>
          <w:bCs/>
        </w:rPr>
        <w:t>β</w:t>
      </w:r>
      <w:r w:rsidRPr="008573C5">
        <w:rPr>
          <w:bCs/>
          <w:vertAlign w:val="subscript"/>
        </w:rPr>
        <w:t>4</w:t>
      </w:r>
      <w:r w:rsidRPr="008573C5">
        <w:rPr>
          <w:bCs/>
        </w:rPr>
        <w:t>RAGE</w:t>
      </w:r>
      <w:r w:rsidRPr="008573C5">
        <w:t>j</w:t>
      </w:r>
      <w:r w:rsidRPr="008573C5">
        <w:rPr>
          <w:bCs/>
        </w:rPr>
        <w:t xml:space="preserve"> + </w:t>
      </w:r>
      <w:r w:rsidRPr="008573C5">
        <w:rPr>
          <w:b/>
          <w:bCs/>
        </w:rPr>
        <w:t>β</w:t>
      </w:r>
      <w:r w:rsidRPr="008573C5">
        <w:rPr>
          <w:bCs/>
          <w:vertAlign w:val="subscript"/>
        </w:rPr>
        <w:t>5</w:t>
      </w:r>
      <w:r w:rsidRPr="008573C5">
        <w:rPr>
          <w:bCs/>
        </w:rPr>
        <w:t>SEC</w:t>
      </w:r>
      <w:r w:rsidRPr="008573C5">
        <w:rPr>
          <w:vertAlign w:val="subscript"/>
        </w:rPr>
        <w:t>j</w:t>
      </w:r>
      <w:r w:rsidRPr="008573C5">
        <w:rPr>
          <w:b/>
          <w:bCs/>
        </w:rPr>
        <w:t xml:space="preserve"> + β</w:t>
      </w:r>
      <w:r w:rsidRPr="008573C5">
        <w:rPr>
          <w:bCs/>
          <w:vertAlign w:val="subscript"/>
        </w:rPr>
        <w:t>6</w:t>
      </w:r>
      <w:r w:rsidRPr="008573C5">
        <w:rPr>
          <w:bCs/>
        </w:rPr>
        <w:t xml:space="preserve"> AUD</w:t>
      </w:r>
      <w:r w:rsidRPr="008573C5">
        <w:rPr>
          <w:bCs/>
          <w:vertAlign w:val="subscript"/>
        </w:rPr>
        <w:t>j</w:t>
      </w:r>
      <w:r w:rsidRPr="008573C5">
        <w:rPr>
          <w:bCs/>
        </w:rPr>
        <w:t xml:space="preserve">+ </w:t>
      </w:r>
      <w:r w:rsidRPr="008573C5">
        <w:rPr>
          <w:b/>
          <w:bCs/>
        </w:rPr>
        <w:t>β</w:t>
      </w:r>
      <w:r w:rsidRPr="008573C5">
        <w:rPr>
          <w:bCs/>
          <w:vertAlign w:val="subscript"/>
        </w:rPr>
        <w:t>7</w:t>
      </w:r>
      <w:r w:rsidRPr="008573C5">
        <w:rPr>
          <w:bCs/>
        </w:rPr>
        <w:t>RMULT</w:t>
      </w:r>
      <w:r w:rsidRPr="008573C5">
        <w:rPr>
          <w:bCs/>
          <w:vertAlign w:val="subscript"/>
        </w:rPr>
        <w:t>j</w:t>
      </w:r>
      <w:r w:rsidRPr="008573C5">
        <w:rPr>
          <w:bCs/>
        </w:rPr>
        <w:t>+ ε</w:t>
      </w:r>
      <w:r w:rsidRPr="008573C5">
        <w:rPr>
          <w:vertAlign w:val="subscript"/>
        </w:rPr>
        <w:t>j</w:t>
      </w:r>
      <w:r w:rsidR="00B86F16" w:rsidRPr="008573C5">
        <w:rPr>
          <w:vertAlign w:val="subscript"/>
        </w:rPr>
        <w:t xml:space="preserve"> </w:t>
      </w:r>
      <w:r w:rsidR="00B86F16" w:rsidRPr="008573C5">
        <w:t>…………………..(8)</w:t>
      </w:r>
    </w:p>
    <w:p w:rsidR="00983536" w:rsidRPr="008573C5" w:rsidRDefault="00983536" w:rsidP="00983536">
      <w:pPr>
        <w:autoSpaceDE w:val="0"/>
        <w:autoSpaceDN w:val="0"/>
        <w:adjustRightInd w:val="0"/>
        <w:spacing w:line="360" w:lineRule="auto"/>
        <w:rPr>
          <w:rFonts w:eastAsia="Calibri"/>
          <w:sz w:val="20"/>
          <w:szCs w:val="20"/>
        </w:rPr>
      </w:pPr>
    </w:p>
    <w:p w:rsidR="00983536" w:rsidRPr="008573C5" w:rsidRDefault="00983536" w:rsidP="00983536">
      <w:pPr>
        <w:autoSpaceDE w:val="0"/>
        <w:autoSpaceDN w:val="0"/>
        <w:adjustRightInd w:val="0"/>
        <w:spacing w:line="360" w:lineRule="auto"/>
        <w:jc w:val="both"/>
        <w:rPr>
          <w:b/>
        </w:rPr>
      </w:pPr>
      <w:r w:rsidRPr="008573C5">
        <w:rPr>
          <w:b/>
        </w:rPr>
        <w:t>Model  3</w:t>
      </w:r>
    </w:p>
    <w:p w:rsidR="00983536" w:rsidRPr="008573C5" w:rsidRDefault="008B7F0C" w:rsidP="00CC376F">
      <w:pPr>
        <w:spacing w:before="100" w:beforeAutospacing="1" w:after="100" w:afterAutospacing="1" w:line="360" w:lineRule="auto"/>
        <w:jc w:val="both"/>
      </w:pPr>
      <w:r>
        <w:t>T</w:t>
      </w:r>
      <w:r w:rsidR="00983536" w:rsidRPr="008573C5">
        <w:t>he original four multivariate equations (Model 1) using</w:t>
      </w:r>
      <w:r w:rsidR="00C74BC3" w:rsidRPr="008573C5">
        <w:t xml:space="preserve"> unranked OLS and log t</w:t>
      </w:r>
      <w:r w:rsidR="00983536" w:rsidRPr="008573C5">
        <w:t>ransformation</w:t>
      </w:r>
      <w:r w:rsidR="00C74BC3" w:rsidRPr="008573C5">
        <w:t xml:space="preserve"> of total assets as a proxy for company size</w:t>
      </w:r>
      <w:r>
        <w:t xml:space="preserve"> is repeated</w:t>
      </w:r>
      <w:r w:rsidR="00983536" w:rsidRPr="008573C5">
        <w:t>.</w:t>
      </w:r>
      <w:r>
        <w:rPr>
          <w:lang w:val="en-GB" w:eastAsia="en-GB"/>
        </w:rPr>
        <w:t xml:space="preserve"> Size variable i</w:t>
      </w:r>
      <w:r w:rsidR="00014B8D" w:rsidRPr="008573C5">
        <w:rPr>
          <w:lang w:val="en-GB" w:eastAsia="en-GB"/>
        </w:rPr>
        <w:t xml:space="preserve">s transformed using natural logarithmic conversion to reduce its skewness and the potential size effect of the size variable on the regression equations. </w:t>
      </w:r>
      <w:r w:rsidR="00983536" w:rsidRPr="008573C5">
        <w:t xml:space="preserve"> </w:t>
      </w:r>
      <w:r w:rsidR="00B8368C" w:rsidRPr="008573C5">
        <w:t>The full specification of the regression equations are assumed to be as follows:</w:t>
      </w:r>
    </w:p>
    <w:p w:rsidR="00983536" w:rsidRPr="008573C5" w:rsidRDefault="00983536" w:rsidP="00983536">
      <w:pPr>
        <w:autoSpaceDE w:val="0"/>
        <w:autoSpaceDN w:val="0"/>
        <w:adjustRightInd w:val="0"/>
        <w:spacing w:line="360" w:lineRule="auto"/>
      </w:pPr>
      <w:r w:rsidRPr="008573C5">
        <w:rPr>
          <w:b/>
        </w:rPr>
        <w:t>Equation A</w:t>
      </w:r>
      <w:r w:rsidRPr="008573C5">
        <w:rPr>
          <w:b/>
          <w:vertAlign w:val="subscript"/>
        </w:rPr>
        <w:t>9</w:t>
      </w:r>
      <w:r w:rsidRPr="008573C5">
        <w:t>: ODI</w:t>
      </w:r>
      <w:r w:rsidRPr="008573C5">
        <w:rPr>
          <w:vertAlign w:val="subscript"/>
        </w:rPr>
        <w:t>j</w:t>
      </w:r>
      <w:r w:rsidRPr="008573C5">
        <w:t xml:space="preserve"> = </w:t>
      </w:r>
      <w:r w:rsidRPr="008573C5">
        <w:rPr>
          <w:b/>
          <w:bCs/>
        </w:rPr>
        <w:t xml:space="preserve"> β</w:t>
      </w:r>
      <w:r w:rsidRPr="008573C5">
        <w:rPr>
          <w:bCs/>
          <w:vertAlign w:val="subscript"/>
        </w:rPr>
        <w:t xml:space="preserve">0 </w:t>
      </w:r>
      <w:r w:rsidRPr="008573C5">
        <w:rPr>
          <w:bCs/>
        </w:rPr>
        <w:t xml:space="preserve">+ </w:t>
      </w:r>
      <w:r w:rsidRPr="008573C5">
        <w:rPr>
          <w:b/>
          <w:bCs/>
        </w:rPr>
        <w:t>β</w:t>
      </w:r>
      <w:r w:rsidRPr="008573C5">
        <w:rPr>
          <w:bCs/>
          <w:vertAlign w:val="subscript"/>
        </w:rPr>
        <w:t>1</w:t>
      </w:r>
      <w:r w:rsidRPr="008573C5">
        <w:rPr>
          <w:bCs/>
        </w:rPr>
        <w:t>SIZE(LTA)</w:t>
      </w:r>
      <w:r w:rsidRPr="008573C5">
        <w:rPr>
          <w:bCs/>
          <w:vertAlign w:val="subscript"/>
        </w:rPr>
        <w:t>j</w:t>
      </w:r>
      <w:r w:rsidRPr="008573C5">
        <w:rPr>
          <w:b/>
          <w:bCs/>
        </w:rPr>
        <w:t xml:space="preserve"> + β</w:t>
      </w:r>
      <w:r w:rsidRPr="008573C5">
        <w:rPr>
          <w:bCs/>
          <w:vertAlign w:val="subscript"/>
        </w:rPr>
        <w:t>2</w:t>
      </w:r>
      <w:r w:rsidRPr="008573C5">
        <w:rPr>
          <w:bCs/>
        </w:rPr>
        <w:t>PRO</w:t>
      </w:r>
      <w:r w:rsidRPr="008573C5">
        <w:rPr>
          <w:vertAlign w:val="subscript"/>
        </w:rPr>
        <w:t>j</w:t>
      </w:r>
      <w:r w:rsidRPr="008573C5">
        <w:rPr>
          <w:bCs/>
        </w:rPr>
        <w:t xml:space="preserve"> + </w:t>
      </w:r>
      <w:r w:rsidRPr="008573C5">
        <w:rPr>
          <w:b/>
          <w:bCs/>
        </w:rPr>
        <w:t>β</w:t>
      </w:r>
      <w:r w:rsidRPr="008573C5">
        <w:rPr>
          <w:bCs/>
          <w:vertAlign w:val="subscript"/>
        </w:rPr>
        <w:t>3</w:t>
      </w:r>
      <w:r w:rsidRPr="008573C5">
        <w:rPr>
          <w:bCs/>
        </w:rPr>
        <w:t>LEV</w:t>
      </w:r>
      <w:r w:rsidRPr="008573C5">
        <w:rPr>
          <w:vertAlign w:val="subscript"/>
        </w:rPr>
        <w:t>j</w:t>
      </w:r>
      <w:r w:rsidRPr="008573C5">
        <w:rPr>
          <w:bCs/>
        </w:rPr>
        <w:t xml:space="preserve"> + </w:t>
      </w:r>
      <w:r w:rsidRPr="008573C5">
        <w:rPr>
          <w:b/>
          <w:bCs/>
        </w:rPr>
        <w:t>β</w:t>
      </w:r>
      <w:r w:rsidRPr="008573C5">
        <w:rPr>
          <w:bCs/>
          <w:vertAlign w:val="subscript"/>
        </w:rPr>
        <w:t>4</w:t>
      </w:r>
      <w:r w:rsidRPr="008573C5">
        <w:rPr>
          <w:bCs/>
        </w:rPr>
        <w:t>AGE</w:t>
      </w:r>
      <w:r w:rsidRPr="008573C5">
        <w:rPr>
          <w:vertAlign w:val="subscript"/>
        </w:rPr>
        <w:t>j</w:t>
      </w:r>
      <w:r w:rsidRPr="008573C5">
        <w:rPr>
          <w:bCs/>
        </w:rPr>
        <w:t xml:space="preserve"> + </w:t>
      </w:r>
      <w:r w:rsidRPr="008573C5">
        <w:rPr>
          <w:b/>
          <w:bCs/>
        </w:rPr>
        <w:t>β</w:t>
      </w:r>
      <w:r w:rsidRPr="008573C5">
        <w:rPr>
          <w:bCs/>
          <w:vertAlign w:val="subscript"/>
        </w:rPr>
        <w:t>5</w:t>
      </w:r>
      <w:r w:rsidRPr="008573C5">
        <w:rPr>
          <w:bCs/>
        </w:rPr>
        <w:t>SEC</w:t>
      </w:r>
      <w:r w:rsidRPr="008573C5">
        <w:rPr>
          <w:vertAlign w:val="subscript"/>
        </w:rPr>
        <w:t>j</w:t>
      </w:r>
      <w:r w:rsidRPr="008573C5">
        <w:rPr>
          <w:bCs/>
        </w:rPr>
        <w:t xml:space="preserve"> + </w:t>
      </w:r>
      <w:r w:rsidRPr="008573C5">
        <w:rPr>
          <w:b/>
          <w:bCs/>
        </w:rPr>
        <w:t>β</w:t>
      </w:r>
      <w:r w:rsidRPr="008573C5">
        <w:rPr>
          <w:bCs/>
          <w:vertAlign w:val="subscript"/>
        </w:rPr>
        <w:t>6</w:t>
      </w:r>
      <w:r w:rsidRPr="008573C5">
        <w:rPr>
          <w:bCs/>
        </w:rPr>
        <w:t xml:space="preserve"> AUD</w:t>
      </w:r>
      <w:r w:rsidRPr="008573C5">
        <w:rPr>
          <w:bCs/>
          <w:vertAlign w:val="subscript"/>
        </w:rPr>
        <w:t>j</w:t>
      </w:r>
      <w:r w:rsidRPr="008573C5">
        <w:rPr>
          <w:bCs/>
        </w:rPr>
        <w:t xml:space="preserve">+ </w:t>
      </w:r>
      <w:r w:rsidRPr="008573C5">
        <w:rPr>
          <w:b/>
          <w:bCs/>
        </w:rPr>
        <w:t>β</w:t>
      </w:r>
      <w:r w:rsidRPr="008573C5">
        <w:rPr>
          <w:bCs/>
          <w:vertAlign w:val="subscript"/>
        </w:rPr>
        <w:t>7</w:t>
      </w:r>
      <w:r w:rsidRPr="008573C5">
        <w:rPr>
          <w:bCs/>
        </w:rPr>
        <w:t>MULT</w:t>
      </w:r>
      <w:r w:rsidRPr="008573C5">
        <w:rPr>
          <w:bCs/>
          <w:vertAlign w:val="subscript"/>
        </w:rPr>
        <w:t>j</w:t>
      </w:r>
      <w:r w:rsidRPr="008573C5">
        <w:rPr>
          <w:bCs/>
        </w:rPr>
        <w:t>+ ε</w:t>
      </w:r>
      <w:r w:rsidRPr="008573C5">
        <w:rPr>
          <w:vertAlign w:val="subscript"/>
        </w:rPr>
        <w:t>j</w:t>
      </w:r>
      <w:r w:rsidRPr="008573C5">
        <w:t xml:space="preserve"> </w:t>
      </w:r>
      <w:r w:rsidR="00B86F16" w:rsidRPr="008573C5">
        <w:t xml:space="preserve"> …………………………………(9)</w:t>
      </w:r>
    </w:p>
    <w:p w:rsidR="00983536" w:rsidRPr="008573C5" w:rsidRDefault="00983536" w:rsidP="00983536">
      <w:pPr>
        <w:autoSpaceDE w:val="0"/>
        <w:autoSpaceDN w:val="0"/>
        <w:adjustRightInd w:val="0"/>
        <w:spacing w:line="360" w:lineRule="auto"/>
      </w:pPr>
      <w:r w:rsidRPr="008573C5">
        <w:rPr>
          <w:b/>
        </w:rPr>
        <w:t>Equation A</w:t>
      </w:r>
      <w:r w:rsidRPr="008573C5">
        <w:rPr>
          <w:b/>
          <w:vertAlign w:val="subscript"/>
        </w:rPr>
        <w:t>10</w:t>
      </w:r>
      <w:r w:rsidRPr="008573C5">
        <w:t>: DISAS</w:t>
      </w:r>
      <w:r w:rsidRPr="008573C5">
        <w:rPr>
          <w:vertAlign w:val="subscript"/>
        </w:rPr>
        <w:t>j</w:t>
      </w:r>
      <w:r w:rsidRPr="008573C5">
        <w:t xml:space="preserve"> = </w:t>
      </w:r>
      <w:r w:rsidRPr="008573C5">
        <w:rPr>
          <w:b/>
          <w:bCs/>
        </w:rPr>
        <w:t xml:space="preserve"> β</w:t>
      </w:r>
      <w:r w:rsidRPr="008573C5">
        <w:rPr>
          <w:bCs/>
          <w:vertAlign w:val="subscript"/>
        </w:rPr>
        <w:t xml:space="preserve">0 </w:t>
      </w:r>
      <w:r w:rsidRPr="008573C5">
        <w:rPr>
          <w:bCs/>
        </w:rPr>
        <w:t xml:space="preserve">+ </w:t>
      </w:r>
      <w:r w:rsidRPr="008573C5">
        <w:rPr>
          <w:b/>
          <w:bCs/>
        </w:rPr>
        <w:t>β</w:t>
      </w:r>
      <w:r w:rsidRPr="008573C5">
        <w:rPr>
          <w:bCs/>
          <w:vertAlign w:val="subscript"/>
        </w:rPr>
        <w:t>1</w:t>
      </w:r>
      <w:r w:rsidRPr="008573C5">
        <w:rPr>
          <w:bCs/>
        </w:rPr>
        <w:t>SIZE(LTA)</w:t>
      </w:r>
      <w:r w:rsidRPr="008573C5">
        <w:rPr>
          <w:bCs/>
          <w:vertAlign w:val="subscript"/>
        </w:rPr>
        <w:t>j</w:t>
      </w:r>
      <w:r w:rsidRPr="008573C5">
        <w:rPr>
          <w:b/>
          <w:bCs/>
        </w:rPr>
        <w:t xml:space="preserve"> + β</w:t>
      </w:r>
      <w:r w:rsidRPr="008573C5">
        <w:rPr>
          <w:bCs/>
          <w:vertAlign w:val="subscript"/>
        </w:rPr>
        <w:t>2</w:t>
      </w:r>
      <w:r w:rsidRPr="008573C5">
        <w:rPr>
          <w:bCs/>
        </w:rPr>
        <w:t>PRO</w:t>
      </w:r>
      <w:r w:rsidRPr="008573C5">
        <w:rPr>
          <w:vertAlign w:val="subscript"/>
        </w:rPr>
        <w:t>j</w:t>
      </w:r>
      <w:r w:rsidRPr="008573C5">
        <w:rPr>
          <w:bCs/>
        </w:rPr>
        <w:t xml:space="preserve"> + </w:t>
      </w:r>
      <w:r w:rsidRPr="008573C5">
        <w:rPr>
          <w:b/>
          <w:bCs/>
        </w:rPr>
        <w:t>β</w:t>
      </w:r>
      <w:r w:rsidRPr="008573C5">
        <w:rPr>
          <w:bCs/>
          <w:vertAlign w:val="subscript"/>
        </w:rPr>
        <w:t>3</w:t>
      </w:r>
      <w:r w:rsidRPr="008573C5">
        <w:rPr>
          <w:bCs/>
        </w:rPr>
        <w:t>LEV</w:t>
      </w:r>
      <w:r w:rsidRPr="008573C5">
        <w:rPr>
          <w:vertAlign w:val="subscript"/>
        </w:rPr>
        <w:t>j</w:t>
      </w:r>
      <w:r w:rsidRPr="008573C5">
        <w:rPr>
          <w:bCs/>
        </w:rPr>
        <w:t xml:space="preserve"> + </w:t>
      </w:r>
      <w:r w:rsidRPr="008573C5">
        <w:rPr>
          <w:b/>
          <w:bCs/>
        </w:rPr>
        <w:t>β</w:t>
      </w:r>
      <w:r w:rsidRPr="008573C5">
        <w:rPr>
          <w:bCs/>
          <w:vertAlign w:val="subscript"/>
        </w:rPr>
        <w:t>4</w:t>
      </w:r>
      <w:r w:rsidRPr="008573C5">
        <w:rPr>
          <w:bCs/>
        </w:rPr>
        <w:t>AGE</w:t>
      </w:r>
      <w:r w:rsidRPr="008573C5">
        <w:rPr>
          <w:vertAlign w:val="subscript"/>
        </w:rPr>
        <w:t>j</w:t>
      </w:r>
      <w:r w:rsidRPr="008573C5">
        <w:rPr>
          <w:bCs/>
        </w:rPr>
        <w:t xml:space="preserve"> + </w:t>
      </w:r>
      <w:r w:rsidRPr="008573C5">
        <w:rPr>
          <w:b/>
          <w:bCs/>
        </w:rPr>
        <w:t>β</w:t>
      </w:r>
      <w:r w:rsidRPr="008573C5">
        <w:rPr>
          <w:bCs/>
          <w:vertAlign w:val="subscript"/>
        </w:rPr>
        <w:t>5</w:t>
      </w:r>
      <w:r w:rsidRPr="008573C5">
        <w:rPr>
          <w:bCs/>
        </w:rPr>
        <w:t>SEC</w:t>
      </w:r>
      <w:r w:rsidRPr="008573C5">
        <w:rPr>
          <w:vertAlign w:val="subscript"/>
        </w:rPr>
        <w:t>j</w:t>
      </w:r>
      <w:r w:rsidRPr="008573C5">
        <w:rPr>
          <w:bCs/>
        </w:rPr>
        <w:t xml:space="preserve"> + </w:t>
      </w:r>
      <w:r w:rsidRPr="008573C5">
        <w:rPr>
          <w:b/>
          <w:bCs/>
        </w:rPr>
        <w:t>β</w:t>
      </w:r>
      <w:r w:rsidRPr="008573C5">
        <w:rPr>
          <w:bCs/>
          <w:vertAlign w:val="subscript"/>
        </w:rPr>
        <w:t>6</w:t>
      </w:r>
      <w:r w:rsidRPr="008573C5">
        <w:rPr>
          <w:bCs/>
        </w:rPr>
        <w:t xml:space="preserve"> AUD</w:t>
      </w:r>
      <w:r w:rsidRPr="008573C5">
        <w:rPr>
          <w:bCs/>
          <w:vertAlign w:val="subscript"/>
        </w:rPr>
        <w:t>j</w:t>
      </w:r>
      <w:r w:rsidRPr="008573C5">
        <w:rPr>
          <w:bCs/>
        </w:rPr>
        <w:t xml:space="preserve">+ </w:t>
      </w:r>
      <w:r w:rsidRPr="008573C5">
        <w:rPr>
          <w:b/>
          <w:bCs/>
        </w:rPr>
        <w:t>β</w:t>
      </w:r>
      <w:r w:rsidRPr="008573C5">
        <w:rPr>
          <w:bCs/>
          <w:vertAlign w:val="subscript"/>
        </w:rPr>
        <w:t>7</w:t>
      </w:r>
      <w:r w:rsidRPr="008573C5">
        <w:rPr>
          <w:bCs/>
        </w:rPr>
        <w:t>MULT</w:t>
      </w:r>
      <w:r w:rsidRPr="008573C5">
        <w:rPr>
          <w:bCs/>
          <w:vertAlign w:val="subscript"/>
        </w:rPr>
        <w:t>j</w:t>
      </w:r>
      <w:r w:rsidRPr="008573C5">
        <w:rPr>
          <w:bCs/>
        </w:rPr>
        <w:t>+ ε</w:t>
      </w:r>
      <w:r w:rsidRPr="008573C5">
        <w:rPr>
          <w:vertAlign w:val="subscript"/>
        </w:rPr>
        <w:t>j</w:t>
      </w:r>
      <w:r w:rsidRPr="008573C5">
        <w:t xml:space="preserve"> </w:t>
      </w:r>
      <w:r w:rsidR="00B86F16" w:rsidRPr="008573C5">
        <w:t>……………………………….(10)</w:t>
      </w:r>
    </w:p>
    <w:p w:rsidR="00983536" w:rsidRPr="008573C5" w:rsidRDefault="00983536" w:rsidP="00983536">
      <w:pPr>
        <w:autoSpaceDE w:val="0"/>
        <w:autoSpaceDN w:val="0"/>
        <w:adjustRightInd w:val="0"/>
        <w:spacing w:line="360" w:lineRule="auto"/>
      </w:pPr>
      <w:r w:rsidRPr="008573C5">
        <w:rPr>
          <w:b/>
        </w:rPr>
        <w:t>Equation A</w:t>
      </w:r>
      <w:r w:rsidRPr="008573C5">
        <w:rPr>
          <w:b/>
          <w:vertAlign w:val="subscript"/>
        </w:rPr>
        <w:t>11</w:t>
      </w:r>
      <w:r w:rsidRPr="008573C5">
        <w:t>: DIFRS</w:t>
      </w:r>
      <w:r w:rsidRPr="008573C5">
        <w:rPr>
          <w:vertAlign w:val="subscript"/>
        </w:rPr>
        <w:t>j</w:t>
      </w:r>
      <w:r w:rsidRPr="008573C5">
        <w:t xml:space="preserve"> = </w:t>
      </w:r>
      <w:r w:rsidRPr="008573C5">
        <w:rPr>
          <w:b/>
          <w:bCs/>
        </w:rPr>
        <w:t>β</w:t>
      </w:r>
      <w:r w:rsidRPr="008573C5">
        <w:rPr>
          <w:bCs/>
          <w:vertAlign w:val="subscript"/>
        </w:rPr>
        <w:t xml:space="preserve">0 </w:t>
      </w:r>
      <w:r w:rsidRPr="008573C5">
        <w:rPr>
          <w:bCs/>
        </w:rPr>
        <w:t xml:space="preserve">+ </w:t>
      </w:r>
      <w:r w:rsidRPr="008573C5">
        <w:rPr>
          <w:b/>
          <w:bCs/>
        </w:rPr>
        <w:t>β</w:t>
      </w:r>
      <w:r w:rsidRPr="008573C5">
        <w:rPr>
          <w:bCs/>
          <w:vertAlign w:val="subscript"/>
        </w:rPr>
        <w:t>1</w:t>
      </w:r>
      <w:r w:rsidRPr="008573C5">
        <w:rPr>
          <w:bCs/>
        </w:rPr>
        <w:t>SIZE(LTA)</w:t>
      </w:r>
      <w:r w:rsidRPr="008573C5">
        <w:rPr>
          <w:bCs/>
          <w:vertAlign w:val="subscript"/>
        </w:rPr>
        <w:t>j</w:t>
      </w:r>
      <w:r w:rsidRPr="008573C5">
        <w:rPr>
          <w:b/>
          <w:bCs/>
        </w:rPr>
        <w:t xml:space="preserve"> + β</w:t>
      </w:r>
      <w:r w:rsidRPr="008573C5">
        <w:rPr>
          <w:bCs/>
          <w:vertAlign w:val="subscript"/>
        </w:rPr>
        <w:t>2</w:t>
      </w:r>
      <w:r w:rsidRPr="008573C5">
        <w:rPr>
          <w:bCs/>
        </w:rPr>
        <w:t>PRO</w:t>
      </w:r>
      <w:r w:rsidRPr="008573C5">
        <w:rPr>
          <w:vertAlign w:val="subscript"/>
        </w:rPr>
        <w:t>j</w:t>
      </w:r>
      <w:r w:rsidRPr="008573C5">
        <w:rPr>
          <w:bCs/>
        </w:rPr>
        <w:t xml:space="preserve"> + </w:t>
      </w:r>
      <w:r w:rsidRPr="008573C5">
        <w:rPr>
          <w:b/>
          <w:bCs/>
        </w:rPr>
        <w:t>β</w:t>
      </w:r>
      <w:r w:rsidRPr="008573C5">
        <w:rPr>
          <w:bCs/>
          <w:vertAlign w:val="subscript"/>
        </w:rPr>
        <w:t>3</w:t>
      </w:r>
      <w:r w:rsidRPr="008573C5">
        <w:rPr>
          <w:bCs/>
        </w:rPr>
        <w:t>LEV</w:t>
      </w:r>
      <w:r w:rsidRPr="008573C5">
        <w:rPr>
          <w:vertAlign w:val="subscript"/>
        </w:rPr>
        <w:t>j</w:t>
      </w:r>
      <w:r w:rsidRPr="008573C5">
        <w:rPr>
          <w:bCs/>
        </w:rPr>
        <w:t xml:space="preserve"> + </w:t>
      </w:r>
      <w:r w:rsidRPr="008573C5">
        <w:rPr>
          <w:b/>
          <w:bCs/>
        </w:rPr>
        <w:t>β</w:t>
      </w:r>
      <w:r w:rsidRPr="008573C5">
        <w:rPr>
          <w:bCs/>
          <w:vertAlign w:val="subscript"/>
        </w:rPr>
        <w:t>4</w:t>
      </w:r>
      <w:r w:rsidRPr="008573C5">
        <w:rPr>
          <w:bCs/>
        </w:rPr>
        <w:t>AGE</w:t>
      </w:r>
      <w:r w:rsidRPr="008573C5">
        <w:rPr>
          <w:vertAlign w:val="subscript"/>
        </w:rPr>
        <w:t>j</w:t>
      </w:r>
      <w:r w:rsidRPr="008573C5">
        <w:rPr>
          <w:bCs/>
        </w:rPr>
        <w:t xml:space="preserve"> + </w:t>
      </w:r>
      <w:r w:rsidRPr="008573C5">
        <w:rPr>
          <w:b/>
          <w:bCs/>
        </w:rPr>
        <w:t>β</w:t>
      </w:r>
      <w:r w:rsidRPr="008573C5">
        <w:rPr>
          <w:bCs/>
          <w:vertAlign w:val="subscript"/>
        </w:rPr>
        <w:t>5</w:t>
      </w:r>
      <w:r w:rsidRPr="008573C5">
        <w:rPr>
          <w:bCs/>
        </w:rPr>
        <w:t>SEC</w:t>
      </w:r>
      <w:r w:rsidRPr="008573C5">
        <w:rPr>
          <w:vertAlign w:val="subscript"/>
        </w:rPr>
        <w:t>j</w:t>
      </w:r>
      <w:r w:rsidRPr="008573C5">
        <w:rPr>
          <w:bCs/>
        </w:rPr>
        <w:t xml:space="preserve"> + </w:t>
      </w:r>
      <w:r w:rsidRPr="008573C5">
        <w:rPr>
          <w:b/>
          <w:bCs/>
        </w:rPr>
        <w:t>β</w:t>
      </w:r>
      <w:r w:rsidRPr="008573C5">
        <w:rPr>
          <w:bCs/>
          <w:vertAlign w:val="subscript"/>
        </w:rPr>
        <w:t>6</w:t>
      </w:r>
      <w:r w:rsidRPr="008573C5">
        <w:rPr>
          <w:bCs/>
        </w:rPr>
        <w:t xml:space="preserve"> AUD</w:t>
      </w:r>
      <w:r w:rsidRPr="008573C5">
        <w:rPr>
          <w:bCs/>
          <w:vertAlign w:val="subscript"/>
        </w:rPr>
        <w:t>j</w:t>
      </w:r>
      <w:r w:rsidRPr="008573C5">
        <w:rPr>
          <w:bCs/>
        </w:rPr>
        <w:t xml:space="preserve">+ </w:t>
      </w:r>
      <w:r w:rsidRPr="008573C5">
        <w:rPr>
          <w:b/>
          <w:bCs/>
        </w:rPr>
        <w:t>β</w:t>
      </w:r>
      <w:r w:rsidRPr="008573C5">
        <w:rPr>
          <w:bCs/>
          <w:vertAlign w:val="subscript"/>
        </w:rPr>
        <w:t>7</w:t>
      </w:r>
      <w:r w:rsidRPr="008573C5">
        <w:rPr>
          <w:bCs/>
        </w:rPr>
        <w:t>MULT</w:t>
      </w:r>
      <w:r w:rsidRPr="008573C5">
        <w:rPr>
          <w:bCs/>
          <w:vertAlign w:val="subscript"/>
        </w:rPr>
        <w:t>j</w:t>
      </w:r>
      <w:r w:rsidRPr="008573C5">
        <w:rPr>
          <w:bCs/>
        </w:rPr>
        <w:t>+ ε</w:t>
      </w:r>
      <w:r w:rsidRPr="008573C5">
        <w:rPr>
          <w:vertAlign w:val="subscript"/>
        </w:rPr>
        <w:t>j</w:t>
      </w:r>
      <w:r w:rsidRPr="008573C5">
        <w:t xml:space="preserve"> </w:t>
      </w:r>
      <w:r w:rsidR="00B86F16" w:rsidRPr="008573C5">
        <w:t>………………………………..(11)</w:t>
      </w:r>
    </w:p>
    <w:p w:rsidR="00983536" w:rsidRPr="008573C5" w:rsidRDefault="00983536" w:rsidP="00983536">
      <w:pPr>
        <w:autoSpaceDE w:val="0"/>
        <w:autoSpaceDN w:val="0"/>
        <w:adjustRightInd w:val="0"/>
        <w:spacing w:line="360" w:lineRule="auto"/>
      </w:pPr>
      <w:r w:rsidRPr="008573C5">
        <w:rPr>
          <w:b/>
        </w:rPr>
        <w:t>Equation A</w:t>
      </w:r>
      <w:r w:rsidRPr="008573C5">
        <w:rPr>
          <w:b/>
          <w:vertAlign w:val="subscript"/>
        </w:rPr>
        <w:t>12</w:t>
      </w:r>
      <w:r w:rsidRPr="008573C5">
        <w:t xml:space="preserve">: DIVOL = </w:t>
      </w:r>
      <w:r w:rsidRPr="008573C5">
        <w:rPr>
          <w:b/>
          <w:bCs/>
        </w:rPr>
        <w:t xml:space="preserve"> β</w:t>
      </w:r>
      <w:r w:rsidRPr="008573C5">
        <w:rPr>
          <w:bCs/>
          <w:vertAlign w:val="subscript"/>
        </w:rPr>
        <w:t xml:space="preserve">0 </w:t>
      </w:r>
      <w:r w:rsidRPr="008573C5">
        <w:rPr>
          <w:bCs/>
        </w:rPr>
        <w:t xml:space="preserve">+ </w:t>
      </w:r>
      <w:r w:rsidRPr="008573C5">
        <w:rPr>
          <w:b/>
          <w:bCs/>
        </w:rPr>
        <w:t>β</w:t>
      </w:r>
      <w:r w:rsidRPr="008573C5">
        <w:rPr>
          <w:bCs/>
          <w:vertAlign w:val="subscript"/>
        </w:rPr>
        <w:t>1</w:t>
      </w:r>
      <w:r w:rsidRPr="008573C5">
        <w:rPr>
          <w:bCs/>
        </w:rPr>
        <w:t>SIZE(LTA)</w:t>
      </w:r>
      <w:r w:rsidRPr="008573C5">
        <w:rPr>
          <w:bCs/>
          <w:vertAlign w:val="subscript"/>
        </w:rPr>
        <w:t>j</w:t>
      </w:r>
      <w:r w:rsidRPr="008573C5">
        <w:rPr>
          <w:b/>
          <w:bCs/>
        </w:rPr>
        <w:t xml:space="preserve"> + β</w:t>
      </w:r>
      <w:r w:rsidRPr="008573C5">
        <w:rPr>
          <w:bCs/>
          <w:vertAlign w:val="subscript"/>
        </w:rPr>
        <w:t>2</w:t>
      </w:r>
      <w:r w:rsidRPr="008573C5">
        <w:rPr>
          <w:bCs/>
        </w:rPr>
        <w:t>PRO</w:t>
      </w:r>
      <w:r w:rsidRPr="008573C5">
        <w:rPr>
          <w:vertAlign w:val="subscript"/>
        </w:rPr>
        <w:t>j</w:t>
      </w:r>
      <w:r w:rsidRPr="008573C5">
        <w:rPr>
          <w:bCs/>
        </w:rPr>
        <w:t xml:space="preserve"> + </w:t>
      </w:r>
      <w:r w:rsidRPr="008573C5">
        <w:rPr>
          <w:b/>
          <w:bCs/>
        </w:rPr>
        <w:t>β</w:t>
      </w:r>
      <w:r w:rsidRPr="008573C5">
        <w:rPr>
          <w:bCs/>
          <w:vertAlign w:val="subscript"/>
        </w:rPr>
        <w:t>3</w:t>
      </w:r>
      <w:r w:rsidRPr="008573C5">
        <w:rPr>
          <w:bCs/>
        </w:rPr>
        <w:t>LEV</w:t>
      </w:r>
      <w:r w:rsidRPr="008573C5">
        <w:rPr>
          <w:vertAlign w:val="subscript"/>
        </w:rPr>
        <w:t>j</w:t>
      </w:r>
      <w:r w:rsidRPr="008573C5">
        <w:rPr>
          <w:bCs/>
        </w:rPr>
        <w:t xml:space="preserve"> + </w:t>
      </w:r>
      <w:r w:rsidRPr="008573C5">
        <w:rPr>
          <w:b/>
          <w:bCs/>
        </w:rPr>
        <w:t>β</w:t>
      </w:r>
      <w:r w:rsidRPr="008573C5">
        <w:rPr>
          <w:bCs/>
          <w:vertAlign w:val="subscript"/>
        </w:rPr>
        <w:t>4</w:t>
      </w:r>
      <w:r w:rsidRPr="008573C5">
        <w:rPr>
          <w:bCs/>
        </w:rPr>
        <w:t>AGE</w:t>
      </w:r>
      <w:r w:rsidRPr="008573C5">
        <w:rPr>
          <w:vertAlign w:val="subscript"/>
        </w:rPr>
        <w:t>j</w:t>
      </w:r>
      <w:r w:rsidRPr="008573C5">
        <w:rPr>
          <w:bCs/>
        </w:rPr>
        <w:t xml:space="preserve"> + </w:t>
      </w:r>
      <w:r w:rsidRPr="008573C5">
        <w:rPr>
          <w:b/>
          <w:bCs/>
        </w:rPr>
        <w:t>β</w:t>
      </w:r>
      <w:r w:rsidRPr="008573C5">
        <w:rPr>
          <w:bCs/>
          <w:vertAlign w:val="subscript"/>
        </w:rPr>
        <w:t>5</w:t>
      </w:r>
      <w:r w:rsidRPr="008573C5">
        <w:rPr>
          <w:bCs/>
        </w:rPr>
        <w:t>SEC</w:t>
      </w:r>
      <w:r w:rsidRPr="008573C5">
        <w:rPr>
          <w:vertAlign w:val="subscript"/>
        </w:rPr>
        <w:t>j</w:t>
      </w:r>
      <w:r w:rsidRPr="008573C5">
        <w:rPr>
          <w:bCs/>
        </w:rPr>
        <w:t xml:space="preserve"> + </w:t>
      </w:r>
      <w:r w:rsidRPr="008573C5">
        <w:rPr>
          <w:b/>
          <w:bCs/>
        </w:rPr>
        <w:t>β</w:t>
      </w:r>
      <w:r w:rsidRPr="008573C5">
        <w:rPr>
          <w:bCs/>
          <w:vertAlign w:val="subscript"/>
        </w:rPr>
        <w:t>6</w:t>
      </w:r>
      <w:r w:rsidRPr="008573C5">
        <w:rPr>
          <w:bCs/>
        </w:rPr>
        <w:t xml:space="preserve"> AUD</w:t>
      </w:r>
      <w:r w:rsidRPr="008573C5">
        <w:rPr>
          <w:bCs/>
          <w:vertAlign w:val="subscript"/>
        </w:rPr>
        <w:t>j</w:t>
      </w:r>
      <w:r w:rsidRPr="008573C5">
        <w:rPr>
          <w:bCs/>
        </w:rPr>
        <w:t xml:space="preserve">+ </w:t>
      </w:r>
      <w:r w:rsidRPr="008573C5">
        <w:rPr>
          <w:b/>
          <w:bCs/>
        </w:rPr>
        <w:t>β</w:t>
      </w:r>
      <w:r w:rsidRPr="008573C5">
        <w:rPr>
          <w:bCs/>
          <w:vertAlign w:val="subscript"/>
        </w:rPr>
        <w:t>7</w:t>
      </w:r>
      <w:r w:rsidRPr="008573C5">
        <w:rPr>
          <w:bCs/>
        </w:rPr>
        <w:t>MULT</w:t>
      </w:r>
      <w:r w:rsidRPr="008573C5">
        <w:rPr>
          <w:bCs/>
          <w:vertAlign w:val="subscript"/>
        </w:rPr>
        <w:t>j</w:t>
      </w:r>
      <w:r w:rsidRPr="008573C5">
        <w:rPr>
          <w:bCs/>
        </w:rPr>
        <w:t>+ ε</w:t>
      </w:r>
      <w:r w:rsidRPr="008573C5">
        <w:rPr>
          <w:vertAlign w:val="subscript"/>
        </w:rPr>
        <w:t>j</w:t>
      </w:r>
      <w:r w:rsidRPr="008573C5">
        <w:t xml:space="preserve"> </w:t>
      </w:r>
      <w:r w:rsidR="00B86F16" w:rsidRPr="008573C5">
        <w:t>………………………………..(12)</w:t>
      </w:r>
    </w:p>
    <w:p w:rsidR="00983536" w:rsidRPr="008573C5" w:rsidRDefault="00983536" w:rsidP="00983536">
      <w:pPr>
        <w:autoSpaceDE w:val="0"/>
        <w:autoSpaceDN w:val="0"/>
        <w:adjustRightInd w:val="0"/>
        <w:spacing w:line="360" w:lineRule="auto"/>
        <w:rPr>
          <w:b/>
        </w:rPr>
      </w:pPr>
    </w:p>
    <w:p w:rsidR="00983536" w:rsidRPr="008573C5" w:rsidRDefault="00983536" w:rsidP="00983536">
      <w:pPr>
        <w:autoSpaceDE w:val="0"/>
        <w:autoSpaceDN w:val="0"/>
        <w:adjustRightInd w:val="0"/>
        <w:spacing w:line="360" w:lineRule="auto"/>
        <w:rPr>
          <w:b/>
        </w:rPr>
      </w:pPr>
      <w:r w:rsidRPr="008573C5">
        <w:rPr>
          <w:b/>
        </w:rPr>
        <w:t>Model 4</w:t>
      </w:r>
    </w:p>
    <w:p w:rsidR="00B8368C" w:rsidRPr="008573C5" w:rsidRDefault="008B7F0C" w:rsidP="00B8368C">
      <w:pPr>
        <w:spacing w:before="100" w:beforeAutospacing="1" w:after="100" w:afterAutospacing="1" w:line="360" w:lineRule="auto"/>
        <w:jc w:val="both"/>
      </w:pPr>
      <w:r>
        <w:t xml:space="preserve">The </w:t>
      </w:r>
      <w:r w:rsidR="00C74BC3" w:rsidRPr="008573C5">
        <w:t>original four multivariate equations (Model 1) using ranked OLS and log transformation of total assets as a proxy for company size</w:t>
      </w:r>
      <w:r>
        <w:t xml:space="preserve"> are repeated</w:t>
      </w:r>
      <w:r w:rsidR="00C74BC3" w:rsidRPr="008573C5">
        <w:t>.</w:t>
      </w:r>
      <w:r w:rsidR="00B8368C" w:rsidRPr="008573C5">
        <w:t xml:space="preserve"> The full specification of the regression equations are assumed to be as follows:</w:t>
      </w:r>
    </w:p>
    <w:p w:rsidR="00983536" w:rsidRPr="008573C5" w:rsidRDefault="00983536" w:rsidP="000572FE">
      <w:pPr>
        <w:spacing w:line="360" w:lineRule="auto"/>
        <w:jc w:val="both"/>
        <w:rPr>
          <w:b/>
          <w:bCs/>
        </w:rPr>
      </w:pPr>
      <w:r w:rsidRPr="008573C5">
        <w:rPr>
          <w:b/>
        </w:rPr>
        <w:t>Equation A</w:t>
      </w:r>
      <w:r w:rsidRPr="008573C5">
        <w:rPr>
          <w:b/>
          <w:vertAlign w:val="subscript"/>
        </w:rPr>
        <w:t>13</w:t>
      </w:r>
      <w:r w:rsidRPr="008573C5">
        <w:t>: RODI</w:t>
      </w:r>
      <w:r w:rsidRPr="008573C5">
        <w:rPr>
          <w:vertAlign w:val="subscript"/>
        </w:rPr>
        <w:t>j</w:t>
      </w:r>
      <w:r w:rsidRPr="008573C5">
        <w:t xml:space="preserve"> = </w:t>
      </w:r>
      <w:r w:rsidRPr="008573C5">
        <w:rPr>
          <w:b/>
          <w:bCs/>
        </w:rPr>
        <w:t xml:space="preserve"> β</w:t>
      </w:r>
      <w:r w:rsidRPr="008573C5">
        <w:rPr>
          <w:bCs/>
          <w:vertAlign w:val="subscript"/>
        </w:rPr>
        <w:t xml:space="preserve">0 </w:t>
      </w:r>
      <w:r w:rsidRPr="008573C5">
        <w:rPr>
          <w:bCs/>
        </w:rPr>
        <w:t xml:space="preserve">+ </w:t>
      </w:r>
      <w:r w:rsidRPr="008573C5">
        <w:rPr>
          <w:b/>
          <w:bCs/>
        </w:rPr>
        <w:t>β</w:t>
      </w:r>
      <w:r w:rsidRPr="008573C5">
        <w:rPr>
          <w:bCs/>
          <w:vertAlign w:val="subscript"/>
        </w:rPr>
        <w:t>1</w:t>
      </w:r>
      <w:r w:rsidRPr="008573C5">
        <w:rPr>
          <w:bCs/>
        </w:rPr>
        <w:t>RSIZE(LTA)</w:t>
      </w:r>
      <w:r w:rsidRPr="008573C5">
        <w:rPr>
          <w:vertAlign w:val="subscript"/>
        </w:rPr>
        <w:t>j</w:t>
      </w:r>
      <w:r w:rsidRPr="008573C5">
        <w:rPr>
          <w:bCs/>
        </w:rPr>
        <w:t xml:space="preserve"> + </w:t>
      </w:r>
      <w:r w:rsidRPr="008573C5">
        <w:rPr>
          <w:b/>
          <w:bCs/>
        </w:rPr>
        <w:t>β</w:t>
      </w:r>
      <w:r w:rsidRPr="008573C5">
        <w:rPr>
          <w:bCs/>
          <w:vertAlign w:val="subscript"/>
        </w:rPr>
        <w:t>2</w:t>
      </w:r>
      <w:r w:rsidRPr="008573C5">
        <w:rPr>
          <w:bCs/>
        </w:rPr>
        <w:t>RPRO</w:t>
      </w:r>
      <w:r w:rsidRPr="008573C5">
        <w:rPr>
          <w:vertAlign w:val="subscript"/>
        </w:rPr>
        <w:t>j</w:t>
      </w:r>
      <w:r w:rsidRPr="008573C5">
        <w:rPr>
          <w:bCs/>
        </w:rPr>
        <w:t xml:space="preserve"> + </w:t>
      </w:r>
      <w:r w:rsidRPr="008573C5">
        <w:rPr>
          <w:b/>
          <w:bCs/>
        </w:rPr>
        <w:t>β</w:t>
      </w:r>
      <w:r w:rsidRPr="008573C5">
        <w:rPr>
          <w:bCs/>
          <w:vertAlign w:val="subscript"/>
        </w:rPr>
        <w:t>3</w:t>
      </w:r>
      <w:r w:rsidRPr="008573C5">
        <w:rPr>
          <w:bCs/>
        </w:rPr>
        <w:t>RLEV</w:t>
      </w:r>
      <w:r w:rsidRPr="008573C5">
        <w:rPr>
          <w:vertAlign w:val="subscript"/>
        </w:rPr>
        <w:t>j</w:t>
      </w:r>
      <w:r w:rsidRPr="008573C5">
        <w:rPr>
          <w:bCs/>
        </w:rPr>
        <w:t xml:space="preserve"> + </w:t>
      </w:r>
      <w:r w:rsidRPr="008573C5">
        <w:rPr>
          <w:b/>
          <w:bCs/>
        </w:rPr>
        <w:t>β</w:t>
      </w:r>
      <w:r w:rsidRPr="008573C5">
        <w:rPr>
          <w:bCs/>
          <w:vertAlign w:val="subscript"/>
        </w:rPr>
        <w:t>4</w:t>
      </w:r>
      <w:r w:rsidRPr="008573C5">
        <w:rPr>
          <w:bCs/>
        </w:rPr>
        <w:t>RAGE</w:t>
      </w:r>
      <w:r w:rsidRPr="008573C5">
        <w:rPr>
          <w:vertAlign w:val="subscript"/>
        </w:rPr>
        <w:t>j</w:t>
      </w:r>
      <w:r w:rsidRPr="008573C5">
        <w:rPr>
          <w:bCs/>
        </w:rPr>
        <w:t xml:space="preserve"> + </w:t>
      </w:r>
      <w:r w:rsidRPr="008573C5">
        <w:rPr>
          <w:b/>
          <w:bCs/>
        </w:rPr>
        <w:t>β</w:t>
      </w:r>
      <w:r w:rsidRPr="008573C5">
        <w:rPr>
          <w:bCs/>
          <w:vertAlign w:val="subscript"/>
        </w:rPr>
        <w:t>5</w:t>
      </w:r>
      <w:r w:rsidRPr="008573C5">
        <w:rPr>
          <w:bCs/>
        </w:rPr>
        <w:t>SEC</w:t>
      </w:r>
      <w:r w:rsidRPr="008573C5">
        <w:rPr>
          <w:vertAlign w:val="subscript"/>
        </w:rPr>
        <w:t>j</w:t>
      </w:r>
      <w:r w:rsidRPr="008573C5">
        <w:rPr>
          <w:bCs/>
        </w:rPr>
        <w:t xml:space="preserve"> + </w:t>
      </w:r>
      <w:r w:rsidRPr="008573C5">
        <w:rPr>
          <w:b/>
          <w:bCs/>
        </w:rPr>
        <w:t>β</w:t>
      </w:r>
      <w:r w:rsidRPr="008573C5">
        <w:rPr>
          <w:bCs/>
          <w:vertAlign w:val="subscript"/>
        </w:rPr>
        <w:t>6</w:t>
      </w:r>
      <w:r w:rsidRPr="008573C5">
        <w:rPr>
          <w:bCs/>
        </w:rPr>
        <w:t xml:space="preserve"> AUD</w:t>
      </w:r>
      <w:r w:rsidRPr="008573C5">
        <w:rPr>
          <w:bCs/>
          <w:vertAlign w:val="subscript"/>
        </w:rPr>
        <w:t>j</w:t>
      </w:r>
      <w:r w:rsidRPr="008573C5">
        <w:rPr>
          <w:bCs/>
        </w:rPr>
        <w:t xml:space="preserve">+ </w:t>
      </w:r>
      <w:r w:rsidRPr="008573C5">
        <w:rPr>
          <w:b/>
          <w:bCs/>
        </w:rPr>
        <w:t>β</w:t>
      </w:r>
      <w:r w:rsidRPr="008573C5">
        <w:rPr>
          <w:bCs/>
          <w:vertAlign w:val="subscript"/>
        </w:rPr>
        <w:t>7</w:t>
      </w:r>
      <w:r w:rsidRPr="008573C5">
        <w:rPr>
          <w:bCs/>
        </w:rPr>
        <w:t>RMULT</w:t>
      </w:r>
      <w:r w:rsidRPr="008573C5">
        <w:rPr>
          <w:bCs/>
          <w:vertAlign w:val="subscript"/>
        </w:rPr>
        <w:t>j</w:t>
      </w:r>
      <w:r w:rsidRPr="008573C5">
        <w:rPr>
          <w:bCs/>
        </w:rPr>
        <w:t>+ ε</w:t>
      </w:r>
      <w:r w:rsidRPr="008573C5">
        <w:rPr>
          <w:vertAlign w:val="subscript"/>
        </w:rPr>
        <w:t>j</w:t>
      </w:r>
      <w:r w:rsidR="00453D95" w:rsidRPr="008573C5">
        <w:t>………………………(13)</w:t>
      </w:r>
    </w:p>
    <w:p w:rsidR="00983536" w:rsidRPr="008573C5" w:rsidRDefault="00983536" w:rsidP="000572FE">
      <w:pPr>
        <w:autoSpaceDE w:val="0"/>
        <w:autoSpaceDN w:val="0"/>
        <w:adjustRightInd w:val="0"/>
        <w:spacing w:line="360" w:lineRule="auto"/>
        <w:jc w:val="both"/>
        <w:rPr>
          <w:b/>
          <w:bCs/>
        </w:rPr>
      </w:pPr>
      <w:r w:rsidRPr="008573C5">
        <w:rPr>
          <w:b/>
        </w:rPr>
        <w:t>Equation A</w:t>
      </w:r>
      <w:r w:rsidRPr="008573C5">
        <w:rPr>
          <w:b/>
          <w:vertAlign w:val="subscript"/>
        </w:rPr>
        <w:t>14</w:t>
      </w:r>
      <w:r w:rsidRPr="008573C5">
        <w:t>: DISAS</w:t>
      </w:r>
      <w:r w:rsidRPr="008573C5">
        <w:rPr>
          <w:vertAlign w:val="subscript"/>
        </w:rPr>
        <w:t>j</w:t>
      </w:r>
      <w:r w:rsidRPr="008573C5">
        <w:t xml:space="preserve"> = </w:t>
      </w:r>
      <w:r w:rsidRPr="008573C5">
        <w:rPr>
          <w:b/>
          <w:bCs/>
        </w:rPr>
        <w:t>β</w:t>
      </w:r>
      <w:r w:rsidRPr="008573C5">
        <w:rPr>
          <w:bCs/>
          <w:vertAlign w:val="subscript"/>
        </w:rPr>
        <w:t xml:space="preserve">0 </w:t>
      </w:r>
      <w:r w:rsidRPr="008573C5">
        <w:rPr>
          <w:bCs/>
        </w:rPr>
        <w:t xml:space="preserve">+ </w:t>
      </w:r>
      <w:r w:rsidRPr="008573C5">
        <w:rPr>
          <w:b/>
          <w:bCs/>
        </w:rPr>
        <w:t>β</w:t>
      </w:r>
      <w:r w:rsidRPr="008573C5">
        <w:rPr>
          <w:bCs/>
          <w:vertAlign w:val="subscript"/>
        </w:rPr>
        <w:t>1</w:t>
      </w:r>
      <w:r w:rsidRPr="008573C5">
        <w:rPr>
          <w:bCs/>
        </w:rPr>
        <w:t>RSIZE(LTA)</w:t>
      </w:r>
      <w:r w:rsidRPr="008573C5">
        <w:rPr>
          <w:vertAlign w:val="subscript"/>
        </w:rPr>
        <w:t>j</w:t>
      </w:r>
      <w:r w:rsidRPr="008573C5">
        <w:rPr>
          <w:bCs/>
        </w:rPr>
        <w:t xml:space="preserve"> + </w:t>
      </w:r>
      <w:r w:rsidRPr="008573C5">
        <w:rPr>
          <w:b/>
          <w:bCs/>
        </w:rPr>
        <w:t>β</w:t>
      </w:r>
      <w:r w:rsidRPr="008573C5">
        <w:rPr>
          <w:bCs/>
          <w:vertAlign w:val="subscript"/>
        </w:rPr>
        <w:t>2</w:t>
      </w:r>
      <w:r w:rsidRPr="008573C5">
        <w:rPr>
          <w:bCs/>
        </w:rPr>
        <w:t>RPRO</w:t>
      </w:r>
      <w:r w:rsidRPr="008573C5">
        <w:rPr>
          <w:vertAlign w:val="subscript"/>
        </w:rPr>
        <w:t>j</w:t>
      </w:r>
      <w:r w:rsidRPr="008573C5">
        <w:rPr>
          <w:bCs/>
        </w:rPr>
        <w:t xml:space="preserve"> + </w:t>
      </w:r>
      <w:r w:rsidRPr="008573C5">
        <w:rPr>
          <w:b/>
          <w:bCs/>
        </w:rPr>
        <w:t>β</w:t>
      </w:r>
      <w:r w:rsidRPr="008573C5">
        <w:rPr>
          <w:bCs/>
          <w:vertAlign w:val="subscript"/>
        </w:rPr>
        <w:t>3</w:t>
      </w:r>
      <w:r w:rsidRPr="008573C5">
        <w:rPr>
          <w:bCs/>
        </w:rPr>
        <w:t>RLEV</w:t>
      </w:r>
      <w:r w:rsidRPr="008573C5">
        <w:rPr>
          <w:vertAlign w:val="subscript"/>
        </w:rPr>
        <w:t>j</w:t>
      </w:r>
      <w:r w:rsidRPr="008573C5">
        <w:rPr>
          <w:bCs/>
        </w:rPr>
        <w:t xml:space="preserve"> + </w:t>
      </w:r>
      <w:r w:rsidRPr="008573C5">
        <w:rPr>
          <w:b/>
          <w:bCs/>
        </w:rPr>
        <w:t>β</w:t>
      </w:r>
      <w:r w:rsidRPr="008573C5">
        <w:rPr>
          <w:bCs/>
          <w:vertAlign w:val="subscript"/>
        </w:rPr>
        <w:t>4</w:t>
      </w:r>
      <w:r w:rsidRPr="008573C5">
        <w:rPr>
          <w:bCs/>
        </w:rPr>
        <w:t>RAGE</w:t>
      </w:r>
      <w:r w:rsidRPr="008573C5">
        <w:rPr>
          <w:vertAlign w:val="subscript"/>
        </w:rPr>
        <w:t>j</w:t>
      </w:r>
      <w:r w:rsidRPr="008573C5">
        <w:rPr>
          <w:bCs/>
        </w:rPr>
        <w:t xml:space="preserve"> + </w:t>
      </w:r>
      <w:r w:rsidRPr="008573C5">
        <w:rPr>
          <w:b/>
          <w:bCs/>
        </w:rPr>
        <w:t>β</w:t>
      </w:r>
      <w:r w:rsidRPr="008573C5">
        <w:rPr>
          <w:bCs/>
          <w:vertAlign w:val="subscript"/>
        </w:rPr>
        <w:t>5</w:t>
      </w:r>
      <w:r w:rsidRPr="008573C5">
        <w:rPr>
          <w:bCs/>
        </w:rPr>
        <w:t>SEC</w:t>
      </w:r>
      <w:r w:rsidRPr="008573C5">
        <w:rPr>
          <w:vertAlign w:val="subscript"/>
        </w:rPr>
        <w:t>j</w:t>
      </w:r>
      <w:r w:rsidRPr="008573C5">
        <w:rPr>
          <w:bCs/>
        </w:rPr>
        <w:t xml:space="preserve"> + </w:t>
      </w:r>
      <w:r w:rsidRPr="008573C5">
        <w:rPr>
          <w:b/>
          <w:bCs/>
        </w:rPr>
        <w:t>β</w:t>
      </w:r>
      <w:r w:rsidRPr="008573C5">
        <w:rPr>
          <w:bCs/>
          <w:vertAlign w:val="subscript"/>
        </w:rPr>
        <w:t>6</w:t>
      </w:r>
      <w:r w:rsidRPr="008573C5">
        <w:rPr>
          <w:bCs/>
        </w:rPr>
        <w:t xml:space="preserve"> AUD</w:t>
      </w:r>
      <w:r w:rsidRPr="008573C5">
        <w:rPr>
          <w:bCs/>
          <w:vertAlign w:val="subscript"/>
        </w:rPr>
        <w:t>j</w:t>
      </w:r>
      <w:r w:rsidRPr="008573C5">
        <w:rPr>
          <w:bCs/>
        </w:rPr>
        <w:t xml:space="preserve">+ </w:t>
      </w:r>
      <w:r w:rsidRPr="008573C5">
        <w:rPr>
          <w:b/>
          <w:bCs/>
        </w:rPr>
        <w:t>β</w:t>
      </w:r>
      <w:r w:rsidRPr="008573C5">
        <w:rPr>
          <w:bCs/>
          <w:vertAlign w:val="subscript"/>
        </w:rPr>
        <w:t>7</w:t>
      </w:r>
      <w:r w:rsidRPr="008573C5">
        <w:rPr>
          <w:bCs/>
        </w:rPr>
        <w:t>RMULT</w:t>
      </w:r>
      <w:r w:rsidRPr="008573C5">
        <w:rPr>
          <w:bCs/>
          <w:vertAlign w:val="subscript"/>
        </w:rPr>
        <w:t>j</w:t>
      </w:r>
      <w:r w:rsidRPr="008573C5">
        <w:rPr>
          <w:bCs/>
        </w:rPr>
        <w:t>+ ε</w:t>
      </w:r>
      <w:r w:rsidRPr="008573C5">
        <w:rPr>
          <w:vertAlign w:val="subscript"/>
        </w:rPr>
        <w:t>j</w:t>
      </w:r>
      <w:r w:rsidR="00453D95" w:rsidRPr="008573C5">
        <w:t xml:space="preserve"> ………………………(14)</w:t>
      </w:r>
    </w:p>
    <w:p w:rsidR="00983536" w:rsidRPr="008573C5" w:rsidRDefault="00983536" w:rsidP="00983536">
      <w:pPr>
        <w:autoSpaceDE w:val="0"/>
        <w:autoSpaceDN w:val="0"/>
        <w:adjustRightInd w:val="0"/>
        <w:spacing w:line="360" w:lineRule="auto"/>
        <w:jc w:val="both"/>
        <w:rPr>
          <w:b/>
          <w:bCs/>
        </w:rPr>
      </w:pPr>
      <w:r w:rsidRPr="008573C5">
        <w:rPr>
          <w:b/>
        </w:rPr>
        <w:t>Equation A</w:t>
      </w:r>
      <w:r w:rsidRPr="008573C5">
        <w:rPr>
          <w:b/>
          <w:vertAlign w:val="subscript"/>
        </w:rPr>
        <w:t>15</w:t>
      </w:r>
      <w:r w:rsidRPr="008573C5">
        <w:t xml:space="preserve">: DIFRS = </w:t>
      </w:r>
      <w:r w:rsidRPr="008573C5">
        <w:rPr>
          <w:b/>
          <w:bCs/>
        </w:rPr>
        <w:t>β</w:t>
      </w:r>
      <w:r w:rsidRPr="008573C5">
        <w:rPr>
          <w:bCs/>
          <w:vertAlign w:val="subscript"/>
        </w:rPr>
        <w:t xml:space="preserve">0 </w:t>
      </w:r>
      <w:r w:rsidRPr="008573C5">
        <w:rPr>
          <w:bCs/>
        </w:rPr>
        <w:t xml:space="preserve">+ </w:t>
      </w:r>
      <w:r w:rsidRPr="008573C5">
        <w:rPr>
          <w:b/>
          <w:bCs/>
        </w:rPr>
        <w:t>β</w:t>
      </w:r>
      <w:r w:rsidRPr="008573C5">
        <w:rPr>
          <w:bCs/>
          <w:vertAlign w:val="subscript"/>
        </w:rPr>
        <w:t>1</w:t>
      </w:r>
      <w:r w:rsidRPr="008573C5">
        <w:rPr>
          <w:bCs/>
        </w:rPr>
        <w:t>RSIZE(LTA)</w:t>
      </w:r>
      <w:r w:rsidRPr="008573C5">
        <w:rPr>
          <w:vertAlign w:val="subscript"/>
        </w:rPr>
        <w:t>j</w:t>
      </w:r>
      <w:r w:rsidRPr="008573C5">
        <w:rPr>
          <w:bCs/>
        </w:rPr>
        <w:t xml:space="preserve"> + </w:t>
      </w:r>
      <w:r w:rsidRPr="008573C5">
        <w:rPr>
          <w:b/>
          <w:bCs/>
        </w:rPr>
        <w:t>β</w:t>
      </w:r>
      <w:r w:rsidRPr="008573C5">
        <w:rPr>
          <w:bCs/>
          <w:vertAlign w:val="subscript"/>
        </w:rPr>
        <w:t>2</w:t>
      </w:r>
      <w:r w:rsidRPr="008573C5">
        <w:rPr>
          <w:bCs/>
        </w:rPr>
        <w:t>RPRO</w:t>
      </w:r>
      <w:r w:rsidRPr="008573C5">
        <w:rPr>
          <w:vertAlign w:val="subscript"/>
        </w:rPr>
        <w:t>j</w:t>
      </w:r>
      <w:r w:rsidRPr="008573C5">
        <w:rPr>
          <w:bCs/>
        </w:rPr>
        <w:t xml:space="preserve"> + </w:t>
      </w:r>
      <w:r w:rsidRPr="008573C5">
        <w:rPr>
          <w:b/>
          <w:bCs/>
        </w:rPr>
        <w:t>β</w:t>
      </w:r>
      <w:r w:rsidRPr="008573C5">
        <w:rPr>
          <w:bCs/>
          <w:vertAlign w:val="subscript"/>
        </w:rPr>
        <w:t>3</w:t>
      </w:r>
      <w:r w:rsidRPr="008573C5">
        <w:rPr>
          <w:bCs/>
        </w:rPr>
        <w:t>RLEV</w:t>
      </w:r>
      <w:r w:rsidRPr="008573C5">
        <w:rPr>
          <w:vertAlign w:val="subscript"/>
        </w:rPr>
        <w:t>j</w:t>
      </w:r>
      <w:r w:rsidRPr="008573C5">
        <w:rPr>
          <w:bCs/>
        </w:rPr>
        <w:t xml:space="preserve"> + </w:t>
      </w:r>
      <w:r w:rsidRPr="008573C5">
        <w:rPr>
          <w:b/>
          <w:bCs/>
        </w:rPr>
        <w:t>β</w:t>
      </w:r>
      <w:r w:rsidRPr="008573C5">
        <w:rPr>
          <w:bCs/>
          <w:vertAlign w:val="subscript"/>
        </w:rPr>
        <w:t>4</w:t>
      </w:r>
      <w:r w:rsidRPr="008573C5">
        <w:rPr>
          <w:bCs/>
        </w:rPr>
        <w:t>RAGE</w:t>
      </w:r>
      <w:r w:rsidRPr="008573C5">
        <w:rPr>
          <w:vertAlign w:val="subscript"/>
        </w:rPr>
        <w:t>j</w:t>
      </w:r>
      <w:r w:rsidRPr="008573C5">
        <w:rPr>
          <w:bCs/>
        </w:rPr>
        <w:t xml:space="preserve"> + </w:t>
      </w:r>
      <w:r w:rsidRPr="008573C5">
        <w:rPr>
          <w:b/>
          <w:bCs/>
        </w:rPr>
        <w:t>β</w:t>
      </w:r>
      <w:r w:rsidRPr="008573C5">
        <w:rPr>
          <w:bCs/>
          <w:vertAlign w:val="subscript"/>
        </w:rPr>
        <w:t>5</w:t>
      </w:r>
      <w:r w:rsidRPr="008573C5">
        <w:rPr>
          <w:bCs/>
        </w:rPr>
        <w:t>SEC</w:t>
      </w:r>
      <w:r w:rsidRPr="008573C5">
        <w:rPr>
          <w:vertAlign w:val="subscript"/>
        </w:rPr>
        <w:t>j</w:t>
      </w:r>
      <w:r w:rsidRPr="008573C5">
        <w:rPr>
          <w:bCs/>
        </w:rPr>
        <w:t xml:space="preserve"> + </w:t>
      </w:r>
      <w:r w:rsidRPr="008573C5">
        <w:rPr>
          <w:b/>
          <w:bCs/>
        </w:rPr>
        <w:t>β</w:t>
      </w:r>
      <w:r w:rsidRPr="008573C5">
        <w:rPr>
          <w:bCs/>
          <w:vertAlign w:val="subscript"/>
        </w:rPr>
        <w:t>6</w:t>
      </w:r>
      <w:r w:rsidRPr="008573C5">
        <w:rPr>
          <w:bCs/>
        </w:rPr>
        <w:t xml:space="preserve"> AUD</w:t>
      </w:r>
      <w:r w:rsidRPr="008573C5">
        <w:rPr>
          <w:bCs/>
          <w:vertAlign w:val="subscript"/>
        </w:rPr>
        <w:t>j</w:t>
      </w:r>
      <w:r w:rsidRPr="008573C5">
        <w:rPr>
          <w:bCs/>
        </w:rPr>
        <w:t xml:space="preserve">+ </w:t>
      </w:r>
      <w:r w:rsidRPr="008573C5">
        <w:rPr>
          <w:b/>
          <w:bCs/>
        </w:rPr>
        <w:t>β</w:t>
      </w:r>
      <w:r w:rsidRPr="008573C5">
        <w:rPr>
          <w:bCs/>
          <w:vertAlign w:val="subscript"/>
        </w:rPr>
        <w:t>7</w:t>
      </w:r>
      <w:r w:rsidRPr="008573C5">
        <w:rPr>
          <w:bCs/>
        </w:rPr>
        <w:t>RMULT</w:t>
      </w:r>
      <w:r w:rsidRPr="008573C5">
        <w:rPr>
          <w:bCs/>
          <w:vertAlign w:val="subscript"/>
        </w:rPr>
        <w:t>j</w:t>
      </w:r>
      <w:r w:rsidRPr="008573C5">
        <w:rPr>
          <w:bCs/>
        </w:rPr>
        <w:t>+ ε</w:t>
      </w:r>
      <w:r w:rsidRPr="008573C5">
        <w:rPr>
          <w:vertAlign w:val="subscript"/>
        </w:rPr>
        <w:t>j</w:t>
      </w:r>
      <w:r w:rsidR="00453D95" w:rsidRPr="008573C5">
        <w:rPr>
          <w:vertAlign w:val="subscript"/>
        </w:rPr>
        <w:t xml:space="preserve"> </w:t>
      </w:r>
      <w:r w:rsidR="00453D95" w:rsidRPr="008573C5">
        <w:t>……………………….(15)</w:t>
      </w:r>
    </w:p>
    <w:p w:rsidR="00983536" w:rsidRPr="008573C5" w:rsidRDefault="00983536" w:rsidP="00983536">
      <w:pPr>
        <w:autoSpaceDE w:val="0"/>
        <w:autoSpaceDN w:val="0"/>
        <w:adjustRightInd w:val="0"/>
        <w:spacing w:line="360" w:lineRule="auto"/>
        <w:jc w:val="both"/>
        <w:rPr>
          <w:b/>
          <w:bCs/>
        </w:rPr>
      </w:pPr>
      <w:r w:rsidRPr="008573C5">
        <w:rPr>
          <w:b/>
        </w:rPr>
        <w:t>Equation A</w:t>
      </w:r>
      <w:r w:rsidRPr="008573C5">
        <w:rPr>
          <w:b/>
          <w:vertAlign w:val="subscript"/>
        </w:rPr>
        <w:t>16</w:t>
      </w:r>
      <w:r w:rsidRPr="008573C5">
        <w:t xml:space="preserve">: DIVOL = </w:t>
      </w:r>
      <w:r w:rsidRPr="008573C5">
        <w:rPr>
          <w:b/>
          <w:bCs/>
        </w:rPr>
        <w:t>β</w:t>
      </w:r>
      <w:r w:rsidRPr="008573C5">
        <w:rPr>
          <w:bCs/>
          <w:vertAlign w:val="subscript"/>
        </w:rPr>
        <w:t xml:space="preserve">0 </w:t>
      </w:r>
      <w:r w:rsidRPr="008573C5">
        <w:rPr>
          <w:bCs/>
        </w:rPr>
        <w:t xml:space="preserve">+ </w:t>
      </w:r>
      <w:r w:rsidRPr="008573C5">
        <w:rPr>
          <w:b/>
          <w:bCs/>
        </w:rPr>
        <w:t>β</w:t>
      </w:r>
      <w:r w:rsidRPr="008573C5">
        <w:rPr>
          <w:bCs/>
          <w:vertAlign w:val="subscript"/>
        </w:rPr>
        <w:t>1</w:t>
      </w:r>
      <w:r w:rsidRPr="008573C5">
        <w:rPr>
          <w:bCs/>
        </w:rPr>
        <w:t>RSIZE(LTA)</w:t>
      </w:r>
      <w:r w:rsidRPr="008573C5">
        <w:rPr>
          <w:vertAlign w:val="subscript"/>
        </w:rPr>
        <w:t>j</w:t>
      </w:r>
      <w:r w:rsidRPr="008573C5">
        <w:rPr>
          <w:bCs/>
        </w:rPr>
        <w:t xml:space="preserve"> + </w:t>
      </w:r>
      <w:r w:rsidRPr="008573C5">
        <w:rPr>
          <w:b/>
          <w:bCs/>
        </w:rPr>
        <w:t>β</w:t>
      </w:r>
      <w:r w:rsidRPr="008573C5">
        <w:rPr>
          <w:bCs/>
          <w:vertAlign w:val="subscript"/>
        </w:rPr>
        <w:t>2</w:t>
      </w:r>
      <w:r w:rsidRPr="008573C5">
        <w:rPr>
          <w:bCs/>
        </w:rPr>
        <w:t>RPRO</w:t>
      </w:r>
      <w:r w:rsidRPr="008573C5">
        <w:rPr>
          <w:vertAlign w:val="subscript"/>
        </w:rPr>
        <w:t>j</w:t>
      </w:r>
      <w:r w:rsidRPr="008573C5">
        <w:rPr>
          <w:bCs/>
        </w:rPr>
        <w:t xml:space="preserve"> + </w:t>
      </w:r>
      <w:r w:rsidRPr="008573C5">
        <w:rPr>
          <w:b/>
          <w:bCs/>
        </w:rPr>
        <w:t>β</w:t>
      </w:r>
      <w:r w:rsidRPr="008573C5">
        <w:rPr>
          <w:bCs/>
          <w:vertAlign w:val="subscript"/>
        </w:rPr>
        <w:t>3</w:t>
      </w:r>
      <w:r w:rsidRPr="008573C5">
        <w:rPr>
          <w:bCs/>
        </w:rPr>
        <w:t>RLEV</w:t>
      </w:r>
      <w:r w:rsidRPr="008573C5">
        <w:rPr>
          <w:vertAlign w:val="subscript"/>
        </w:rPr>
        <w:t>j</w:t>
      </w:r>
      <w:r w:rsidRPr="008573C5">
        <w:rPr>
          <w:bCs/>
        </w:rPr>
        <w:t xml:space="preserve"> + </w:t>
      </w:r>
      <w:r w:rsidRPr="008573C5">
        <w:rPr>
          <w:b/>
          <w:bCs/>
        </w:rPr>
        <w:t>β</w:t>
      </w:r>
      <w:r w:rsidRPr="008573C5">
        <w:rPr>
          <w:bCs/>
          <w:vertAlign w:val="subscript"/>
        </w:rPr>
        <w:t>4</w:t>
      </w:r>
      <w:r w:rsidRPr="008573C5">
        <w:rPr>
          <w:bCs/>
        </w:rPr>
        <w:t>RAGE</w:t>
      </w:r>
      <w:r w:rsidRPr="008573C5">
        <w:rPr>
          <w:vertAlign w:val="subscript"/>
        </w:rPr>
        <w:t>j</w:t>
      </w:r>
      <w:r w:rsidRPr="008573C5">
        <w:rPr>
          <w:bCs/>
        </w:rPr>
        <w:t xml:space="preserve"> + </w:t>
      </w:r>
      <w:r w:rsidRPr="008573C5">
        <w:rPr>
          <w:b/>
          <w:bCs/>
        </w:rPr>
        <w:t>β</w:t>
      </w:r>
      <w:r w:rsidRPr="008573C5">
        <w:rPr>
          <w:bCs/>
          <w:vertAlign w:val="subscript"/>
        </w:rPr>
        <w:t>5</w:t>
      </w:r>
      <w:r w:rsidRPr="008573C5">
        <w:rPr>
          <w:bCs/>
        </w:rPr>
        <w:t>SEC</w:t>
      </w:r>
      <w:r w:rsidRPr="008573C5">
        <w:rPr>
          <w:vertAlign w:val="subscript"/>
        </w:rPr>
        <w:t>j</w:t>
      </w:r>
      <w:r w:rsidRPr="008573C5">
        <w:rPr>
          <w:bCs/>
        </w:rPr>
        <w:t xml:space="preserve"> + </w:t>
      </w:r>
      <w:r w:rsidRPr="008573C5">
        <w:rPr>
          <w:b/>
          <w:bCs/>
        </w:rPr>
        <w:t>β</w:t>
      </w:r>
      <w:r w:rsidRPr="008573C5">
        <w:rPr>
          <w:bCs/>
          <w:vertAlign w:val="subscript"/>
        </w:rPr>
        <w:t>6</w:t>
      </w:r>
      <w:r w:rsidRPr="008573C5">
        <w:rPr>
          <w:bCs/>
        </w:rPr>
        <w:t xml:space="preserve"> AUD</w:t>
      </w:r>
      <w:r w:rsidRPr="008573C5">
        <w:rPr>
          <w:bCs/>
          <w:vertAlign w:val="subscript"/>
        </w:rPr>
        <w:t>j</w:t>
      </w:r>
      <w:r w:rsidRPr="008573C5">
        <w:rPr>
          <w:bCs/>
        </w:rPr>
        <w:t xml:space="preserve">+ </w:t>
      </w:r>
      <w:r w:rsidRPr="008573C5">
        <w:rPr>
          <w:b/>
          <w:bCs/>
        </w:rPr>
        <w:t>β</w:t>
      </w:r>
      <w:r w:rsidRPr="008573C5">
        <w:rPr>
          <w:bCs/>
          <w:vertAlign w:val="subscript"/>
        </w:rPr>
        <w:t>7</w:t>
      </w:r>
      <w:r w:rsidRPr="008573C5">
        <w:rPr>
          <w:bCs/>
        </w:rPr>
        <w:t>RMULT</w:t>
      </w:r>
      <w:r w:rsidRPr="008573C5">
        <w:rPr>
          <w:bCs/>
          <w:vertAlign w:val="subscript"/>
        </w:rPr>
        <w:t>j</w:t>
      </w:r>
      <w:r w:rsidRPr="008573C5">
        <w:rPr>
          <w:bCs/>
        </w:rPr>
        <w:t>+ ε</w:t>
      </w:r>
      <w:r w:rsidRPr="008573C5">
        <w:rPr>
          <w:vertAlign w:val="subscript"/>
        </w:rPr>
        <w:t>j</w:t>
      </w:r>
      <w:r w:rsidR="00453D95" w:rsidRPr="008573C5">
        <w:rPr>
          <w:vertAlign w:val="subscript"/>
        </w:rPr>
        <w:t xml:space="preserve"> </w:t>
      </w:r>
      <w:r w:rsidR="00453D95" w:rsidRPr="008573C5">
        <w:t>………………………..(16)</w:t>
      </w:r>
    </w:p>
    <w:p w:rsidR="00A96B32" w:rsidRPr="008573C5" w:rsidRDefault="00A96B32" w:rsidP="00D554C7">
      <w:pPr>
        <w:autoSpaceDE w:val="0"/>
        <w:autoSpaceDN w:val="0"/>
        <w:adjustRightInd w:val="0"/>
        <w:spacing w:line="360" w:lineRule="auto"/>
        <w:jc w:val="both"/>
        <w:rPr>
          <w:rFonts w:eastAsia="Calibri"/>
        </w:rPr>
      </w:pPr>
    </w:p>
    <w:p w:rsidR="00CC376F" w:rsidRPr="008573C5" w:rsidRDefault="00FF5EDF" w:rsidP="00CF2E50">
      <w:pPr>
        <w:autoSpaceDE w:val="0"/>
        <w:autoSpaceDN w:val="0"/>
        <w:adjustRightInd w:val="0"/>
        <w:spacing w:line="360" w:lineRule="auto"/>
        <w:jc w:val="both"/>
      </w:pPr>
      <w:r w:rsidRPr="008573C5">
        <w:rPr>
          <w:rFonts w:ascii="TimesNewRomanPSMT" w:hAnsi="TimesNewRomanPSMT" w:cs="TimesNewRomanPSMT"/>
        </w:rPr>
        <w:t>Based on previous studies, availability of data and its relevance, seve</w:t>
      </w:r>
      <w:r w:rsidR="008B7F0C">
        <w:rPr>
          <w:rFonts w:ascii="TimesNewRomanPSMT" w:hAnsi="TimesNewRomanPSMT" w:cs="TimesNewRomanPSMT"/>
        </w:rPr>
        <w:t>n independent variables above a</w:t>
      </w:r>
      <w:r w:rsidRPr="008573C5">
        <w:rPr>
          <w:rFonts w:ascii="TimesNewRomanPSMT" w:hAnsi="TimesNewRomanPSMT" w:cs="TimesNewRomanPSMT"/>
        </w:rPr>
        <w:t>re selected as proxies for corporate attributes.  Table 3.</w:t>
      </w:r>
      <w:r w:rsidR="00B803D5" w:rsidRPr="008573C5">
        <w:rPr>
          <w:rFonts w:ascii="TimesNewRomanPSMT" w:hAnsi="TimesNewRomanPSMT" w:cs="TimesNewRomanPSMT"/>
        </w:rPr>
        <w:t>05</w:t>
      </w:r>
      <w:r w:rsidRPr="008573C5">
        <w:rPr>
          <w:rFonts w:ascii="TimesNewRomanPSMT" w:hAnsi="TimesNewRomanPSMT" w:cs="TimesNewRomanPSMT"/>
        </w:rPr>
        <w:t xml:space="preserve"> summarizes the company attributes, their proxies, code and expected signs.  </w:t>
      </w:r>
      <w:r w:rsidR="00CF2E50" w:rsidRPr="008573C5">
        <w:t xml:space="preserve">For this study, companies have been broadly classified into two: financial and non-financial. This is because in Nigeria, the financial sector is highly regulated due to its overall contribution to the economy and it </w:t>
      </w:r>
      <w:r w:rsidR="008B7F0C">
        <w:t>i</w:t>
      </w:r>
      <w:r w:rsidR="00FD3E9F" w:rsidRPr="008573C5">
        <w:t>s</w:t>
      </w:r>
      <w:r w:rsidR="00CF2E50" w:rsidRPr="008573C5">
        <w:t xml:space="preserve"> expected to disclose more detailed information than the other industries. </w:t>
      </w:r>
      <w:r w:rsidR="000572FE" w:rsidRPr="008573C5">
        <w:t xml:space="preserve">The banking sector accounts for 65 percent of the market capitalisation of the Nigerian Stock Exchange (Reuters, 2009:1). </w:t>
      </w:r>
    </w:p>
    <w:p w:rsidR="00BB3820" w:rsidRDefault="00BB3820" w:rsidP="00BA4B28">
      <w:pPr>
        <w:ind w:left="360"/>
        <w:jc w:val="center"/>
        <w:rPr>
          <w:rFonts w:ascii="Times" w:hAnsi="Times" w:cs="Times"/>
          <w:b/>
          <w:sz w:val="28"/>
          <w:szCs w:val="28"/>
        </w:rPr>
      </w:pPr>
    </w:p>
    <w:p w:rsidR="00BB3820" w:rsidRDefault="00BB3820" w:rsidP="00BA4B28">
      <w:pPr>
        <w:ind w:left="360"/>
        <w:jc w:val="center"/>
        <w:rPr>
          <w:rFonts w:ascii="Times" w:hAnsi="Times" w:cs="Times"/>
          <w:b/>
          <w:sz w:val="28"/>
          <w:szCs w:val="28"/>
        </w:rPr>
      </w:pPr>
    </w:p>
    <w:p w:rsidR="00BB3820" w:rsidRDefault="00BB3820" w:rsidP="00BA4B28">
      <w:pPr>
        <w:ind w:left="360"/>
        <w:jc w:val="center"/>
        <w:rPr>
          <w:rFonts w:ascii="Times" w:hAnsi="Times" w:cs="Times"/>
          <w:b/>
          <w:sz w:val="28"/>
          <w:szCs w:val="28"/>
        </w:rPr>
      </w:pPr>
    </w:p>
    <w:p w:rsidR="00FF5EDF" w:rsidRPr="008573C5" w:rsidRDefault="00641CB8" w:rsidP="00BA4B28">
      <w:pPr>
        <w:ind w:left="360"/>
        <w:jc w:val="center"/>
        <w:rPr>
          <w:rFonts w:ascii="Times" w:hAnsi="Times" w:cs="Times"/>
          <w:b/>
          <w:sz w:val="28"/>
          <w:szCs w:val="28"/>
        </w:rPr>
      </w:pPr>
      <w:r w:rsidRPr="008573C5">
        <w:rPr>
          <w:rFonts w:ascii="Times" w:hAnsi="Times" w:cs="Times"/>
          <w:b/>
          <w:sz w:val="28"/>
          <w:szCs w:val="28"/>
        </w:rPr>
        <w:t>Table 3.05: Summary of</w:t>
      </w:r>
      <w:r w:rsidR="00FF5EDF" w:rsidRPr="008573C5">
        <w:rPr>
          <w:rFonts w:ascii="Times" w:hAnsi="Times" w:cs="Times"/>
          <w:b/>
          <w:sz w:val="28"/>
          <w:szCs w:val="28"/>
        </w:rPr>
        <w:t xml:space="preserve"> Independent </w:t>
      </w:r>
      <w:r w:rsidR="00877D9E" w:rsidRPr="008573C5">
        <w:rPr>
          <w:rFonts w:ascii="Times" w:hAnsi="Times" w:cs="Times"/>
          <w:b/>
          <w:sz w:val="28"/>
          <w:szCs w:val="28"/>
        </w:rPr>
        <w:t>and Dependent V</w:t>
      </w:r>
      <w:r w:rsidR="00FF5EDF" w:rsidRPr="008573C5">
        <w:rPr>
          <w:rFonts w:ascii="Times" w:hAnsi="Times" w:cs="Times"/>
          <w:b/>
          <w:sz w:val="28"/>
          <w:szCs w:val="28"/>
        </w:rPr>
        <w:t>ariables</w:t>
      </w:r>
    </w:p>
    <w:p w:rsidR="00FF5EDF" w:rsidRPr="008573C5" w:rsidRDefault="00FF5EDF" w:rsidP="00FF5EDF">
      <w:pPr>
        <w:ind w:left="360"/>
        <w:jc w:val="both"/>
        <w:rPr>
          <w:rFonts w:ascii="Times" w:hAnsi="Times" w:cs="Time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
        <w:gridCol w:w="2216"/>
        <w:gridCol w:w="2370"/>
        <w:gridCol w:w="1444"/>
        <w:gridCol w:w="1305"/>
      </w:tblGrid>
      <w:tr w:rsidR="00B048BA" w:rsidRPr="008573C5" w:rsidTr="00641CB8">
        <w:tc>
          <w:tcPr>
            <w:tcW w:w="1190" w:type="dxa"/>
          </w:tcPr>
          <w:p w:rsidR="00FF5EDF" w:rsidRPr="00BB3820" w:rsidRDefault="00FF5EDF" w:rsidP="00FC7BF6">
            <w:pPr>
              <w:jc w:val="both"/>
              <w:rPr>
                <w:sz w:val="22"/>
                <w:szCs w:val="22"/>
              </w:rPr>
            </w:pPr>
            <w:r w:rsidRPr="00BB3820">
              <w:rPr>
                <w:sz w:val="22"/>
                <w:szCs w:val="22"/>
              </w:rPr>
              <w:t>Serial number</w:t>
            </w:r>
          </w:p>
        </w:tc>
        <w:tc>
          <w:tcPr>
            <w:tcW w:w="2216" w:type="dxa"/>
          </w:tcPr>
          <w:p w:rsidR="00FF5EDF" w:rsidRPr="00BB3820" w:rsidRDefault="00FF5EDF" w:rsidP="00FC7BF6">
            <w:pPr>
              <w:jc w:val="both"/>
              <w:rPr>
                <w:sz w:val="22"/>
                <w:szCs w:val="22"/>
              </w:rPr>
            </w:pPr>
            <w:r w:rsidRPr="00BB3820">
              <w:rPr>
                <w:sz w:val="22"/>
                <w:szCs w:val="22"/>
              </w:rPr>
              <w:t xml:space="preserve">Description of </w:t>
            </w:r>
            <w:r w:rsidR="002C2F32" w:rsidRPr="00BB3820">
              <w:rPr>
                <w:sz w:val="22"/>
                <w:szCs w:val="22"/>
              </w:rPr>
              <w:t xml:space="preserve">Independent </w:t>
            </w:r>
            <w:r w:rsidR="00877D9E" w:rsidRPr="00BB3820">
              <w:rPr>
                <w:sz w:val="22"/>
                <w:szCs w:val="22"/>
              </w:rPr>
              <w:t xml:space="preserve">and Dependent </w:t>
            </w:r>
            <w:r w:rsidRPr="00BB3820">
              <w:rPr>
                <w:sz w:val="22"/>
                <w:szCs w:val="22"/>
              </w:rPr>
              <w:t>Variable</w:t>
            </w:r>
            <w:r w:rsidR="00692B73" w:rsidRPr="00BB3820">
              <w:rPr>
                <w:sz w:val="22"/>
                <w:szCs w:val="22"/>
              </w:rPr>
              <w:t>s</w:t>
            </w:r>
          </w:p>
        </w:tc>
        <w:tc>
          <w:tcPr>
            <w:tcW w:w="2370" w:type="dxa"/>
          </w:tcPr>
          <w:p w:rsidR="00FF5EDF" w:rsidRPr="00BB3820" w:rsidRDefault="00FF5EDF" w:rsidP="00FC7BF6">
            <w:pPr>
              <w:jc w:val="center"/>
              <w:rPr>
                <w:sz w:val="22"/>
                <w:szCs w:val="22"/>
              </w:rPr>
            </w:pPr>
            <w:r w:rsidRPr="00BB3820">
              <w:rPr>
                <w:sz w:val="22"/>
                <w:szCs w:val="22"/>
              </w:rPr>
              <w:t>Proxy</w:t>
            </w:r>
          </w:p>
        </w:tc>
        <w:tc>
          <w:tcPr>
            <w:tcW w:w="1444" w:type="dxa"/>
          </w:tcPr>
          <w:p w:rsidR="00FF5EDF" w:rsidRPr="00BB3820" w:rsidRDefault="00FF5EDF" w:rsidP="00FC7BF6">
            <w:pPr>
              <w:jc w:val="both"/>
              <w:rPr>
                <w:sz w:val="22"/>
                <w:szCs w:val="22"/>
              </w:rPr>
            </w:pPr>
            <w:r w:rsidRPr="00BB3820">
              <w:rPr>
                <w:sz w:val="22"/>
                <w:szCs w:val="22"/>
              </w:rPr>
              <w:t>Code</w:t>
            </w:r>
          </w:p>
        </w:tc>
        <w:tc>
          <w:tcPr>
            <w:tcW w:w="1305" w:type="dxa"/>
          </w:tcPr>
          <w:p w:rsidR="00FF5EDF" w:rsidRPr="00BB3820" w:rsidRDefault="00B048BA" w:rsidP="00B048BA">
            <w:pPr>
              <w:jc w:val="both"/>
              <w:rPr>
                <w:sz w:val="22"/>
                <w:szCs w:val="22"/>
              </w:rPr>
            </w:pPr>
            <w:r w:rsidRPr="00BB3820">
              <w:rPr>
                <w:sz w:val="22"/>
                <w:szCs w:val="22"/>
              </w:rPr>
              <w:t>E</w:t>
            </w:r>
            <w:r w:rsidR="00FF5EDF" w:rsidRPr="00BB3820">
              <w:rPr>
                <w:sz w:val="22"/>
                <w:szCs w:val="22"/>
              </w:rPr>
              <w:t>xpect</w:t>
            </w:r>
            <w:r w:rsidRPr="00BB3820">
              <w:rPr>
                <w:sz w:val="22"/>
                <w:szCs w:val="22"/>
              </w:rPr>
              <w:t>ed signs</w:t>
            </w:r>
          </w:p>
        </w:tc>
      </w:tr>
      <w:tr w:rsidR="00B048BA" w:rsidRPr="008573C5" w:rsidTr="00641CB8">
        <w:tc>
          <w:tcPr>
            <w:tcW w:w="1190" w:type="dxa"/>
          </w:tcPr>
          <w:p w:rsidR="00FF5EDF" w:rsidRPr="00BB3820" w:rsidRDefault="00FF5EDF" w:rsidP="00FC7BF6">
            <w:pPr>
              <w:jc w:val="both"/>
              <w:rPr>
                <w:sz w:val="22"/>
                <w:szCs w:val="22"/>
              </w:rPr>
            </w:pPr>
            <w:r w:rsidRPr="00BB3820">
              <w:rPr>
                <w:sz w:val="22"/>
                <w:szCs w:val="22"/>
              </w:rPr>
              <w:t>1a</w:t>
            </w:r>
          </w:p>
          <w:p w:rsidR="00FF5EDF" w:rsidRPr="00BB3820" w:rsidRDefault="00FF5EDF" w:rsidP="00FC7BF6">
            <w:pPr>
              <w:jc w:val="both"/>
              <w:rPr>
                <w:sz w:val="22"/>
                <w:szCs w:val="22"/>
              </w:rPr>
            </w:pPr>
          </w:p>
          <w:p w:rsidR="00FF5EDF" w:rsidRPr="00BB3820" w:rsidRDefault="00FF5EDF" w:rsidP="00FC7BF6">
            <w:pPr>
              <w:jc w:val="both"/>
              <w:rPr>
                <w:sz w:val="22"/>
                <w:szCs w:val="22"/>
              </w:rPr>
            </w:pPr>
          </w:p>
          <w:p w:rsidR="00FF5EDF" w:rsidRPr="00BB3820" w:rsidRDefault="00FF5EDF" w:rsidP="00FC7BF6">
            <w:pPr>
              <w:jc w:val="both"/>
              <w:rPr>
                <w:sz w:val="22"/>
                <w:szCs w:val="22"/>
              </w:rPr>
            </w:pPr>
          </w:p>
          <w:p w:rsidR="00FF5EDF" w:rsidRPr="00BB3820" w:rsidRDefault="00FF5EDF" w:rsidP="00FC7BF6">
            <w:pPr>
              <w:jc w:val="both"/>
              <w:rPr>
                <w:sz w:val="22"/>
                <w:szCs w:val="22"/>
              </w:rPr>
            </w:pPr>
          </w:p>
          <w:p w:rsidR="00FF5EDF" w:rsidRPr="00BB3820" w:rsidRDefault="00FF5EDF" w:rsidP="00FC7BF6">
            <w:pPr>
              <w:jc w:val="both"/>
              <w:rPr>
                <w:sz w:val="22"/>
                <w:szCs w:val="22"/>
              </w:rPr>
            </w:pPr>
          </w:p>
          <w:p w:rsidR="00FF5EDF" w:rsidRPr="00BB3820" w:rsidRDefault="00FF5EDF" w:rsidP="00FC7BF6">
            <w:pPr>
              <w:jc w:val="both"/>
              <w:rPr>
                <w:sz w:val="22"/>
                <w:szCs w:val="22"/>
              </w:rPr>
            </w:pPr>
            <w:r w:rsidRPr="00BB3820">
              <w:rPr>
                <w:sz w:val="22"/>
                <w:szCs w:val="22"/>
              </w:rPr>
              <w:t>1b</w:t>
            </w:r>
          </w:p>
        </w:tc>
        <w:tc>
          <w:tcPr>
            <w:tcW w:w="2216" w:type="dxa"/>
          </w:tcPr>
          <w:p w:rsidR="00FF5EDF" w:rsidRPr="00BB3820" w:rsidRDefault="00FF5EDF" w:rsidP="00FC7BF6">
            <w:pPr>
              <w:jc w:val="both"/>
              <w:rPr>
                <w:sz w:val="22"/>
                <w:szCs w:val="22"/>
              </w:rPr>
            </w:pPr>
            <w:r w:rsidRPr="00BB3820">
              <w:rPr>
                <w:sz w:val="22"/>
                <w:szCs w:val="22"/>
              </w:rPr>
              <w:t xml:space="preserve">COMPANY </w:t>
            </w:r>
            <w:r w:rsidRPr="00BB3820">
              <w:rPr>
                <w:bCs/>
                <w:sz w:val="22"/>
                <w:szCs w:val="22"/>
              </w:rPr>
              <w:t>SIZE</w:t>
            </w:r>
            <w:r w:rsidRPr="00BB3820">
              <w:rPr>
                <w:sz w:val="22"/>
                <w:szCs w:val="22"/>
              </w:rPr>
              <w:t xml:space="preserve"> </w:t>
            </w:r>
          </w:p>
          <w:p w:rsidR="00FF5EDF" w:rsidRPr="00BB3820" w:rsidRDefault="00FF5EDF" w:rsidP="00FC7BF6">
            <w:pPr>
              <w:jc w:val="both"/>
              <w:rPr>
                <w:sz w:val="22"/>
                <w:szCs w:val="22"/>
              </w:rPr>
            </w:pPr>
          </w:p>
          <w:p w:rsidR="00FF5EDF" w:rsidRPr="00BB3820" w:rsidRDefault="00FF5EDF" w:rsidP="00FC7BF6">
            <w:pPr>
              <w:jc w:val="both"/>
              <w:rPr>
                <w:sz w:val="22"/>
                <w:szCs w:val="22"/>
              </w:rPr>
            </w:pPr>
          </w:p>
          <w:p w:rsidR="00FF5EDF" w:rsidRPr="00BB3820" w:rsidRDefault="00FF5EDF" w:rsidP="00FC7BF6">
            <w:pPr>
              <w:jc w:val="both"/>
              <w:rPr>
                <w:sz w:val="22"/>
                <w:szCs w:val="22"/>
              </w:rPr>
            </w:pPr>
          </w:p>
          <w:p w:rsidR="00FF5EDF" w:rsidRPr="00BB3820" w:rsidRDefault="00FF5EDF" w:rsidP="00FC7BF6">
            <w:pPr>
              <w:jc w:val="both"/>
              <w:rPr>
                <w:sz w:val="22"/>
                <w:szCs w:val="22"/>
              </w:rPr>
            </w:pPr>
          </w:p>
          <w:p w:rsidR="00FF5EDF" w:rsidRPr="00BB3820" w:rsidRDefault="00FF5EDF" w:rsidP="00FC7BF6">
            <w:pPr>
              <w:jc w:val="both"/>
              <w:rPr>
                <w:sz w:val="22"/>
                <w:szCs w:val="22"/>
              </w:rPr>
            </w:pPr>
            <w:r w:rsidRPr="00BB3820">
              <w:rPr>
                <w:sz w:val="22"/>
                <w:szCs w:val="22"/>
              </w:rPr>
              <w:t xml:space="preserve">COMPANY </w:t>
            </w:r>
            <w:r w:rsidRPr="00BB3820">
              <w:rPr>
                <w:bCs/>
                <w:sz w:val="22"/>
                <w:szCs w:val="22"/>
              </w:rPr>
              <w:t>SIZE</w:t>
            </w:r>
            <w:r w:rsidRPr="00BB3820">
              <w:rPr>
                <w:sz w:val="22"/>
                <w:szCs w:val="22"/>
              </w:rPr>
              <w:t xml:space="preserve"> </w:t>
            </w:r>
          </w:p>
          <w:p w:rsidR="00FF5EDF" w:rsidRPr="00BB3820" w:rsidRDefault="00FF5EDF" w:rsidP="00FC7BF6">
            <w:pPr>
              <w:jc w:val="both"/>
              <w:rPr>
                <w:sz w:val="22"/>
                <w:szCs w:val="22"/>
              </w:rPr>
            </w:pPr>
            <w:r w:rsidRPr="00BB3820">
              <w:rPr>
                <w:sz w:val="22"/>
                <w:szCs w:val="22"/>
              </w:rPr>
              <w:t>(Alternative model)</w:t>
            </w:r>
          </w:p>
        </w:tc>
        <w:tc>
          <w:tcPr>
            <w:tcW w:w="2370" w:type="dxa"/>
          </w:tcPr>
          <w:p w:rsidR="00FF5EDF" w:rsidRPr="00BB3820" w:rsidRDefault="00FF5EDF" w:rsidP="00FC7BF6">
            <w:pPr>
              <w:jc w:val="both"/>
              <w:rPr>
                <w:bCs/>
                <w:sz w:val="22"/>
                <w:szCs w:val="22"/>
              </w:rPr>
            </w:pPr>
            <w:r w:rsidRPr="00BB3820">
              <w:rPr>
                <w:bCs/>
                <w:sz w:val="22"/>
                <w:szCs w:val="22"/>
              </w:rPr>
              <w:t>Factor variable ( total assets, turnover,  shareholders fund, no of shareholders , no of employees)</w:t>
            </w:r>
          </w:p>
          <w:p w:rsidR="00FF5EDF" w:rsidRPr="00BB3820" w:rsidRDefault="00FF5EDF" w:rsidP="00FC7BF6">
            <w:pPr>
              <w:jc w:val="both"/>
              <w:rPr>
                <w:bCs/>
                <w:sz w:val="22"/>
                <w:szCs w:val="22"/>
              </w:rPr>
            </w:pPr>
          </w:p>
          <w:p w:rsidR="00FF5EDF" w:rsidRPr="00BB3820" w:rsidRDefault="00FF5EDF" w:rsidP="00FC7BF6">
            <w:pPr>
              <w:jc w:val="both"/>
              <w:rPr>
                <w:bCs/>
                <w:sz w:val="22"/>
                <w:szCs w:val="22"/>
              </w:rPr>
            </w:pPr>
            <w:r w:rsidRPr="00BB3820">
              <w:rPr>
                <w:bCs/>
                <w:sz w:val="22"/>
                <w:szCs w:val="22"/>
              </w:rPr>
              <w:t xml:space="preserve">Log Total Assets, </w:t>
            </w:r>
          </w:p>
          <w:p w:rsidR="00FF5EDF" w:rsidRPr="00BB3820" w:rsidRDefault="00FF5EDF" w:rsidP="00FC7BF6">
            <w:pPr>
              <w:jc w:val="both"/>
              <w:rPr>
                <w:bCs/>
                <w:sz w:val="22"/>
                <w:szCs w:val="22"/>
              </w:rPr>
            </w:pPr>
          </w:p>
        </w:tc>
        <w:tc>
          <w:tcPr>
            <w:tcW w:w="1444" w:type="dxa"/>
          </w:tcPr>
          <w:p w:rsidR="00FF5EDF" w:rsidRPr="00BB3820" w:rsidRDefault="00FF5EDF" w:rsidP="00FC7BF6">
            <w:pPr>
              <w:jc w:val="both"/>
              <w:rPr>
                <w:bCs/>
                <w:sz w:val="22"/>
                <w:szCs w:val="22"/>
              </w:rPr>
            </w:pPr>
            <w:r w:rsidRPr="00BB3820">
              <w:rPr>
                <w:bCs/>
                <w:sz w:val="22"/>
                <w:szCs w:val="22"/>
              </w:rPr>
              <w:t>SIZE(Fac)</w:t>
            </w:r>
          </w:p>
          <w:p w:rsidR="00FF5EDF" w:rsidRPr="00BB3820" w:rsidRDefault="00FF5EDF" w:rsidP="00FC7BF6">
            <w:pPr>
              <w:jc w:val="both"/>
              <w:rPr>
                <w:bCs/>
                <w:sz w:val="22"/>
                <w:szCs w:val="22"/>
              </w:rPr>
            </w:pPr>
          </w:p>
          <w:p w:rsidR="00FF5EDF" w:rsidRPr="00BB3820" w:rsidRDefault="00FF5EDF" w:rsidP="00FC7BF6">
            <w:pPr>
              <w:jc w:val="both"/>
              <w:rPr>
                <w:bCs/>
                <w:sz w:val="22"/>
                <w:szCs w:val="22"/>
              </w:rPr>
            </w:pPr>
          </w:p>
          <w:p w:rsidR="00FF5EDF" w:rsidRPr="00BB3820" w:rsidRDefault="00FF5EDF" w:rsidP="00FC7BF6">
            <w:pPr>
              <w:jc w:val="both"/>
              <w:rPr>
                <w:bCs/>
                <w:sz w:val="22"/>
                <w:szCs w:val="22"/>
              </w:rPr>
            </w:pPr>
          </w:p>
          <w:p w:rsidR="00FF5EDF" w:rsidRPr="00BB3820" w:rsidRDefault="00FF5EDF" w:rsidP="00FC7BF6">
            <w:pPr>
              <w:jc w:val="both"/>
              <w:rPr>
                <w:bCs/>
                <w:sz w:val="22"/>
                <w:szCs w:val="22"/>
              </w:rPr>
            </w:pPr>
          </w:p>
          <w:p w:rsidR="00FF5EDF" w:rsidRPr="00BB3820" w:rsidRDefault="00FF5EDF" w:rsidP="00FC7BF6">
            <w:pPr>
              <w:jc w:val="both"/>
              <w:rPr>
                <w:bCs/>
                <w:sz w:val="22"/>
                <w:szCs w:val="22"/>
              </w:rPr>
            </w:pPr>
          </w:p>
          <w:p w:rsidR="00FF5EDF" w:rsidRPr="00BB3820" w:rsidRDefault="00FF5EDF" w:rsidP="00FC7BF6">
            <w:pPr>
              <w:jc w:val="both"/>
              <w:rPr>
                <w:bCs/>
                <w:sz w:val="22"/>
                <w:szCs w:val="22"/>
              </w:rPr>
            </w:pPr>
            <w:r w:rsidRPr="00BB3820">
              <w:rPr>
                <w:bCs/>
                <w:sz w:val="22"/>
                <w:szCs w:val="22"/>
              </w:rPr>
              <w:t>SIZE(LTA)</w:t>
            </w:r>
          </w:p>
          <w:p w:rsidR="00FF5EDF" w:rsidRPr="00BB3820" w:rsidRDefault="00FF5EDF" w:rsidP="00FC7BF6">
            <w:pPr>
              <w:jc w:val="both"/>
              <w:rPr>
                <w:bCs/>
                <w:sz w:val="22"/>
                <w:szCs w:val="22"/>
              </w:rPr>
            </w:pPr>
          </w:p>
        </w:tc>
        <w:tc>
          <w:tcPr>
            <w:tcW w:w="1305" w:type="dxa"/>
          </w:tcPr>
          <w:p w:rsidR="00FF5EDF" w:rsidRPr="00BB3820" w:rsidRDefault="00FF5EDF" w:rsidP="00FC7BF6">
            <w:pPr>
              <w:jc w:val="both"/>
              <w:rPr>
                <w:sz w:val="22"/>
                <w:szCs w:val="22"/>
              </w:rPr>
            </w:pPr>
            <w:r w:rsidRPr="00BB3820">
              <w:rPr>
                <w:sz w:val="22"/>
                <w:szCs w:val="22"/>
              </w:rPr>
              <w:t>+</w:t>
            </w:r>
          </w:p>
          <w:p w:rsidR="00FF5EDF" w:rsidRPr="00BB3820" w:rsidRDefault="00FF5EDF" w:rsidP="00FC7BF6">
            <w:pPr>
              <w:jc w:val="both"/>
              <w:rPr>
                <w:sz w:val="22"/>
                <w:szCs w:val="22"/>
              </w:rPr>
            </w:pPr>
          </w:p>
          <w:p w:rsidR="00FF5EDF" w:rsidRPr="00BB3820" w:rsidRDefault="00FF5EDF" w:rsidP="00FC7BF6">
            <w:pPr>
              <w:jc w:val="both"/>
              <w:rPr>
                <w:sz w:val="22"/>
                <w:szCs w:val="22"/>
              </w:rPr>
            </w:pPr>
          </w:p>
          <w:p w:rsidR="00FF5EDF" w:rsidRPr="00BB3820" w:rsidRDefault="00FF5EDF" w:rsidP="00FC7BF6">
            <w:pPr>
              <w:jc w:val="both"/>
              <w:rPr>
                <w:sz w:val="22"/>
                <w:szCs w:val="22"/>
              </w:rPr>
            </w:pPr>
          </w:p>
          <w:p w:rsidR="00FF5EDF" w:rsidRPr="00BB3820" w:rsidRDefault="00FF5EDF" w:rsidP="00FC7BF6">
            <w:pPr>
              <w:jc w:val="both"/>
              <w:rPr>
                <w:sz w:val="22"/>
                <w:szCs w:val="22"/>
              </w:rPr>
            </w:pPr>
          </w:p>
          <w:p w:rsidR="00FF5EDF" w:rsidRPr="00BB3820" w:rsidRDefault="00FF5EDF" w:rsidP="00FC7BF6">
            <w:pPr>
              <w:jc w:val="both"/>
              <w:rPr>
                <w:sz w:val="22"/>
                <w:szCs w:val="22"/>
              </w:rPr>
            </w:pPr>
          </w:p>
          <w:p w:rsidR="00FF5EDF" w:rsidRPr="00BB3820" w:rsidRDefault="00FF5EDF" w:rsidP="00FC7BF6">
            <w:pPr>
              <w:jc w:val="both"/>
              <w:rPr>
                <w:sz w:val="22"/>
                <w:szCs w:val="22"/>
              </w:rPr>
            </w:pPr>
            <w:r w:rsidRPr="00BB3820">
              <w:rPr>
                <w:sz w:val="22"/>
                <w:szCs w:val="22"/>
              </w:rPr>
              <w:t>+</w:t>
            </w:r>
          </w:p>
          <w:p w:rsidR="00FF5EDF" w:rsidRPr="00BB3820" w:rsidRDefault="00FF5EDF" w:rsidP="00FC7BF6">
            <w:pPr>
              <w:jc w:val="both"/>
              <w:rPr>
                <w:sz w:val="22"/>
                <w:szCs w:val="22"/>
              </w:rPr>
            </w:pPr>
          </w:p>
        </w:tc>
      </w:tr>
      <w:tr w:rsidR="00B048BA" w:rsidRPr="008573C5" w:rsidTr="00641CB8">
        <w:tc>
          <w:tcPr>
            <w:tcW w:w="1190" w:type="dxa"/>
          </w:tcPr>
          <w:p w:rsidR="00FF5EDF" w:rsidRPr="00BB3820" w:rsidRDefault="00FF5EDF" w:rsidP="00FC7BF6">
            <w:pPr>
              <w:jc w:val="both"/>
              <w:rPr>
                <w:sz w:val="22"/>
                <w:szCs w:val="22"/>
              </w:rPr>
            </w:pPr>
            <w:r w:rsidRPr="00BB3820">
              <w:rPr>
                <w:sz w:val="22"/>
                <w:szCs w:val="22"/>
              </w:rPr>
              <w:t>2</w:t>
            </w:r>
          </w:p>
        </w:tc>
        <w:tc>
          <w:tcPr>
            <w:tcW w:w="2216" w:type="dxa"/>
          </w:tcPr>
          <w:p w:rsidR="00FF5EDF" w:rsidRPr="00BB3820" w:rsidRDefault="00FF5EDF" w:rsidP="00FC7BF6">
            <w:pPr>
              <w:jc w:val="both"/>
              <w:rPr>
                <w:sz w:val="22"/>
                <w:szCs w:val="22"/>
              </w:rPr>
            </w:pPr>
            <w:r w:rsidRPr="00BB3820">
              <w:rPr>
                <w:bCs/>
                <w:sz w:val="22"/>
                <w:szCs w:val="22"/>
              </w:rPr>
              <w:t>PROFITABILITY</w:t>
            </w:r>
          </w:p>
        </w:tc>
        <w:tc>
          <w:tcPr>
            <w:tcW w:w="2370" w:type="dxa"/>
          </w:tcPr>
          <w:p w:rsidR="00FF5EDF" w:rsidRPr="00BB3820" w:rsidRDefault="00FF5EDF" w:rsidP="00FC7BF6">
            <w:pPr>
              <w:jc w:val="both"/>
              <w:rPr>
                <w:sz w:val="22"/>
                <w:szCs w:val="22"/>
              </w:rPr>
            </w:pPr>
            <w:r w:rsidRPr="00BB3820">
              <w:rPr>
                <w:sz w:val="22"/>
                <w:szCs w:val="22"/>
              </w:rPr>
              <w:t>Return on equity i.e. PBTMI/Equity</w:t>
            </w:r>
          </w:p>
        </w:tc>
        <w:tc>
          <w:tcPr>
            <w:tcW w:w="1444" w:type="dxa"/>
          </w:tcPr>
          <w:p w:rsidR="00FF5EDF" w:rsidRPr="00BB3820" w:rsidRDefault="00FF5EDF" w:rsidP="00FC7BF6">
            <w:pPr>
              <w:jc w:val="both"/>
              <w:rPr>
                <w:sz w:val="22"/>
                <w:szCs w:val="22"/>
              </w:rPr>
            </w:pPr>
            <w:r w:rsidRPr="00BB3820">
              <w:rPr>
                <w:sz w:val="22"/>
                <w:szCs w:val="22"/>
              </w:rPr>
              <w:t>PRO</w:t>
            </w:r>
          </w:p>
        </w:tc>
        <w:tc>
          <w:tcPr>
            <w:tcW w:w="1305" w:type="dxa"/>
          </w:tcPr>
          <w:p w:rsidR="00FF5EDF" w:rsidRPr="00BB3820" w:rsidRDefault="00FF5EDF" w:rsidP="00FC7BF6">
            <w:pPr>
              <w:jc w:val="both"/>
              <w:rPr>
                <w:sz w:val="22"/>
                <w:szCs w:val="22"/>
              </w:rPr>
            </w:pPr>
            <w:r w:rsidRPr="00BB3820">
              <w:rPr>
                <w:sz w:val="22"/>
                <w:szCs w:val="22"/>
              </w:rPr>
              <w:t>+</w:t>
            </w:r>
          </w:p>
        </w:tc>
      </w:tr>
      <w:tr w:rsidR="00B048BA" w:rsidRPr="008573C5" w:rsidTr="00641CB8">
        <w:tc>
          <w:tcPr>
            <w:tcW w:w="1190" w:type="dxa"/>
          </w:tcPr>
          <w:p w:rsidR="00FF5EDF" w:rsidRPr="00BB3820" w:rsidRDefault="00FF5EDF" w:rsidP="00FC7BF6">
            <w:pPr>
              <w:jc w:val="both"/>
              <w:rPr>
                <w:sz w:val="22"/>
                <w:szCs w:val="22"/>
              </w:rPr>
            </w:pPr>
            <w:r w:rsidRPr="00BB3820">
              <w:rPr>
                <w:sz w:val="22"/>
                <w:szCs w:val="22"/>
              </w:rPr>
              <w:t>3</w:t>
            </w:r>
          </w:p>
        </w:tc>
        <w:tc>
          <w:tcPr>
            <w:tcW w:w="2216" w:type="dxa"/>
          </w:tcPr>
          <w:p w:rsidR="00FF5EDF" w:rsidRPr="00BB3820" w:rsidRDefault="00FF5EDF" w:rsidP="00FC7BF6">
            <w:pPr>
              <w:jc w:val="both"/>
              <w:rPr>
                <w:sz w:val="22"/>
                <w:szCs w:val="22"/>
              </w:rPr>
            </w:pPr>
            <w:r w:rsidRPr="00BB3820">
              <w:rPr>
                <w:bCs/>
                <w:sz w:val="22"/>
                <w:szCs w:val="22"/>
              </w:rPr>
              <w:t>LEVERAGE</w:t>
            </w:r>
          </w:p>
        </w:tc>
        <w:tc>
          <w:tcPr>
            <w:tcW w:w="2370" w:type="dxa"/>
          </w:tcPr>
          <w:p w:rsidR="00FF5EDF" w:rsidRPr="00BB3820" w:rsidRDefault="00FF5EDF" w:rsidP="00FC7BF6">
            <w:pPr>
              <w:jc w:val="both"/>
              <w:rPr>
                <w:sz w:val="22"/>
                <w:szCs w:val="22"/>
              </w:rPr>
            </w:pPr>
            <w:r w:rsidRPr="00BB3820">
              <w:rPr>
                <w:sz w:val="22"/>
                <w:szCs w:val="22"/>
              </w:rPr>
              <w:t>Total liability to equity</w:t>
            </w:r>
          </w:p>
        </w:tc>
        <w:tc>
          <w:tcPr>
            <w:tcW w:w="1444" w:type="dxa"/>
          </w:tcPr>
          <w:p w:rsidR="00FF5EDF" w:rsidRPr="00BB3820" w:rsidRDefault="00FF5EDF" w:rsidP="00FC7BF6">
            <w:pPr>
              <w:jc w:val="both"/>
              <w:rPr>
                <w:sz w:val="22"/>
                <w:szCs w:val="22"/>
              </w:rPr>
            </w:pPr>
            <w:r w:rsidRPr="00BB3820">
              <w:rPr>
                <w:sz w:val="22"/>
                <w:szCs w:val="22"/>
              </w:rPr>
              <w:t>LEV</w:t>
            </w:r>
          </w:p>
        </w:tc>
        <w:tc>
          <w:tcPr>
            <w:tcW w:w="1305" w:type="dxa"/>
          </w:tcPr>
          <w:p w:rsidR="00FF5EDF" w:rsidRPr="00BB3820" w:rsidRDefault="00FF5EDF" w:rsidP="00FC7BF6">
            <w:pPr>
              <w:jc w:val="both"/>
              <w:rPr>
                <w:sz w:val="22"/>
                <w:szCs w:val="22"/>
              </w:rPr>
            </w:pPr>
            <w:r w:rsidRPr="00BB3820">
              <w:rPr>
                <w:sz w:val="22"/>
                <w:szCs w:val="22"/>
              </w:rPr>
              <w:t>+</w:t>
            </w:r>
          </w:p>
        </w:tc>
      </w:tr>
      <w:tr w:rsidR="00B048BA" w:rsidRPr="008573C5" w:rsidTr="00641CB8">
        <w:tc>
          <w:tcPr>
            <w:tcW w:w="1190" w:type="dxa"/>
          </w:tcPr>
          <w:p w:rsidR="00FF5EDF" w:rsidRPr="00BB3820" w:rsidRDefault="00FF5EDF" w:rsidP="00FC7BF6">
            <w:pPr>
              <w:jc w:val="both"/>
              <w:rPr>
                <w:sz w:val="22"/>
                <w:szCs w:val="22"/>
              </w:rPr>
            </w:pPr>
            <w:r w:rsidRPr="00BB3820">
              <w:rPr>
                <w:sz w:val="22"/>
                <w:szCs w:val="22"/>
              </w:rPr>
              <w:t>4</w:t>
            </w:r>
          </w:p>
        </w:tc>
        <w:tc>
          <w:tcPr>
            <w:tcW w:w="2216" w:type="dxa"/>
          </w:tcPr>
          <w:p w:rsidR="00FF5EDF" w:rsidRPr="00BB3820" w:rsidRDefault="00FF5EDF" w:rsidP="00FC7BF6">
            <w:pPr>
              <w:jc w:val="both"/>
              <w:rPr>
                <w:sz w:val="22"/>
                <w:szCs w:val="22"/>
              </w:rPr>
            </w:pPr>
            <w:r w:rsidRPr="00BB3820">
              <w:rPr>
                <w:sz w:val="22"/>
                <w:szCs w:val="22"/>
              </w:rPr>
              <w:t>COMPANY AGE</w:t>
            </w:r>
          </w:p>
        </w:tc>
        <w:tc>
          <w:tcPr>
            <w:tcW w:w="2370" w:type="dxa"/>
          </w:tcPr>
          <w:p w:rsidR="00FF5EDF" w:rsidRPr="00BB3820" w:rsidRDefault="00FF5EDF" w:rsidP="00FC7BF6">
            <w:pPr>
              <w:jc w:val="both"/>
              <w:rPr>
                <w:sz w:val="22"/>
                <w:szCs w:val="22"/>
              </w:rPr>
            </w:pPr>
            <w:r w:rsidRPr="00BB3820">
              <w:rPr>
                <w:sz w:val="22"/>
                <w:szCs w:val="22"/>
              </w:rPr>
              <w:t>Age is the number of years since it became listed at the NSE to December 2006.</w:t>
            </w:r>
          </w:p>
        </w:tc>
        <w:tc>
          <w:tcPr>
            <w:tcW w:w="1444" w:type="dxa"/>
          </w:tcPr>
          <w:p w:rsidR="00FF5EDF" w:rsidRPr="00BB3820" w:rsidRDefault="00FF5EDF" w:rsidP="00FC7BF6">
            <w:pPr>
              <w:jc w:val="both"/>
              <w:rPr>
                <w:sz w:val="22"/>
                <w:szCs w:val="22"/>
              </w:rPr>
            </w:pPr>
            <w:r w:rsidRPr="00BB3820">
              <w:rPr>
                <w:sz w:val="22"/>
                <w:szCs w:val="22"/>
              </w:rPr>
              <w:t>AGE</w:t>
            </w:r>
          </w:p>
        </w:tc>
        <w:tc>
          <w:tcPr>
            <w:tcW w:w="1305" w:type="dxa"/>
          </w:tcPr>
          <w:p w:rsidR="00FF5EDF" w:rsidRPr="00BB3820" w:rsidRDefault="00FF5EDF" w:rsidP="00FC7BF6">
            <w:pPr>
              <w:jc w:val="both"/>
              <w:rPr>
                <w:sz w:val="22"/>
                <w:szCs w:val="22"/>
              </w:rPr>
            </w:pPr>
            <w:r w:rsidRPr="00BB3820">
              <w:rPr>
                <w:sz w:val="22"/>
                <w:szCs w:val="22"/>
              </w:rPr>
              <w:t>-</w:t>
            </w:r>
          </w:p>
        </w:tc>
      </w:tr>
      <w:tr w:rsidR="00B048BA" w:rsidRPr="008573C5" w:rsidTr="00641CB8">
        <w:tc>
          <w:tcPr>
            <w:tcW w:w="1190" w:type="dxa"/>
          </w:tcPr>
          <w:p w:rsidR="00FF5EDF" w:rsidRPr="00BB3820" w:rsidRDefault="00FF5EDF" w:rsidP="00FC7BF6">
            <w:pPr>
              <w:jc w:val="both"/>
              <w:rPr>
                <w:sz w:val="22"/>
                <w:szCs w:val="22"/>
              </w:rPr>
            </w:pPr>
            <w:r w:rsidRPr="00BB3820">
              <w:rPr>
                <w:sz w:val="22"/>
                <w:szCs w:val="22"/>
              </w:rPr>
              <w:t>5</w:t>
            </w:r>
          </w:p>
        </w:tc>
        <w:tc>
          <w:tcPr>
            <w:tcW w:w="2216" w:type="dxa"/>
          </w:tcPr>
          <w:p w:rsidR="00FF5EDF" w:rsidRPr="00BB3820" w:rsidRDefault="00FF5EDF" w:rsidP="00FC7BF6">
            <w:pPr>
              <w:jc w:val="both"/>
              <w:rPr>
                <w:sz w:val="22"/>
                <w:szCs w:val="22"/>
              </w:rPr>
            </w:pPr>
            <w:r w:rsidRPr="00BB3820">
              <w:rPr>
                <w:sz w:val="22"/>
                <w:szCs w:val="22"/>
              </w:rPr>
              <w:t>SECTOR</w:t>
            </w:r>
          </w:p>
        </w:tc>
        <w:tc>
          <w:tcPr>
            <w:tcW w:w="2370" w:type="dxa"/>
          </w:tcPr>
          <w:p w:rsidR="00FF5EDF" w:rsidRPr="00BB3820" w:rsidRDefault="00FF5EDF" w:rsidP="00FC7BF6">
            <w:pPr>
              <w:autoSpaceDE w:val="0"/>
              <w:autoSpaceDN w:val="0"/>
              <w:adjustRightInd w:val="0"/>
              <w:jc w:val="both"/>
              <w:rPr>
                <w:bCs/>
                <w:sz w:val="22"/>
                <w:szCs w:val="22"/>
              </w:rPr>
            </w:pPr>
            <w:r w:rsidRPr="00BB3820">
              <w:rPr>
                <w:bCs/>
                <w:sz w:val="22"/>
                <w:szCs w:val="22"/>
              </w:rPr>
              <w:t>1 = Financial ( Banking, Insurance, Mortgage)</w:t>
            </w:r>
          </w:p>
          <w:p w:rsidR="00FF5EDF" w:rsidRPr="00BB3820" w:rsidRDefault="00FF5EDF" w:rsidP="00FC7BF6">
            <w:pPr>
              <w:autoSpaceDE w:val="0"/>
              <w:autoSpaceDN w:val="0"/>
              <w:adjustRightInd w:val="0"/>
              <w:jc w:val="both"/>
              <w:rPr>
                <w:bCs/>
                <w:sz w:val="22"/>
                <w:szCs w:val="22"/>
              </w:rPr>
            </w:pPr>
            <w:r w:rsidRPr="00BB3820">
              <w:rPr>
                <w:bCs/>
                <w:sz w:val="22"/>
                <w:szCs w:val="22"/>
              </w:rPr>
              <w:t>0= Non-financial (Agriculture, Manufacturing, Service Food/health, Building/construction, Service, Conglomerate, Petroleum marketing)</w:t>
            </w:r>
          </w:p>
          <w:p w:rsidR="00FF5EDF" w:rsidRPr="00BB3820" w:rsidRDefault="00FF5EDF" w:rsidP="00FC7BF6">
            <w:pPr>
              <w:jc w:val="both"/>
              <w:rPr>
                <w:sz w:val="22"/>
                <w:szCs w:val="22"/>
              </w:rPr>
            </w:pPr>
          </w:p>
        </w:tc>
        <w:tc>
          <w:tcPr>
            <w:tcW w:w="1444" w:type="dxa"/>
          </w:tcPr>
          <w:p w:rsidR="00FF5EDF" w:rsidRPr="00BB3820" w:rsidRDefault="00FF5EDF" w:rsidP="00FC7BF6">
            <w:pPr>
              <w:jc w:val="both"/>
              <w:rPr>
                <w:sz w:val="22"/>
                <w:szCs w:val="22"/>
              </w:rPr>
            </w:pPr>
            <w:r w:rsidRPr="00BB3820">
              <w:rPr>
                <w:sz w:val="22"/>
                <w:szCs w:val="22"/>
              </w:rPr>
              <w:t>SEC</w:t>
            </w:r>
          </w:p>
        </w:tc>
        <w:tc>
          <w:tcPr>
            <w:tcW w:w="1305" w:type="dxa"/>
          </w:tcPr>
          <w:p w:rsidR="00FF5EDF" w:rsidRPr="00BB3820" w:rsidRDefault="00FF5EDF" w:rsidP="00FC7BF6">
            <w:pPr>
              <w:jc w:val="both"/>
              <w:rPr>
                <w:sz w:val="22"/>
                <w:szCs w:val="22"/>
              </w:rPr>
            </w:pPr>
            <w:r w:rsidRPr="00BB3820">
              <w:rPr>
                <w:sz w:val="22"/>
                <w:szCs w:val="22"/>
              </w:rPr>
              <w:t>+</w:t>
            </w:r>
          </w:p>
        </w:tc>
      </w:tr>
      <w:tr w:rsidR="00B048BA" w:rsidRPr="008573C5" w:rsidTr="00641CB8">
        <w:tc>
          <w:tcPr>
            <w:tcW w:w="1190" w:type="dxa"/>
          </w:tcPr>
          <w:p w:rsidR="00FF5EDF" w:rsidRPr="00BB3820" w:rsidRDefault="00FF5EDF" w:rsidP="00FC7BF6">
            <w:pPr>
              <w:jc w:val="both"/>
              <w:rPr>
                <w:sz w:val="22"/>
                <w:szCs w:val="22"/>
              </w:rPr>
            </w:pPr>
            <w:r w:rsidRPr="00BB3820">
              <w:rPr>
                <w:sz w:val="22"/>
                <w:szCs w:val="22"/>
              </w:rPr>
              <w:t>6</w:t>
            </w:r>
          </w:p>
        </w:tc>
        <w:tc>
          <w:tcPr>
            <w:tcW w:w="2216" w:type="dxa"/>
          </w:tcPr>
          <w:p w:rsidR="00FF5EDF" w:rsidRPr="00BB3820" w:rsidRDefault="00FF5EDF" w:rsidP="00FC7BF6">
            <w:pPr>
              <w:jc w:val="both"/>
              <w:rPr>
                <w:sz w:val="22"/>
                <w:szCs w:val="22"/>
              </w:rPr>
            </w:pPr>
            <w:r w:rsidRPr="00BB3820">
              <w:rPr>
                <w:sz w:val="22"/>
                <w:szCs w:val="22"/>
              </w:rPr>
              <w:t>AUDITOR</w:t>
            </w:r>
          </w:p>
        </w:tc>
        <w:tc>
          <w:tcPr>
            <w:tcW w:w="2370" w:type="dxa"/>
          </w:tcPr>
          <w:p w:rsidR="00FF5EDF" w:rsidRPr="00BB3820" w:rsidRDefault="00FF5EDF" w:rsidP="00FC7BF6">
            <w:pPr>
              <w:jc w:val="both"/>
              <w:rPr>
                <w:sz w:val="22"/>
                <w:szCs w:val="22"/>
              </w:rPr>
            </w:pPr>
            <w:r w:rsidRPr="00BB3820">
              <w:rPr>
                <w:sz w:val="22"/>
                <w:szCs w:val="22"/>
              </w:rPr>
              <w:t>Big Audit Firm (1)or non big(0)</w:t>
            </w:r>
          </w:p>
        </w:tc>
        <w:tc>
          <w:tcPr>
            <w:tcW w:w="1444" w:type="dxa"/>
          </w:tcPr>
          <w:p w:rsidR="00FF5EDF" w:rsidRPr="00BB3820" w:rsidRDefault="00FF5EDF" w:rsidP="00FC7BF6">
            <w:pPr>
              <w:jc w:val="both"/>
              <w:rPr>
                <w:sz w:val="22"/>
                <w:szCs w:val="22"/>
              </w:rPr>
            </w:pPr>
            <w:r w:rsidRPr="00BB3820">
              <w:rPr>
                <w:sz w:val="22"/>
                <w:szCs w:val="22"/>
              </w:rPr>
              <w:t>AUD</w:t>
            </w:r>
          </w:p>
        </w:tc>
        <w:tc>
          <w:tcPr>
            <w:tcW w:w="1305" w:type="dxa"/>
          </w:tcPr>
          <w:p w:rsidR="00FF5EDF" w:rsidRPr="00BB3820" w:rsidRDefault="00FF5EDF" w:rsidP="00FC7BF6">
            <w:pPr>
              <w:jc w:val="both"/>
              <w:rPr>
                <w:sz w:val="22"/>
                <w:szCs w:val="22"/>
              </w:rPr>
            </w:pPr>
            <w:r w:rsidRPr="00BB3820">
              <w:rPr>
                <w:sz w:val="22"/>
                <w:szCs w:val="22"/>
              </w:rPr>
              <w:t>+</w:t>
            </w:r>
          </w:p>
        </w:tc>
      </w:tr>
      <w:tr w:rsidR="00B048BA" w:rsidRPr="008573C5" w:rsidTr="00641CB8">
        <w:tc>
          <w:tcPr>
            <w:tcW w:w="1190" w:type="dxa"/>
          </w:tcPr>
          <w:p w:rsidR="00FF5EDF" w:rsidRPr="00BB3820" w:rsidRDefault="00FF5EDF" w:rsidP="00FC7BF6">
            <w:pPr>
              <w:jc w:val="both"/>
              <w:rPr>
                <w:sz w:val="22"/>
                <w:szCs w:val="22"/>
              </w:rPr>
            </w:pPr>
            <w:r w:rsidRPr="00BB3820">
              <w:rPr>
                <w:sz w:val="22"/>
                <w:szCs w:val="22"/>
              </w:rPr>
              <w:t>7</w:t>
            </w:r>
          </w:p>
        </w:tc>
        <w:tc>
          <w:tcPr>
            <w:tcW w:w="2216" w:type="dxa"/>
          </w:tcPr>
          <w:p w:rsidR="00FF5EDF" w:rsidRPr="00BB3820" w:rsidRDefault="00FF5EDF" w:rsidP="00FC7BF6">
            <w:pPr>
              <w:jc w:val="both"/>
              <w:rPr>
                <w:sz w:val="22"/>
                <w:szCs w:val="22"/>
              </w:rPr>
            </w:pPr>
            <w:r w:rsidRPr="00BB3820">
              <w:rPr>
                <w:sz w:val="22"/>
                <w:szCs w:val="22"/>
              </w:rPr>
              <w:t xml:space="preserve">MULTINATIONAL </w:t>
            </w:r>
            <w:r w:rsidR="00706B8A" w:rsidRPr="00BB3820">
              <w:rPr>
                <w:sz w:val="22"/>
                <w:szCs w:val="22"/>
              </w:rPr>
              <w:t>AFFILIATION</w:t>
            </w:r>
          </w:p>
        </w:tc>
        <w:tc>
          <w:tcPr>
            <w:tcW w:w="2370" w:type="dxa"/>
          </w:tcPr>
          <w:p w:rsidR="00FF5EDF" w:rsidRPr="00BB3820" w:rsidRDefault="00FF5EDF" w:rsidP="00FC7BF6">
            <w:pPr>
              <w:jc w:val="both"/>
              <w:rPr>
                <w:sz w:val="22"/>
                <w:szCs w:val="22"/>
              </w:rPr>
            </w:pPr>
            <w:r w:rsidRPr="00BB3820">
              <w:rPr>
                <w:sz w:val="22"/>
                <w:szCs w:val="22"/>
              </w:rPr>
              <w:t>Percentage of f</w:t>
            </w:r>
            <w:r w:rsidR="00706B8A" w:rsidRPr="00BB3820">
              <w:rPr>
                <w:sz w:val="22"/>
                <w:szCs w:val="22"/>
              </w:rPr>
              <w:t>oreign investors holding above 5</w:t>
            </w:r>
            <w:r w:rsidRPr="00BB3820">
              <w:rPr>
                <w:sz w:val="22"/>
                <w:szCs w:val="22"/>
              </w:rPr>
              <w:t>% of issued shares.</w:t>
            </w:r>
          </w:p>
        </w:tc>
        <w:tc>
          <w:tcPr>
            <w:tcW w:w="1444" w:type="dxa"/>
          </w:tcPr>
          <w:p w:rsidR="00FF5EDF" w:rsidRPr="00BB3820" w:rsidRDefault="00FF5EDF" w:rsidP="00FC7BF6">
            <w:pPr>
              <w:jc w:val="both"/>
              <w:rPr>
                <w:sz w:val="22"/>
                <w:szCs w:val="22"/>
              </w:rPr>
            </w:pPr>
            <w:r w:rsidRPr="00BB3820">
              <w:rPr>
                <w:sz w:val="22"/>
                <w:szCs w:val="22"/>
              </w:rPr>
              <w:t>MULT</w:t>
            </w:r>
          </w:p>
        </w:tc>
        <w:tc>
          <w:tcPr>
            <w:tcW w:w="1305" w:type="dxa"/>
          </w:tcPr>
          <w:p w:rsidR="00FF5EDF" w:rsidRPr="00BB3820" w:rsidRDefault="00FF5EDF" w:rsidP="00FC7BF6">
            <w:pPr>
              <w:jc w:val="both"/>
              <w:rPr>
                <w:sz w:val="22"/>
                <w:szCs w:val="22"/>
              </w:rPr>
            </w:pPr>
            <w:r w:rsidRPr="00BB3820">
              <w:rPr>
                <w:sz w:val="22"/>
                <w:szCs w:val="22"/>
              </w:rPr>
              <w:t>+</w:t>
            </w:r>
          </w:p>
        </w:tc>
      </w:tr>
      <w:tr w:rsidR="00B048BA" w:rsidRPr="008573C5" w:rsidTr="00641CB8">
        <w:tc>
          <w:tcPr>
            <w:tcW w:w="1190" w:type="dxa"/>
          </w:tcPr>
          <w:p w:rsidR="00877D9E" w:rsidRPr="00BB3820" w:rsidRDefault="00877D9E" w:rsidP="00FC7BF6">
            <w:pPr>
              <w:jc w:val="both"/>
              <w:rPr>
                <w:sz w:val="22"/>
                <w:szCs w:val="22"/>
              </w:rPr>
            </w:pPr>
            <w:r w:rsidRPr="00BB3820">
              <w:rPr>
                <w:sz w:val="22"/>
                <w:szCs w:val="22"/>
              </w:rPr>
              <w:t>8</w:t>
            </w:r>
          </w:p>
        </w:tc>
        <w:tc>
          <w:tcPr>
            <w:tcW w:w="2216" w:type="dxa"/>
          </w:tcPr>
          <w:p w:rsidR="00877D9E" w:rsidRPr="00BB3820" w:rsidRDefault="00877D9E" w:rsidP="00FC7BF6">
            <w:pPr>
              <w:jc w:val="both"/>
              <w:rPr>
                <w:sz w:val="22"/>
                <w:szCs w:val="22"/>
              </w:rPr>
            </w:pPr>
            <w:r w:rsidRPr="00BB3820">
              <w:rPr>
                <w:sz w:val="22"/>
                <w:szCs w:val="22"/>
              </w:rPr>
              <w:t>OVERALL DISCLOSURE INDEX</w:t>
            </w:r>
          </w:p>
        </w:tc>
        <w:tc>
          <w:tcPr>
            <w:tcW w:w="2370" w:type="dxa"/>
          </w:tcPr>
          <w:p w:rsidR="00877D9E" w:rsidRPr="00BB3820" w:rsidRDefault="00877D9E" w:rsidP="00FC7BF6">
            <w:pPr>
              <w:jc w:val="both"/>
              <w:rPr>
                <w:sz w:val="22"/>
                <w:szCs w:val="22"/>
              </w:rPr>
            </w:pPr>
            <w:r w:rsidRPr="00BB3820">
              <w:rPr>
                <w:sz w:val="22"/>
                <w:szCs w:val="22"/>
              </w:rPr>
              <w:t>An addition of the SAS disclosure index, IFRS disclosure index and Voluntary disclosure index</w:t>
            </w:r>
          </w:p>
        </w:tc>
        <w:tc>
          <w:tcPr>
            <w:tcW w:w="1444" w:type="dxa"/>
          </w:tcPr>
          <w:p w:rsidR="00877D9E" w:rsidRPr="00BB3820" w:rsidRDefault="00877D9E" w:rsidP="00FC7BF6">
            <w:pPr>
              <w:jc w:val="both"/>
              <w:rPr>
                <w:sz w:val="22"/>
                <w:szCs w:val="22"/>
              </w:rPr>
            </w:pPr>
            <w:r w:rsidRPr="00BB3820">
              <w:rPr>
                <w:sz w:val="22"/>
                <w:szCs w:val="22"/>
              </w:rPr>
              <w:t>ODI</w:t>
            </w:r>
          </w:p>
        </w:tc>
        <w:tc>
          <w:tcPr>
            <w:tcW w:w="1305" w:type="dxa"/>
          </w:tcPr>
          <w:p w:rsidR="00877D9E" w:rsidRPr="00BB3820" w:rsidRDefault="00877D9E" w:rsidP="00FC7BF6">
            <w:pPr>
              <w:jc w:val="both"/>
              <w:rPr>
                <w:sz w:val="22"/>
                <w:szCs w:val="22"/>
              </w:rPr>
            </w:pPr>
          </w:p>
        </w:tc>
      </w:tr>
      <w:tr w:rsidR="00B048BA" w:rsidRPr="008573C5" w:rsidTr="00641CB8">
        <w:tc>
          <w:tcPr>
            <w:tcW w:w="1190" w:type="dxa"/>
          </w:tcPr>
          <w:p w:rsidR="00877D9E" w:rsidRPr="00BB3820" w:rsidRDefault="00877D9E" w:rsidP="00FC7BF6">
            <w:pPr>
              <w:jc w:val="both"/>
              <w:rPr>
                <w:sz w:val="22"/>
                <w:szCs w:val="22"/>
              </w:rPr>
            </w:pPr>
            <w:r w:rsidRPr="00BB3820">
              <w:rPr>
                <w:sz w:val="22"/>
                <w:szCs w:val="22"/>
              </w:rPr>
              <w:t>9</w:t>
            </w:r>
          </w:p>
        </w:tc>
        <w:tc>
          <w:tcPr>
            <w:tcW w:w="2216" w:type="dxa"/>
          </w:tcPr>
          <w:p w:rsidR="00877D9E" w:rsidRPr="00BB3820" w:rsidRDefault="00877D9E" w:rsidP="00FC7BF6">
            <w:pPr>
              <w:jc w:val="both"/>
              <w:rPr>
                <w:sz w:val="22"/>
                <w:szCs w:val="22"/>
              </w:rPr>
            </w:pPr>
            <w:r w:rsidRPr="00BB3820">
              <w:rPr>
                <w:sz w:val="22"/>
                <w:szCs w:val="22"/>
              </w:rPr>
              <w:t>SAS DISCLOSURE INDEX</w:t>
            </w:r>
          </w:p>
        </w:tc>
        <w:tc>
          <w:tcPr>
            <w:tcW w:w="2370" w:type="dxa"/>
          </w:tcPr>
          <w:p w:rsidR="00877D9E" w:rsidRPr="00BB3820" w:rsidRDefault="00877D9E" w:rsidP="00FC7BF6">
            <w:pPr>
              <w:jc w:val="both"/>
              <w:rPr>
                <w:sz w:val="22"/>
                <w:szCs w:val="22"/>
              </w:rPr>
            </w:pPr>
            <w:r w:rsidRPr="00BB3820">
              <w:rPr>
                <w:sz w:val="22"/>
                <w:szCs w:val="22"/>
              </w:rPr>
              <w:t>The disclosure score of SAS disclosures.</w:t>
            </w:r>
          </w:p>
        </w:tc>
        <w:tc>
          <w:tcPr>
            <w:tcW w:w="1444" w:type="dxa"/>
          </w:tcPr>
          <w:p w:rsidR="00877D9E" w:rsidRPr="00BB3820" w:rsidRDefault="00877D9E" w:rsidP="00FC7BF6">
            <w:pPr>
              <w:jc w:val="both"/>
              <w:rPr>
                <w:sz w:val="22"/>
                <w:szCs w:val="22"/>
              </w:rPr>
            </w:pPr>
            <w:r w:rsidRPr="00BB3820">
              <w:rPr>
                <w:sz w:val="22"/>
                <w:szCs w:val="22"/>
              </w:rPr>
              <w:t>DISAS</w:t>
            </w:r>
          </w:p>
        </w:tc>
        <w:tc>
          <w:tcPr>
            <w:tcW w:w="1305" w:type="dxa"/>
          </w:tcPr>
          <w:p w:rsidR="00877D9E" w:rsidRPr="00BB3820" w:rsidRDefault="00877D9E" w:rsidP="00FC7BF6">
            <w:pPr>
              <w:jc w:val="both"/>
              <w:rPr>
                <w:sz w:val="22"/>
                <w:szCs w:val="22"/>
              </w:rPr>
            </w:pPr>
          </w:p>
        </w:tc>
      </w:tr>
      <w:tr w:rsidR="00B048BA" w:rsidRPr="008573C5" w:rsidTr="00641CB8">
        <w:tc>
          <w:tcPr>
            <w:tcW w:w="1190" w:type="dxa"/>
          </w:tcPr>
          <w:p w:rsidR="00877D9E" w:rsidRPr="00BB3820" w:rsidRDefault="00877D9E" w:rsidP="00FC7BF6">
            <w:pPr>
              <w:jc w:val="both"/>
              <w:rPr>
                <w:sz w:val="22"/>
                <w:szCs w:val="22"/>
              </w:rPr>
            </w:pPr>
            <w:r w:rsidRPr="00BB3820">
              <w:rPr>
                <w:sz w:val="22"/>
                <w:szCs w:val="22"/>
              </w:rPr>
              <w:t>10</w:t>
            </w:r>
          </w:p>
        </w:tc>
        <w:tc>
          <w:tcPr>
            <w:tcW w:w="2216" w:type="dxa"/>
          </w:tcPr>
          <w:p w:rsidR="00877D9E" w:rsidRPr="00BB3820" w:rsidRDefault="00877D9E" w:rsidP="00FC7BF6">
            <w:pPr>
              <w:jc w:val="both"/>
              <w:rPr>
                <w:sz w:val="22"/>
                <w:szCs w:val="22"/>
              </w:rPr>
            </w:pPr>
            <w:r w:rsidRPr="00BB3820">
              <w:rPr>
                <w:sz w:val="22"/>
                <w:szCs w:val="22"/>
              </w:rPr>
              <w:t>IAS/IFRS DISCLOSURE INDEX</w:t>
            </w:r>
          </w:p>
        </w:tc>
        <w:tc>
          <w:tcPr>
            <w:tcW w:w="2370" w:type="dxa"/>
          </w:tcPr>
          <w:p w:rsidR="00877D9E" w:rsidRPr="00BB3820" w:rsidRDefault="00877D9E" w:rsidP="00FC7BF6">
            <w:pPr>
              <w:jc w:val="both"/>
              <w:rPr>
                <w:sz w:val="22"/>
                <w:szCs w:val="22"/>
              </w:rPr>
            </w:pPr>
            <w:r w:rsidRPr="00BB3820">
              <w:rPr>
                <w:sz w:val="22"/>
                <w:szCs w:val="22"/>
              </w:rPr>
              <w:t>The disclosure score of IAS/IFRS disclosures</w:t>
            </w:r>
            <w:r w:rsidR="0041754F" w:rsidRPr="00BB3820">
              <w:rPr>
                <w:sz w:val="22"/>
                <w:szCs w:val="22"/>
              </w:rPr>
              <w:t>.</w:t>
            </w:r>
          </w:p>
        </w:tc>
        <w:tc>
          <w:tcPr>
            <w:tcW w:w="1444" w:type="dxa"/>
          </w:tcPr>
          <w:p w:rsidR="00877D9E" w:rsidRPr="00BB3820" w:rsidRDefault="00877D9E" w:rsidP="00FC7BF6">
            <w:pPr>
              <w:jc w:val="both"/>
              <w:rPr>
                <w:sz w:val="22"/>
                <w:szCs w:val="22"/>
              </w:rPr>
            </w:pPr>
            <w:r w:rsidRPr="00BB3820">
              <w:rPr>
                <w:sz w:val="22"/>
                <w:szCs w:val="22"/>
              </w:rPr>
              <w:t>DIFRS</w:t>
            </w:r>
          </w:p>
        </w:tc>
        <w:tc>
          <w:tcPr>
            <w:tcW w:w="1305" w:type="dxa"/>
          </w:tcPr>
          <w:p w:rsidR="00877D9E" w:rsidRPr="00BB3820" w:rsidRDefault="00877D9E" w:rsidP="00FC7BF6">
            <w:pPr>
              <w:jc w:val="both"/>
              <w:rPr>
                <w:sz w:val="22"/>
                <w:szCs w:val="22"/>
              </w:rPr>
            </w:pPr>
          </w:p>
        </w:tc>
      </w:tr>
      <w:tr w:rsidR="00B048BA" w:rsidRPr="008573C5" w:rsidTr="00641CB8">
        <w:tc>
          <w:tcPr>
            <w:tcW w:w="1190" w:type="dxa"/>
          </w:tcPr>
          <w:p w:rsidR="00877D9E" w:rsidRPr="00BB3820" w:rsidRDefault="00877D9E" w:rsidP="00FC7BF6">
            <w:pPr>
              <w:jc w:val="both"/>
              <w:rPr>
                <w:sz w:val="22"/>
                <w:szCs w:val="22"/>
              </w:rPr>
            </w:pPr>
            <w:r w:rsidRPr="00BB3820">
              <w:rPr>
                <w:sz w:val="22"/>
                <w:szCs w:val="22"/>
              </w:rPr>
              <w:t>11</w:t>
            </w:r>
          </w:p>
        </w:tc>
        <w:tc>
          <w:tcPr>
            <w:tcW w:w="2216" w:type="dxa"/>
          </w:tcPr>
          <w:p w:rsidR="00877D9E" w:rsidRPr="00BB3820" w:rsidRDefault="00877D9E" w:rsidP="00FC7BF6">
            <w:pPr>
              <w:jc w:val="both"/>
              <w:rPr>
                <w:sz w:val="22"/>
                <w:szCs w:val="22"/>
              </w:rPr>
            </w:pPr>
            <w:r w:rsidRPr="00BB3820">
              <w:rPr>
                <w:sz w:val="22"/>
                <w:szCs w:val="22"/>
              </w:rPr>
              <w:t>VOLUNTARY DISCLOSURE INDEX</w:t>
            </w:r>
          </w:p>
        </w:tc>
        <w:tc>
          <w:tcPr>
            <w:tcW w:w="2370" w:type="dxa"/>
          </w:tcPr>
          <w:p w:rsidR="00877D9E" w:rsidRPr="00BB3820" w:rsidRDefault="00877D9E" w:rsidP="00FC7BF6">
            <w:pPr>
              <w:jc w:val="both"/>
              <w:rPr>
                <w:sz w:val="22"/>
                <w:szCs w:val="22"/>
              </w:rPr>
            </w:pPr>
            <w:r w:rsidRPr="00BB3820">
              <w:rPr>
                <w:sz w:val="22"/>
                <w:szCs w:val="22"/>
              </w:rPr>
              <w:t>The disclosure score of voluntary disclosures.</w:t>
            </w:r>
          </w:p>
        </w:tc>
        <w:tc>
          <w:tcPr>
            <w:tcW w:w="1444" w:type="dxa"/>
          </w:tcPr>
          <w:p w:rsidR="00877D9E" w:rsidRPr="00BB3820" w:rsidRDefault="0041754F" w:rsidP="00FC7BF6">
            <w:pPr>
              <w:jc w:val="both"/>
              <w:rPr>
                <w:sz w:val="22"/>
                <w:szCs w:val="22"/>
              </w:rPr>
            </w:pPr>
            <w:r w:rsidRPr="00BB3820">
              <w:rPr>
                <w:sz w:val="22"/>
                <w:szCs w:val="22"/>
              </w:rPr>
              <w:t>DIVol</w:t>
            </w:r>
          </w:p>
        </w:tc>
        <w:tc>
          <w:tcPr>
            <w:tcW w:w="1305" w:type="dxa"/>
          </w:tcPr>
          <w:p w:rsidR="00877D9E" w:rsidRPr="00BB3820" w:rsidRDefault="00877D9E" w:rsidP="00FC7BF6">
            <w:pPr>
              <w:jc w:val="both"/>
              <w:rPr>
                <w:sz w:val="22"/>
                <w:szCs w:val="22"/>
              </w:rPr>
            </w:pPr>
          </w:p>
        </w:tc>
      </w:tr>
    </w:tbl>
    <w:p w:rsidR="00BF4515" w:rsidRPr="008573C5" w:rsidRDefault="00BF4515" w:rsidP="00BF4515">
      <w:pPr>
        <w:jc w:val="center"/>
      </w:pPr>
      <w:r w:rsidRPr="008573C5">
        <w:rPr>
          <w:sz w:val="22"/>
          <w:szCs w:val="22"/>
        </w:rPr>
        <w:t>Source: Field Study (2009).</w:t>
      </w:r>
    </w:p>
    <w:p w:rsidR="008B7F0C" w:rsidRDefault="008B7F0C" w:rsidP="008B7F0C">
      <w:pPr>
        <w:autoSpaceDE w:val="0"/>
        <w:autoSpaceDN w:val="0"/>
        <w:adjustRightInd w:val="0"/>
        <w:spacing w:line="360" w:lineRule="auto"/>
        <w:jc w:val="both"/>
      </w:pPr>
    </w:p>
    <w:p w:rsidR="008B7F0C" w:rsidRPr="008573C5" w:rsidRDefault="008B7F0C" w:rsidP="008B7F0C">
      <w:pPr>
        <w:autoSpaceDE w:val="0"/>
        <w:autoSpaceDN w:val="0"/>
        <w:adjustRightInd w:val="0"/>
        <w:spacing w:line="360" w:lineRule="auto"/>
        <w:jc w:val="both"/>
      </w:pPr>
      <w:r w:rsidRPr="008573C5">
        <w:t>The non-financial industries are agriculture, airline, automobile, aviation, breweries, building materials, chemical and paints, commercial services, computer, equipment, conglomerates, construction, engineering, food, foot wear, healthcare, hotel, industrial and domestic products, leasing, machinery, managed funds, maritime, packaging, petroleum marketing, printing and publishing, real estate, road transportation and textiles. The financial firms are banking, insurance and mortgage sectors.</w:t>
      </w:r>
    </w:p>
    <w:p w:rsidR="005706D8" w:rsidRPr="008573C5" w:rsidRDefault="005706D8" w:rsidP="00CC376F">
      <w:pPr>
        <w:pStyle w:val="NormalWeb"/>
        <w:spacing w:line="360" w:lineRule="auto"/>
        <w:jc w:val="both"/>
        <w:rPr>
          <w:b/>
          <w:sz w:val="28"/>
          <w:szCs w:val="28"/>
        </w:rPr>
      </w:pPr>
      <w:r w:rsidRPr="008573C5">
        <w:rPr>
          <w:b/>
          <w:sz w:val="28"/>
          <w:szCs w:val="28"/>
        </w:rPr>
        <w:t>3.3</w:t>
      </w:r>
      <w:r w:rsidRPr="008573C5">
        <w:rPr>
          <w:b/>
          <w:sz w:val="28"/>
          <w:szCs w:val="28"/>
        </w:rPr>
        <w:tab/>
        <w:t>Survey Research Method</w:t>
      </w:r>
      <w:r w:rsidRPr="008573C5">
        <w:rPr>
          <w:b/>
          <w:sz w:val="28"/>
          <w:szCs w:val="28"/>
        </w:rPr>
        <w:tab/>
      </w:r>
    </w:p>
    <w:p w:rsidR="005706D8" w:rsidRPr="008573C5" w:rsidRDefault="005706D8" w:rsidP="00D02464">
      <w:pPr>
        <w:pStyle w:val="NormalWeb"/>
        <w:spacing w:line="360" w:lineRule="auto"/>
        <w:jc w:val="both"/>
      </w:pPr>
      <w:r w:rsidRPr="008573C5">
        <w:rPr>
          <w:b/>
          <w:sz w:val="28"/>
          <w:szCs w:val="28"/>
        </w:rPr>
        <w:t xml:space="preserve">3.3.1 </w:t>
      </w:r>
      <w:r w:rsidRPr="008573C5">
        <w:rPr>
          <w:b/>
          <w:sz w:val="28"/>
          <w:szCs w:val="28"/>
        </w:rPr>
        <w:tab/>
        <w:t>Population of Study</w:t>
      </w:r>
      <w:r w:rsidR="001A79D5" w:rsidRPr="008573C5">
        <w:rPr>
          <w:b/>
          <w:sz w:val="28"/>
          <w:szCs w:val="28"/>
        </w:rPr>
        <w:t xml:space="preserve"> for Survey Method</w:t>
      </w:r>
    </w:p>
    <w:p w:rsidR="005706D8" w:rsidRPr="008573C5" w:rsidRDefault="005706D8" w:rsidP="005706D8">
      <w:pPr>
        <w:autoSpaceDE w:val="0"/>
        <w:autoSpaceDN w:val="0"/>
        <w:adjustRightInd w:val="0"/>
        <w:spacing w:line="360" w:lineRule="auto"/>
        <w:jc w:val="both"/>
        <w:rPr>
          <w:rFonts w:ascii="Times" w:hAnsi="Times" w:cs="Times"/>
        </w:rPr>
      </w:pPr>
      <w:r w:rsidRPr="008573C5">
        <w:rPr>
          <w:rFonts w:ascii="Times" w:hAnsi="Times" w:cs="Times"/>
        </w:rPr>
        <w:t xml:space="preserve">The research population for the survey research consists of preparers, external auditors and users of accounting information in Nigeria. The preparers are the accountants while the external auditors are responsible for the audit of financial reports of companies. The users include </w:t>
      </w:r>
      <w:r w:rsidR="007E373D" w:rsidRPr="008573C5">
        <w:rPr>
          <w:rFonts w:ascii="Times" w:hAnsi="Times" w:cs="Times"/>
        </w:rPr>
        <w:t xml:space="preserve">investors, </w:t>
      </w:r>
      <w:r w:rsidRPr="008573C5">
        <w:rPr>
          <w:rFonts w:ascii="Times" w:hAnsi="Times" w:cs="Times"/>
        </w:rPr>
        <w:t xml:space="preserve">educators, creditors, stockbrokers, financial analysts, and regulators. </w:t>
      </w:r>
      <w:r w:rsidR="00B803D5" w:rsidRPr="008573C5">
        <w:rPr>
          <w:rFonts w:ascii="Times" w:hAnsi="Times" w:cs="Times"/>
        </w:rPr>
        <w:t>The population size of approximately 99,</w:t>
      </w:r>
      <w:r w:rsidR="007E373D" w:rsidRPr="008573C5">
        <w:rPr>
          <w:rFonts w:ascii="Times" w:hAnsi="Times" w:cs="Times"/>
        </w:rPr>
        <w:t>402</w:t>
      </w:r>
      <w:r w:rsidR="00B803D5" w:rsidRPr="008573C5">
        <w:rPr>
          <w:rFonts w:ascii="Times" w:hAnsi="Times" w:cs="Times"/>
        </w:rPr>
        <w:t>,</w:t>
      </w:r>
      <w:r w:rsidR="007E373D" w:rsidRPr="008573C5">
        <w:rPr>
          <w:rFonts w:ascii="Times" w:hAnsi="Times" w:cs="Times"/>
        </w:rPr>
        <w:t>514</w:t>
      </w:r>
      <w:r w:rsidR="00B803D5" w:rsidRPr="008573C5">
        <w:rPr>
          <w:rFonts w:ascii="Times" w:hAnsi="Times" w:cs="Times"/>
        </w:rPr>
        <w:t xml:space="preserve"> </w:t>
      </w:r>
      <w:r w:rsidR="001A5548" w:rsidRPr="008573C5">
        <w:rPr>
          <w:rFonts w:ascii="Times" w:hAnsi="Times" w:cs="Times"/>
        </w:rPr>
        <w:t>was rele</w:t>
      </w:r>
      <w:r w:rsidR="004E5EFA" w:rsidRPr="008573C5">
        <w:rPr>
          <w:rFonts w:ascii="Times" w:hAnsi="Times" w:cs="Times"/>
        </w:rPr>
        <w:t xml:space="preserve">vant. This is </w:t>
      </w:r>
      <w:r w:rsidR="00897621" w:rsidRPr="008573C5">
        <w:rPr>
          <w:rFonts w:ascii="Times" w:hAnsi="Times" w:cs="Times"/>
        </w:rPr>
        <w:t>71</w:t>
      </w:r>
      <w:r w:rsidR="004E5EFA" w:rsidRPr="008573C5">
        <w:rPr>
          <w:rFonts w:ascii="Times" w:hAnsi="Times" w:cs="Times"/>
        </w:rPr>
        <w:t xml:space="preserve">% </w:t>
      </w:r>
      <w:r w:rsidR="00897621" w:rsidRPr="008573C5">
        <w:rPr>
          <w:rFonts w:ascii="Times" w:hAnsi="Times" w:cs="Times"/>
        </w:rPr>
        <w:t>of the population termed as adult literacy rate (HDI, 2006)</w:t>
      </w:r>
      <w:r w:rsidR="007E373D" w:rsidRPr="008573C5">
        <w:rPr>
          <w:rFonts w:ascii="Times" w:hAnsi="Times" w:cs="Times"/>
        </w:rPr>
        <w:t>,</w:t>
      </w:r>
      <w:r w:rsidR="00897621" w:rsidRPr="008573C5">
        <w:rPr>
          <w:rFonts w:ascii="Times" w:hAnsi="Times" w:cs="Times"/>
        </w:rPr>
        <w:t xml:space="preserve"> that is % ages 15 and above that can peruse annual reports. </w:t>
      </w:r>
      <w:r w:rsidR="007E373D" w:rsidRPr="008573C5">
        <w:rPr>
          <w:rFonts w:ascii="Times" w:hAnsi="Times" w:cs="Times"/>
        </w:rPr>
        <w:t xml:space="preserve">They have the ability to identify, understand, interpret, communicate and use annual reports. </w:t>
      </w:r>
      <w:r w:rsidR="00D30EF5" w:rsidRPr="008573C5">
        <w:rPr>
          <w:rFonts w:ascii="Times" w:hAnsi="Times" w:cs="Times"/>
        </w:rPr>
        <w:t>Nigeria</w:t>
      </w:r>
      <w:r w:rsidR="004C35E9" w:rsidRPr="008573C5">
        <w:rPr>
          <w:rFonts w:ascii="Times" w:hAnsi="Times" w:cs="Times"/>
        </w:rPr>
        <w:t xml:space="preserve">n population </w:t>
      </w:r>
      <w:r w:rsidR="00D414CA">
        <w:rPr>
          <w:rFonts w:ascii="Times" w:hAnsi="Times" w:cs="Times"/>
        </w:rPr>
        <w:t>i</w:t>
      </w:r>
      <w:r w:rsidR="007E373D" w:rsidRPr="008573C5">
        <w:rPr>
          <w:rFonts w:ascii="Times" w:hAnsi="Times" w:cs="Times"/>
        </w:rPr>
        <w:t xml:space="preserve">s 140,003,542 </w:t>
      </w:r>
      <w:r w:rsidR="00E92377" w:rsidRPr="008573C5">
        <w:rPr>
          <w:rFonts w:ascii="Times" w:hAnsi="Times" w:cs="Times"/>
        </w:rPr>
        <w:t>according to</w:t>
      </w:r>
      <w:r w:rsidR="00D30EF5" w:rsidRPr="008573C5">
        <w:rPr>
          <w:rFonts w:ascii="Times" w:hAnsi="Times" w:cs="Times"/>
        </w:rPr>
        <w:t xml:space="preserve"> 2006 population census conducted by the National Population Commission of Nigeria</w:t>
      </w:r>
      <w:r w:rsidR="007E373D" w:rsidRPr="008573C5">
        <w:rPr>
          <w:rFonts w:ascii="Times" w:hAnsi="Times" w:cs="Times"/>
        </w:rPr>
        <w:t>.</w:t>
      </w:r>
      <w:r w:rsidR="00897621" w:rsidRPr="008573C5">
        <w:rPr>
          <w:rFonts w:ascii="Times" w:hAnsi="Times" w:cs="Times"/>
        </w:rPr>
        <w:t xml:space="preserve"> </w:t>
      </w:r>
    </w:p>
    <w:p w:rsidR="00B57B07" w:rsidRPr="008573C5" w:rsidRDefault="00B57B07" w:rsidP="00D02464">
      <w:pPr>
        <w:pStyle w:val="NormalWeb"/>
        <w:spacing w:line="360" w:lineRule="auto"/>
        <w:jc w:val="both"/>
      </w:pPr>
      <w:r w:rsidRPr="008573C5">
        <w:rPr>
          <w:b/>
          <w:sz w:val="28"/>
          <w:szCs w:val="28"/>
        </w:rPr>
        <w:t>3.3</w:t>
      </w:r>
      <w:r w:rsidR="007E165C" w:rsidRPr="008573C5">
        <w:rPr>
          <w:b/>
          <w:sz w:val="28"/>
          <w:szCs w:val="28"/>
        </w:rPr>
        <w:t>.2</w:t>
      </w:r>
      <w:r w:rsidRPr="008573C5">
        <w:rPr>
          <w:b/>
          <w:sz w:val="28"/>
          <w:szCs w:val="28"/>
        </w:rPr>
        <w:t xml:space="preserve"> </w:t>
      </w:r>
      <w:r w:rsidRPr="008573C5">
        <w:rPr>
          <w:b/>
          <w:sz w:val="28"/>
          <w:szCs w:val="28"/>
        </w:rPr>
        <w:tab/>
        <w:t>Sample Size and Sampling Technique for Survey Method</w:t>
      </w:r>
    </w:p>
    <w:p w:rsidR="00074EB3" w:rsidRPr="008573C5" w:rsidRDefault="00A139C3" w:rsidP="00B57B07">
      <w:pPr>
        <w:autoSpaceDE w:val="0"/>
        <w:autoSpaceDN w:val="0"/>
        <w:adjustRightInd w:val="0"/>
        <w:spacing w:line="360" w:lineRule="auto"/>
        <w:jc w:val="both"/>
      </w:pPr>
      <w:r w:rsidRPr="008573C5">
        <w:t>In view of the researcher’s inability to reach out to the entire population, and in order to gain the advantages of an in-depth study and effective coverage, sample</w:t>
      </w:r>
      <w:r w:rsidR="00D414CA">
        <w:t>s a</w:t>
      </w:r>
      <w:r w:rsidRPr="008573C5">
        <w:t>re drawn</w:t>
      </w:r>
      <w:r w:rsidR="00B57B07" w:rsidRPr="008573C5">
        <w:t xml:space="preserve"> using stratified random sampling from the six geopolitical zones in Nigeria. These zones are South-West, South-East, South-South, North-Central, North-East and North-West. </w:t>
      </w:r>
      <w:r w:rsidR="00534E46" w:rsidRPr="008573C5">
        <w:t>Y</w:t>
      </w:r>
      <w:r w:rsidR="00776B61" w:rsidRPr="008573C5">
        <w:t xml:space="preserve">aro Yamani formula </w:t>
      </w:r>
      <w:r w:rsidR="00534E46" w:rsidRPr="008573C5">
        <w:t>is used in</w:t>
      </w:r>
      <w:r w:rsidR="00776B61" w:rsidRPr="008573C5">
        <w:t xml:space="preserve"> determining the sample size</w:t>
      </w:r>
      <w:r w:rsidR="00534E46" w:rsidRPr="008573C5">
        <w:t xml:space="preserve">. </w:t>
      </w:r>
    </w:p>
    <w:p w:rsidR="00074EB3" w:rsidRPr="008573C5" w:rsidRDefault="00776B61" w:rsidP="00B57B07">
      <w:pPr>
        <w:autoSpaceDE w:val="0"/>
        <w:autoSpaceDN w:val="0"/>
        <w:adjustRightInd w:val="0"/>
        <w:spacing w:line="360" w:lineRule="auto"/>
        <w:jc w:val="both"/>
      </w:pPr>
      <w:r w:rsidRPr="008573C5">
        <w:t xml:space="preserve">According to </w:t>
      </w:r>
      <w:r w:rsidR="00534E46" w:rsidRPr="008573C5">
        <w:t>Yaro Yamani, n = N</w:t>
      </w:r>
      <w:r w:rsidR="006E1FC5" w:rsidRPr="008573C5">
        <w:t xml:space="preserve"> </w:t>
      </w:r>
      <w:r w:rsidR="00534E46" w:rsidRPr="008573C5">
        <w:t>/</w:t>
      </w:r>
      <w:r w:rsidR="006E1FC5" w:rsidRPr="008573C5">
        <w:t xml:space="preserve"> [</w:t>
      </w:r>
      <w:r w:rsidR="00534E46" w:rsidRPr="008573C5">
        <w:t>1 + (Ne</w:t>
      </w:r>
      <w:r w:rsidR="00534E46" w:rsidRPr="008573C5">
        <w:rPr>
          <w:vertAlign w:val="superscript"/>
        </w:rPr>
        <w:t>2</w:t>
      </w:r>
      <w:r w:rsidR="00534E46" w:rsidRPr="008573C5">
        <w:t>)</w:t>
      </w:r>
      <w:r w:rsidR="006E1FC5" w:rsidRPr="008573C5">
        <w:t>]</w:t>
      </w:r>
      <w:r w:rsidR="00534E46" w:rsidRPr="008573C5">
        <w:t xml:space="preserve">, </w:t>
      </w:r>
    </w:p>
    <w:p w:rsidR="00074EB3" w:rsidRPr="008573C5" w:rsidRDefault="00074EB3" w:rsidP="00B57B07">
      <w:pPr>
        <w:autoSpaceDE w:val="0"/>
        <w:autoSpaceDN w:val="0"/>
        <w:adjustRightInd w:val="0"/>
        <w:spacing w:line="360" w:lineRule="auto"/>
        <w:jc w:val="both"/>
      </w:pPr>
      <w:r w:rsidRPr="008573C5">
        <w:t xml:space="preserve">Where: </w:t>
      </w:r>
      <w:r w:rsidRPr="008573C5">
        <w:tab/>
        <w:t>n</w:t>
      </w:r>
      <w:r w:rsidR="00534E46" w:rsidRPr="008573C5">
        <w:t xml:space="preserve"> is the sample size, </w:t>
      </w:r>
    </w:p>
    <w:p w:rsidR="00074EB3" w:rsidRPr="008573C5" w:rsidRDefault="00534E46" w:rsidP="00074EB3">
      <w:pPr>
        <w:autoSpaceDE w:val="0"/>
        <w:autoSpaceDN w:val="0"/>
        <w:adjustRightInd w:val="0"/>
        <w:spacing w:line="360" w:lineRule="auto"/>
        <w:ind w:left="720" w:firstLine="720"/>
        <w:jc w:val="both"/>
      </w:pPr>
      <w:r w:rsidRPr="008573C5">
        <w:t>N is the population,</w:t>
      </w:r>
      <w:r w:rsidR="004127DD" w:rsidRPr="008573C5">
        <w:t xml:space="preserve"> </w:t>
      </w:r>
    </w:p>
    <w:p w:rsidR="00074EB3" w:rsidRPr="008573C5" w:rsidRDefault="004127DD" w:rsidP="00074EB3">
      <w:pPr>
        <w:autoSpaceDE w:val="0"/>
        <w:autoSpaceDN w:val="0"/>
        <w:adjustRightInd w:val="0"/>
        <w:spacing w:line="360" w:lineRule="auto"/>
        <w:ind w:left="720" w:firstLine="720"/>
        <w:jc w:val="both"/>
      </w:pPr>
      <w:r w:rsidRPr="008573C5">
        <w:t>e is the error limit</w:t>
      </w:r>
      <w:r w:rsidR="00074EB3" w:rsidRPr="008573C5">
        <w:t xml:space="preserve"> (0.05 on the basis of 95% confidence level)</w:t>
      </w:r>
    </w:p>
    <w:p w:rsidR="00074EB3" w:rsidRPr="008573C5" w:rsidRDefault="007E373D" w:rsidP="00074EB3">
      <w:pPr>
        <w:autoSpaceDE w:val="0"/>
        <w:autoSpaceDN w:val="0"/>
        <w:adjustRightInd w:val="0"/>
        <w:spacing w:line="360" w:lineRule="auto"/>
        <w:jc w:val="both"/>
      </w:pPr>
      <w:r w:rsidRPr="008573C5">
        <w:t xml:space="preserve">Therefore, </w:t>
      </w:r>
      <w:r w:rsidRPr="008573C5">
        <w:tab/>
        <w:t xml:space="preserve">n = </w:t>
      </w:r>
      <w:r w:rsidR="00074EB3" w:rsidRPr="008573C5">
        <w:t>99,</w:t>
      </w:r>
      <w:r w:rsidRPr="008573C5">
        <w:t>402,514</w:t>
      </w:r>
      <w:r w:rsidR="00074EB3" w:rsidRPr="008573C5">
        <w:t xml:space="preserve"> / [1 + 99,</w:t>
      </w:r>
      <w:r w:rsidRPr="008573C5">
        <w:t>402</w:t>
      </w:r>
      <w:r w:rsidR="00074EB3" w:rsidRPr="008573C5">
        <w:t>,</w:t>
      </w:r>
      <w:r w:rsidRPr="008573C5">
        <w:t>514</w:t>
      </w:r>
      <w:r w:rsidR="00074EB3" w:rsidRPr="008573C5">
        <w:t xml:space="preserve"> (0.05</w:t>
      </w:r>
      <w:r w:rsidR="00074EB3" w:rsidRPr="008573C5">
        <w:rPr>
          <w:vertAlign w:val="superscript"/>
        </w:rPr>
        <w:t>2</w:t>
      </w:r>
      <w:r w:rsidR="00074EB3" w:rsidRPr="008573C5">
        <w:t>)</w:t>
      </w:r>
    </w:p>
    <w:p w:rsidR="00074EB3" w:rsidRPr="008573C5" w:rsidRDefault="00074EB3" w:rsidP="00074EB3">
      <w:pPr>
        <w:autoSpaceDE w:val="0"/>
        <w:autoSpaceDN w:val="0"/>
        <w:adjustRightInd w:val="0"/>
        <w:spacing w:line="360" w:lineRule="auto"/>
        <w:jc w:val="both"/>
      </w:pPr>
      <w:r w:rsidRPr="008573C5">
        <w:tab/>
      </w:r>
      <w:r w:rsidRPr="008573C5">
        <w:tab/>
        <w:t>n = 99,</w:t>
      </w:r>
      <w:r w:rsidR="00A21AD7" w:rsidRPr="008573C5">
        <w:t>402</w:t>
      </w:r>
      <w:r w:rsidRPr="008573C5">
        <w:t>,</w:t>
      </w:r>
      <w:r w:rsidR="00C12FC1" w:rsidRPr="008573C5">
        <w:t>514</w:t>
      </w:r>
      <w:r w:rsidRPr="008573C5">
        <w:t xml:space="preserve"> / 248</w:t>
      </w:r>
      <w:r w:rsidR="00B048BA" w:rsidRPr="008573C5">
        <w:t>,</w:t>
      </w:r>
      <w:r w:rsidR="00C12FC1" w:rsidRPr="008573C5">
        <w:t>507</w:t>
      </w:r>
      <w:r w:rsidRPr="008573C5">
        <w:t xml:space="preserve"> </w:t>
      </w:r>
    </w:p>
    <w:p w:rsidR="00074EB3" w:rsidRPr="008573C5" w:rsidRDefault="00074EB3" w:rsidP="00074EB3">
      <w:pPr>
        <w:autoSpaceDE w:val="0"/>
        <w:autoSpaceDN w:val="0"/>
        <w:adjustRightInd w:val="0"/>
        <w:spacing w:line="360" w:lineRule="auto"/>
        <w:jc w:val="both"/>
      </w:pPr>
      <w:r w:rsidRPr="008573C5">
        <w:tab/>
      </w:r>
      <w:r w:rsidRPr="008573C5">
        <w:tab/>
        <w:t>n = 400</w:t>
      </w:r>
      <w:r w:rsidRPr="008573C5">
        <w:tab/>
      </w:r>
    </w:p>
    <w:p w:rsidR="00074EB3" w:rsidRPr="008573C5" w:rsidRDefault="00074EB3" w:rsidP="00B57B07">
      <w:pPr>
        <w:autoSpaceDE w:val="0"/>
        <w:autoSpaceDN w:val="0"/>
        <w:adjustRightInd w:val="0"/>
        <w:spacing w:line="360" w:lineRule="auto"/>
        <w:jc w:val="both"/>
      </w:pPr>
    </w:p>
    <w:p w:rsidR="00B57B07" w:rsidRPr="008573C5" w:rsidRDefault="00534E46" w:rsidP="00B57B07">
      <w:pPr>
        <w:autoSpaceDE w:val="0"/>
        <w:autoSpaceDN w:val="0"/>
        <w:adjustRightInd w:val="0"/>
        <w:spacing w:line="360" w:lineRule="auto"/>
        <w:jc w:val="both"/>
      </w:pPr>
      <w:r w:rsidRPr="008573C5">
        <w:t xml:space="preserve">Using a population of </w:t>
      </w:r>
      <w:r w:rsidR="004127DD" w:rsidRPr="008573C5">
        <w:t xml:space="preserve">approximately </w:t>
      </w:r>
      <w:r w:rsidR="00B803D5" w:rsidRPr="008573C5">
        <w:t>99.</w:t>
      </w:r>
      <w:r w:rsidR="00660073" w:rsidRPr="008573C5">
        <w:t>402</w:t>
      </w:r>
      <w:r w:rsidRPr="008573C5">
        <w:t xml:space="preserve"> million Nigerians</w:t>
      </w:r>
      <w:r w:rsidR="004127DD" w:rsidRPr="008573C5">
        <w:t xml:space="preserve"> with an error limit of 5%</w:t>
      </w:r>
      <w:r w:rsidRPr="008573C5">
        <w:t xml:space="preserve">, </w:t>
      </w:r>
      <w:r w:rsidR="00A6117D" w:rsidRPr="008573C5">
        <w:t>a sample</w:t>
      </w:r>
      <w:r w:rsidR="00B048BA" w:rsidRPr="008573C5">
        <w:t xml:space="preserve"> size</w:t>
      </w:r>
      <w:r w:rsidR="00A6117D" w:rsidRPr="008573C5">
        <w:t xml:space="preserve"> of 400</w:t>
      </w:r>
      <w:r w:rsidRPr="008573C5">
        <w:t xml:space="preserve"> </w:t>
      </w:r>
      <w:r w:rsidR="00D414CA">
        <w:t>i</w:t>
      </w:r>
      <w:r w:rsidR="001A5548" w:rsidRPr="008573C5">
        <w:t xml:space="preserve">s considered </w:t>
      </w:r>
      <w:r w:rsidR="004127DD" w:rsidRPr="008573C5">
        <w:t>adequate</w:t>
      </w:r>
      <w:r w:rsidR="003E7497" w:rsidRPr="008573C5">
        <w:t xml:space="preserve"> as computed above</w:t>
      </w:r>
      <w:r w:rsidR="004127DD" w:rsidRPr="008573C5">
        <w:t>. Th</w:t>
      </w:r>
      <w:r w:rsidR="004E49F2" w:rsidRPr="008573C5">
        <w:t>at</w:t>
      </w:r>
      <w:r w:rsidR="004127DD" w:rsidRPr="008573C5">
        <w:t xml:space="preserve"> notwithstand</w:t>
      </w:r>
      <w:r w:rsidR="006E1FC5" w:rsidRPr="008573C5">
        <w:t>ing</w:t>
      </w:r>
      <w:r w:rsidR="00B803D5" w:rsidRPr="008573C5">
        <w:t>,</w:t>
      </w:r>
      <w:r w:rsidR="006E1FC5" w:rsidRPr="008573C5">
        <w:t xml:space="preserve"> due to the</w:t>
      </w:r>
      <w:r w:rsidR="004127DD" w:rsidRPr="008573C5">
        <w:t xml:space="preserve"> relatively low response rate</w:t>
      </w:r>
      <w:r w:rsidR="00A6117D" w:rsidRPr="008573C5">
        <w:t xml:space="preserve"> </w:t>
      </w:r>
      <w:r w:rsidR="00B803D5" w:rsidRPr="008573C5">
        <w:t>expected,</w:t>
      </w:r>
      <w:r w:rsidR="006E1FC5" w:rsidRPr="008573C5">
        <w:t xml:space="preserve"> a </w:t>
      </w:r>
      <w:r w:rsidR="001A5548" w:rsidRPr="008573C5">
        <w:t xml:space="preserve">total of </w:t>
      </w:r>
      <w:r w:rsidR="006E1FC5" w:rsidRPr="008573C5">
        <w:t xml:space="preserve">one thousand </w:t>
      </w:r>
      <w:r w:rsidR="001A5548" w:rsidRPr="008573C5">
        <w:t>copies o</w:t>
      </w:r>
      <w:r w:rsidR="00D414CA">
        <w:t>f the questionnaire a</w:t>
      </w:r>
      <w:r w:rsidR="001A5548" w:rsidRPr="008573C5">
        <w:t>re</w:t>
      </w:r>
      <w:r w:rsidR="006E1FC5" w:rsidRPr="008573C5">
        <w:t xml:space="preserve"> distributed. A low response </w:t>
      </w:r>
      <w:r w:rsidR="00D414CA">
        <w:t>i</w:t>
      </w:r>
      <w:r w:rsidR="001A5548" w:rsidRPr="008573C5">
        <w:t>s</w:t>
      </w:r>
      <w:r w:rsidR="006E1FC5" w:rsidRPr="008573C5">
        <w:t xml:space="preserve"> expe</w:t>
      </w:r>
      <w:r w:rsidR="00E92377" w:rsidRPr="008573C5">
        <w:t>rienced</w:t>
      </w:r>
      <w:r w:rsidR="006E1FC5" w:rsidRPr="008573C5">
        <w:t xml:space="preserve"> </w:t>
      </w:r>
      <w:r w:rsidR="00A6117D" w:rsidRPr="008573C5">
        <w:t>based on the fact that the que</w:t>
      </w:r>
      <w:r w:rsidR="00E92377" w:rsidRPr="008573C5">
        <w:t xml:space="preserve">stionnaire </w:t>
      </w:r>
      <w:r w:rsidR="00A6117D" w:rsidRPr="008573C5">
        <w:t>travel</w:t>
      </w:r>
      <w:r w:rsidR="00E92377" w:rsidRPr="008573C5">
        <w:t>led</w:t>
      </w:r>
      <w:r w:rsidR="00A6117D" w:rsidRPr="008573C5">
        <w:t xml:space="preserve"> far and wide</w:t>
      </w:r>
      <w:r w:rsidR="00B803D5" w:rsidRPr="008573C5">
        <w:t xml:space="preserve"> to the</w:t>
      </w:r>
      <w:r w:rsidR="004E49F2" w:rsidRPr="008573C5">
        <w:t xml:space="preserve"> six geopolitical zones in Nigeria.</w:t>
      </w:r>
      <w:r w:rsidR="00B803D5" w:rsidRPr="008573C5">
        <w:t xml:space="preserve"> </w:t>
      </w:r>
      <w:r w:rsidR="004127DD" w:rsidRPr="008573C5">
        <w:t xml:space="preserve"> </w:t>
      </w:r>
      <w:r w:rsidR="00D414CA">
        <w:t>Five hundred questionnaires a</w:t>
      </w:r>
      <w:r w:rsidR="00B57B07" w:rsidRPr="008573C5">
        <w:t xml:space="preserve">re sampled in the South-West, while </w:t>
      </w:r>
      <w:r w:rsidR="00FB5C22" w:rsidRPr="008573C5">
        <w:t>one</w:t>
      </w:r>
      <w:r w:rsidR="00B57B07" w:rsidRPr="008573C5">
        <w:t xml:space="preserve"> hundred </w:t>
      </w:r>
      <w:r w:rsidR="00FB5C22" w:rsidRPr="008573C5">
        <w:t xml:space="preserve">copies of the </w:t>
      </w:r>
      <w:r w:rsidR="006E1FC5" w:rsidRPr="008573C5">
        <w:t>questionnaire</w:t>
      </w:r>
      <w:r w:rsidR="00D414CA">
        <w:t xml:space="preserve"> a</w:t>
      </w:r>
      <w:r w:rsidR="00B57B07" w:rsidRPr="008573C5">
        <w:t xml:space="preserve">re </w:t>
      </w:r>
      <w:r w:rsidR="00FB5C22" w:rsidRPr="008573C5">
        <w:t>administered</w:t>
      </w:r>
      <w:r w:rsidR="00B57B07" w:rsidRPr="008573C5">
        <w:t xml:space="preserve"> in </w:t>
      </w:r>
      <w:r w:rsidR="006E1FC5" w:rsidRPr="008573C5">
        <w:t xml:space="preserve">each of the </w:t>
      </w:r>
      <w:r w:rsidR="00B57B07" w:rsidRPr="008573C5">
        <w:t xml:space="preserve">other zones. The preponderance of the samples in </w:t>
      </w:r>
      <w:r w:rsidR="006E1FC5" w:rsidRPr="008573C5">
        <w:t xml:space="preserve">the </w:t>
      </w:r>
      <w:r w:rsidR="00B57B07" w:rsidRPr="008573C5">
        <w:t>South-West</w:t>
      </w:r>
      <w:r w:rsidR="006E1FC5" w:rsidRPr="008573C5">
        <w:t xml:space="preserve">, particularly </w:t>
      </w:r>
      <w:r w:rsidR="00B57B07" w:rsidRPr="008573C5">
        <w:t xml:space="preserve">Lagos </w:t>
      </w:r>
      <w:r w:rsidR="006E1FC5" w:rsidRPr="008573C5">
        <w:t xml:space="preserve">City, </w:t>
      </w:r>
      <w:r w:rsidR="00D414CA">
        <w:t>i</w:t>
      </w:r>
      <w:r w:rsidR="00FB5C22" w:rsidRPr="008573C5">
        <w:t>s</w:t>
      </w:r>
      <w:r w:rsidR="006E1FC5" w:rsidRPr="008573C5">
        <w:t xml:space="preserve"> </w:t>
      </w:r>
      <w:r w:rsidR="00B57B07" w:rsidRPr="008573C5">
        <w:t>because it account</w:t>
      </w:r>
      <w:r w:rsidR="00776B61" w:rsidRPr="008573C5">
        <w:t>s</w:t>
      </w:r>
      <w:r w:rsidR="006E1FC5" w:rsidRPr="008573C5">
        <w:t xml:space="preserve"> for over 6</w:t>
      </w:r>
      <w:r w:rsidR="004E5EFA" w:rsidRPr="008573C5">
        <w:t>5</w:t>
      </w:r>
      <w:r w:rsidR="00B57B07" w:rsidRPr="008573C5">
        <w:t xml:space="preserve">% of the </w:t>
      </w:r>
      <w:r w:rsidR="004E5EFA" w:rsidRPr="008573C5">
        <w:t>commercial</w:t>
      </w:r>
      <w:r w:rsidR="00B57B07" w:rsidRPr="008573C5">
        <w:t xml:space="preserve"> activities in Nigeria</w:t>
      </w:r>
      <w:r w:rsidR="004E5EFA" w:rsidRPr="008573C5">
        <w:t xml:space="preserve"> (Galleria, 2009:1)</w:t>
      </w:r>
      <w:r w:rsidR="00B57B07" w:rsidRPr="008573C5">
        <w:t>. For the preparers, ac</w:t>
      </w:r>
      <w:r w:rsidR="00D414CA">
        <w:t>countants of listed companies a</w:t>
      </w:r>
      <w:r w:rsidR="00B57B07" w:rsidRPr="008573C5">
        <w:t xml:space="preserve">re targeted, and for the auditors, auditors of </w:t>
      </w:r>
      <w:r w:rsidR="00D414CA">
        <w:t>the ‘Big Four’ auditing firms a</w:t>
      </w:r>
      <w:r w:rsidR="00B57B07" w:rsidRPr="008573C5">
        <w:t xml:space="preserve">re targeted. It has been observed that the ‘Big Four’ audit firms </w:t>
      </w:r>
      <w:r w:rsidR="00D414CA">
        <w:t>a</w:t>
      </w:r>
      <w:r w:rsidR="00FB5C22" w:rsidRPr="008573C5">
        <w:t>re</w:t>
      </w:r>
      <w:r w:rsidR="00B57B07" w:rsidRPr="008573C5">
        <w:t xml:space="preserve"> the appointed auditors for 90% of the listed companies (World</w:t>
      </w:r>
      <w:r w:rsidR="00FB57E2" w:rsidRPr="008573C5">
        <w:t xml:space="preserve"> </w:t>
      </w:r>
      <w:r w:rsidR="00B57B07" w:rsidRPr="008573C5">
        <w:t xml:space="preserve">Bank, 2004:5). </w:t>
      </w:r>
      <w:r w:rsidR="00A6117D" w:rsidRPr="008573C5">
        <w:t>T</w:t>
      </w:r>
      <w:r w:rsidR="00D414CA">
        <w:t>argeted users a</w:t>
      </w:r>
      <w:r w:rsidR="00B57B07" w:rsidRPr="008573C5">
        <w:t>re bankers representing creditors, accounting lecturers in Universities representing educators, stockbrokers, financial analyst</w:t>
      </w:r>
      <w:r w:rsidR="00EF72EF" w:rsidRPr="008573C5">
        <w:t>s</w:t>
      </w:r>
      <w:r w:rsidR="00B57B07" w:rsidRPr="008573C5">
        <w:t xml:space="preserve"> and regulators. The</w:t>
      </w:r>
      <w:r w:rsidR="00B57B07" w:rsidRPr="008573C5">
        <w:rPr>
          <w:rFonts w:ascii="Times" w:hAnsi="Times" w:cs="Times"/>
        </w:rPr>
        <w:t xml:space="preserve"> regulators are officers in charge of regulatory activities at Nigerian Stock Exchange and Securities and Exchange Commission. </w:t>
      </w:r>
      <w:r w:rsidR="004127DD" w:rsidRPr="008573C5">
        <w:rPr>
          <w:rFonts w:ascii="Times" w:hAnsi="Times" w:cs="Times"/>
        </w:rPr>
        <w:t>The targeted users are expected to have a good understan</w:t>
      </w:r>
      <w:r w:rsidR="00A6117D" w:rsidRPr="008573C5">
        <w:rPr>
          <w:rFonts w:ascii="Times" w:hAnsi="Times" w:cs="Times"/>
        </w:rPr>
        <w:t>d</w:t>
      </w:r>
      <w:r w:rsidR="004127DD" w:rsidRPr="008573C5">
        <w:rPr>
          <w:rFonts w:ascii="Times" w:hAnsi="Times" w:cs="Times"/>
        </w:rPr>
        <w:t xml:space="preserve">ing of accounting standards </w:t>
      </w:r>
      <w:r w:rsidR="00A6117D" w:rsidRPr="008573C5">
        <w:rPr>
          <w:rFonts w:ascii="Times" w:hAnsi="Times" w:cs="Times"/>
        </w:rPr>
        <w:t>and</w:t>
      </w:r>
      <w:r w:rsidR="004127DD" w:rsidRPr="008573C5">
        <w:rPr>
          <w:rFonts w:ascii="Times" w:hAnsi="Times" w:cs="Times"/>
        </w:rPr>
        <w:t xml:space="preserve"> dis</w:t>
      </w:r>
      <w:r w:rsidR="00A6117D" w:rsidRPr="008573C5">
        <w:rPr>
          <w:rFonts w:ascii="Times" w:hAnsi="Times" w:cs="Times"/>
        </w:rPr>
        <w:t>closure practices of listed companies.</w:t>
      </w:r>
      <w:r w:rsidR="00E92377" w:rsidRPr="008573C5">
        <w:rPr>
          <w:rFonts w:ascii="Times" w:hAnsi="Times" w:cs="Times"/>
        </w:rPr>
        <w:t xml:space="preserve"> Of the 1000 copies sent out to various respondents, only 483 were duly completed and returned and all were used </w:t>
      </w:r>
      <w:r w:rsidR="00F702E7" w:rsidRPr="008573C5">
        <w:rPr>
          <w:rFonts w:ascii="Times" w:hAnsi="Times" w:cs="Times"/>
        </w:rPr>
        <w:t xml:space="preserve">in the </w:t>
      </w:r>
      <w:r w:rsidR="00E92377" w:rsidRPr="008573C5">
        <w:rPr>
          <w:rFonts w:ascii="Times" w:hAnsi="Times" w:cs="Times"/>
        </w:rPr>
        <w:t>analysis since this number bears a marginal i</w:t>
      </w:r>
      <w:r w:rsidR="00F702E7" w:rsidRPr="008573C5">
        <w:rPr>
          <w:rFonts w:ascii="Times" w:hAnsi="Times" w:cs="Times"/>
        </w:rPr>
        <w:t>n</w:t>
      </w:r>
      <w:r w:rsidR="00E92377" w:rsidRPr="008573C5">
        <w:rPr>
          <w:rFonts w:ascii="Times" w:hAnsi="Times" w:cs="Times"/>
        </w:rPr>
        <w:t>crease on the computed sample size above.</w:t>
      </w:r>
    </w:p>
    <w:p w:rsidR="008208D4" w:rsidRPr="008573C5" w:rsidRDefault="008208D4" w:rsidP="003441C1">
      <w:pPr>
        <w:autoSpaceDE w:val="0"/>
        <w:autoSpaceDN w:val="0"/>
        <w:adjustRightInd w:val="0"/>
        <w:spacing w:line="360" w:lineRule="auto"/>
        <w:jc w:val="both"/>
        <w:rPr>
          <w:rFonts w:cs="TimesNewRoman,Bold"/>
          <w:b/>
          <w:bCs/>
          <w:sz w:val="28"/>
          <w:szCs w:val="28"/>
        </w:rPr>
      </w:pPr>
    </w:p>
    <w:p w:rsidR="003441C1" w:rsidRPr="008573C5" w:rsidRDefault="003441C1" w:rsidP="003441C1">
      <w:pPr>
        <w:autoSpaceDE w:val="0"/>
        <w:autoSpaceDN w:val="0"/>
        <w:adjustRightInd w:val="0"/>
        <w:spacing w:line="360" w:lineRule="auto"/>
        <w:jc w:val="both"/>
        <w:rPr>
          <w:rFonts w:cs="TimesNewRoman,Bold"/>
          <w:b/>
          <w:bCs/>
          <w:sz w:val="28"/>
          <w:szCs w:val="28"/>
        </w:rPr>
      </w:pPr>
      <w:r w:rsidRPr="008573C5">
        <w:rPr>
          <w:rFonts w:cs="TimesNewRoman,Bold"/>
          <w:b/>
          <w:bCs/>
          <w:sz w:val="28"/>
          <w:szCs w:val="28"/>
        </w:rPr>
        <w:t>3.</w:t>
      </w:r>
      <w:r w:rsidR="00D341A1" w:rsidRPr="008573C5">
        <w:rPr>
          <w:rFonts w:cs="TimesNewRoman,Bold"/>
          <w:b/>
          <w:bCs/>
          <w:sz w:val="28"/>
          <w:szCs w:val="28"/>
        </w:rPr>
        <w:t>3</w:t>
      </w:r>
      <w:r w:rsidRPr="008573C5">
        <w:rPr>
          <w:rFonts w:cs="TimesNewRoman,Bold"/>
          <w:b/>
          <w:bCs/>
          <w:sz w:val="28"/>
          <w:szCs w:val="28"/>
        </w:rPr>
        <w:t>.3</w:t>
      </w:r>
      <w:r w:rsidRPr="008573C5">
        <w:rPr>
          <w:rFonts w:cs="TimesNewRoman,Bold"/>
          <w:b/>
          <w:bCs/>
          <w:sz w:val="28"/>
          <w:szCs w:val="28"/>
        </w:rPr>
        <w:tab/>
        <w:t xml:space="preserve">Data Gathering Method for </w:t>
      </w:r>
      <w:r w:rsidR="00B910E5" w:rsidRPr="008573C5">
        <w:rPr>
          <w:rFonts w:cs="TimesNewRoman,Bold"/>
          <w:b/>
          <w:bCs/>
          <w:sz w:val="28"/>
          <w:szCs w:val="28"/>
        </w:rPr>
        <w:t>Survey</w:t>
      </w:r>
      <w:r w:rsidR="001A79D5" w:rsidRPr="008573C5">
        <w:rPr>
          <w:rFonts w:cs="TimesNewRoman,Bold"/>
          <w:b/>
          <w:bCs/>
          <w:sz w:val="28"/>
          <w:szCs w:val="28"/>
        </w:rPr>
        <w:t xml:space="preserve"> Research</w:t>
      </w:r>
    </w:p>
    <w:p w:rsidR="003441C1" w:rsidRPr="008573C5" w:rsidRDefault="003441C1" w:rsidP="003441C1">
      <w:pPr>
        <w:autoSpaceDE w:val="0"/>
        <w:autoSpaceDN w:val="0"/>
        <w:adjustRightInd w:val="0"/>
        <w:spacing w:line="360" w:lineRule="auto"/>
        <w:jc w:val="both"/>
      </w:pPr>
      <w:r w:rsidRPr="008573C5">
        <w:t>The data gathering method explained in this sub section includes: sources of data</w:t>
      </w:r>
      <w:r w:rsidR="002D37C6" w:rsidRPr="008573C5">
        <w:t>,</w:t>
      </w:r>
      <w:r w:rsidRPr="008573C5">
        <w:t xml:space="preserve"> instrument of data collection</w:t>
      </w:r>
      <w:r w:rsidR="002D37C6" w:rsidRPr="008573C5">
        <w:t>,</w:t>
      </w:r>
      <w:r w:rsidRPr="008573C5">
        <w:t xml:space="preserve"> description and </w:t>
      </w:r>
      <w:r w:rsidR="002D37C6" w:rsidRPr="008573C5">
        <w:t>administration of questionnaire.</w:t>
      </w:r>
    </w:p>
    <w:p w:rsidR="002D37C6" w:rsidRPr="008573C5" w:rsidRDefault="002D37C6" w:rsidP="003441C1">
      <w:pPr>
        <w:autoSpaceDE w:val="0"/>
        <w:autoSpaceDN w:val="0"/>
        <w:adjustRightInd w:val="0"/>
        <w:spacing w:line="360" w:lineRule="auto"/>
        <w:jc w:val="both"/>
      </w:pPr>
    </w:p>
    <w:p w:rsidR="003441C1" w:rsidRPr="008573C5" w:rsidRDefault="001F7D5F" w:rsidP="003441C1">
      <w:pPr>
        <w:autoSpaceDE w:val="0"/>
        <w:autoSpaceDN w:val="0"/>
        <w:adjustRightInd w:val="0"/>
        <w:spacing w:line="360" w:lineRule="auto"/>
        <w:jc w:val="both"/>
        <w:rPr>
          <w:b/>
          <w:bCs/>
          <w:sz w:val="28"/>
          <w:szCs w:val="28"/>
        </w:rPr>
      </w:pPr>
      <w:r w:rsidRPr="008573C5">
        <w:rPr>
          <w:b/>
          <w:bCs/>
          <w:sz w:val="28"/>
          <w:szCs w:val="28"/>
        </w:rPr>
        <w:t>3.</w:t>
      </w:r>
      <w:r w:rsidR="002D37C6" w:rsidRPr="008573C5">
        <w:rPr>
          <w:b/>
          <w:bCs/>
          <w:sz w:val="28"/>
          <w:szCs w:val="28"/>
        </w:rPr>
        <w:t>3.3.1</w:t>
      </w:r>
      <w:r w:rsidR="002D37C6" w:rsidRPr="008573C5">
        <w:rPr>
          <w:b/>
          <w:bCs/>
          <w:sz w:val="28"/>
          <w:szCs w:val="28"/>
        </w:rPr>
        <w:tab/>
        <w:t>Sources of Primary Data</w:t>
      </w:r>
    </w:p>
    <w:p w:rsidR="003441C1" w:rsidRPr="008573C5" w:rsidRDefault="003441C1" w:rsidP="003441C1">
      <w:pPr>
        <w:spacing w:line="360" w:lineRule="auto"/>
        <w:jc w:val="both"/>
        <w:rPr>
          <w:lang w:val="en-GB"/>
        </w:rPr>
      </w:pPr>
      <w:r w:rsidRPr="008573C5">
        <w:rPr>
          <w:lang w:val="en-GB"/>
        </w:rPr>
        <w:t xml:space="preserve">For the purpose of this study, </w:t>
      </w:r>
      <w:r w:rsidR="002D37C6" w:rsidRPr="008573C5">
        <w:rPr>
          <w:lang w:val="en-GB"/>
        </w:rPr>
        <w:t>t</w:t>
      </w:r>
      <w:r w:rsidR="0032620F">
        <w:rPr>
          <w:lang w:val="en-GB"/>
        </w:rPr>
        <w:t>he primary data a</w:t>
      </w:r>
      <w:r w:rsidRPr="008573C5">
        <w:rPr>
          <w:lang w:val="en-GB"/>
        </w:rPr>
        <w:t>re obtained through the administration of questionnaires</w:t>
      </w:r>
      <w:r w:rsidR="002D37C6" w:rsidRPr="008573C5">
        <w:rPr>
          <w:lang w:val="en-GB"/>
        </w:rPr>
        <w:t xml:space="preserve"> to preparers, auditors and users of accounting information.</w:t>
      </w:r>
      <w:r w:rsidRPr="008573C5">
        <w:rPr>
          <w:lang w:val="en-GB"/>
        </w:rPr>
        <w:t xml:space="preserve">  </w:t>
      </w:r>
    </w:p>
    <w:p w:rsidR="002D37C6" w:rsidRPr="008573C5" w:rsidRDefault="002D37C6" w:rsidP="003441C1">
      <w:pPr>
        <w:spacing w:line="360" w:lineRule="auto"/>
        <w:jc w:val="both"/>
        <w:rPr>
          <w:lang w:val="en-GB"/>
        </w:rPr>
      </w:pPr>
    </w:p>
    <w:p w:rsidR="00BB3820" w:rsidRDefault="00BB3820" w:rsidP="003441C1">
      <w:pPr>
        <w:autoSpaceDE w:val="0"/>
        <w:autoSpaceDN w:val="0"/>
        <w:adjustRightInd w:val="0"/>
        <w:spacing w:line="360" w:lineRule="auto"/>
        <w:jc w:val="both"/>
        <w:rPr>
          <w:b/>
          <w:bCs/>
          <w:sz w:val="28"/>
          <w:szCs w:val="28"/>
        </w:rPr>
      </w:pPr>
    </w:p>
    <w:p w:rsidR="003441C1" w:rsidRPr="008573C5" w:rsidRDefault="003441C1" w:rsidP="003441C1">
      <w:pPr>
        <w:autoSpaceDE w:val="0"/>
        <w:autoSpaceDN w:val="0"/>
        <w:adjustRightInd w:val="0"/>
        <w:spacing w:line="360" w:lineRule="auto"/>
        <w:jc w:val="both"/>
        <w:rPr>
          <w:b/>
          <w:bCs/>
          <w:sz w:val="28"/>
          <w:szCs w:val="28"/>
        </w:rPr>
      </w:pPr>
      <w:r w:rsidRPr="008573C5">
        <w:rPr>
          <w:b/>
          <w:bCs/>
          <w:sz w:val="28"/>
          <w:szCs w:val="28"/>
        </w:rPr>
        <w:t>3.</w:t>
      </w:r>
      <w:r w:rsidR="001F7D5F" w:rsidRPr="008573C5">
        <w:rPr>
          <w:b/>
          <w:bCs/>
          <w:sz w:val="28"/>
          <w:szCs w:val="28"/>
        </w:rPr>
        <w:t>3.3</w:t>
      </w:r>
      <w:r w:rsidRPr="008573C5">
        <w:rPr>
          <w:b/>
          <w:bCs/>
          <w:sz w:val="28"/>
          <w:szCs w:val="28"/>
        </w:rPr>
        <w:t>.2</w:t>
      </w:r>
      <w:r w:rsidRPr="008573C5">
        <w:rPr>
          <w:b/>
          <w:bCs/>
          <w:sz w:val="28"/>
          <w:szCs w:val="28"/>
        </w:rPr>
        <w:tab/>
        <w:t>I</w:t>
      </w:r>
      <w:r w:rsidR="002D37C6" w:rsidRPr="008573C5">
        <w:rPr>
          <w:b/>
          <w:bCs/>
          <w:sz w:val="28"/>
          <w:szCs w:val="28"/>
        </w:rPr>
        <w:t>nstrument of Data Collection for Survey Research</w:t>
      </w:r>
    </w:p>
    <w:p w:rsidR="003441C1" w:rsidRPr="008573C5" w:rsidRDefault="003441C1" w:rsidP="003441C1">
      <w:pPr>
        <w:autoSpaceDE w:val="0"/>
        <w:autoSpaceDN w:val="0"/>
        <w:adjustRightInd w:val="0"/>
        <w:spacing w:line="360" w:lineRule="auto"/>
        <w:jc w:val="both"/>
        <w:rPr>
          <w:bCs/>
        </w:rPr>
      </w:pPr>
      <w:r w:rsidRPr="008573C5">
        <w:rPr>
          <w:bCs/>
        </w:rPr>
        <w:t xml:space="preserve">The instrument for collection of primary </w:t>
      </w:r>
      <w:r w:rsidR="0032620F">
        <w:rPr>
          <w:bCs/>
        </w:rPr>
        <w:t>data from the respondents i</w:t>
      </w:r>
      <w:r w:rsidR="00DB7655" w:rsidRPr="008573C5">
        <w:rPr>
          <w:bCs/>
        </w:rPr>
        <w:t>s</w:t>
      </w:r>
      <w:r w:rsidRPr="008573C5">
        <w:rPr>
          <w:bCs/>
        </w:rPr>
        <w:t xml:space="preserve"> a questionnaire which </w:t>
      </w:r>
      <w:r w:rsidR="00DB7655" w:rsidRPr="008573C5">
        <w:rPr>
          <w:bCs/>
        </w:rPr>
        <w:t>contains</w:t>
      </w:r>
      <w:r w:rsidRPr="008573C5">
        <w:rPr>
          <w:bCs/>
        </w:rPr>
        <w:t xml:space="preserve"> </w:t>
      </w:r>
      <w:r w:rsidR="002D37C6" w:rsidRPr="008573C5">
        <w:rPr>
          <w:bCs/>
        </w:rPr>
        <w:t>five</w:t>
      </w:r>
      <w:r w:rsidRPr="008573C5">
        <w:rPr>
          <w:bCs/>
        </w:rPr>
        <w:t xml:space="preserve"> </w:t>
      </w:r>
      <w:r w:rsidR="0014107C" w:rsidRPr="008573C5">
        <w:rPr>
          <w:bCs/>
        </w:rPr>
        <w:t>sections;</w:t>
      </w:r>
      <w:r w:rsidRPr="008573C5">
        <w:rPr>
          <w:bCs/>
        </w:rPr>
        <w:t xml:space="preserve"> sample is as in Appendix </w:t>
      </w:r>
      <w:r w:rsidR="002D37C6" w:rsidRPr="008573C5">
        <w:rPr>
          <w:bCs/>
        </w:rPr>
        <w:t>IV</w:t>
      </w:r>
      <w:r w:rsidRPr="008573C5">
        <w:rPr>
          <w:bCs/>
        </w:rPr>
        <w:t xml:space="preserve">. </w:t>
      </w:r>
    </w:p>
    <w:p w:rsidR="002D37C6" w:rsidRPr="008573C5" w:rsidRDefault="002D37C6" w:rsidP="003441C1">
      <w:pPr>
        <w:autoSpaceDE w:val="0"/>
        <w:autoSpaceDN w:val="0"/>
        <w:adjustRightInd w:val="0"/>
        <w:spacing w:line="360" w:lineRule="auto"/>
        <w:jc w:val="both"/>
        <w:rPr>
          <w:bCs/>
        </w:rPr>
      </w:pPr>
    </w:p>
    <w:p w:rsidR="002D37C6" w:rsidRPr="008573C5" w:rsidRDefault="001F7D5F" w:rsidP="002D37C6">
      <w:pPr>
        <w:autoSpaceDE w:val="0"/>
        <w:autoSpaceDN w:val="0"/>
        <w:adjustRightInd w:val="0"/>
        <w:spacing w:line="360" w:lineRule="auto"/>
        <w:jc w:val="both"/>
        <w:rPr>
          <w:b/>
          <w:bCs/>
          <w:sz w:val="28"/>
          <w:szCs w:val="28"/>
        </w:rPr>
      </w:pPr>
      <w:r w:rsidRPr="008573C5">
        <w:rPr>
          <w:b/>
          <w:bCs/>
          <w:sz w:val="28"/>
          <w:szCs w:val="28"/>
        </w:rPr>
        <w:t>3.3.3.3</w:t>
      </w:r>
      <w:r w:rsidR="003441C1" w:rsidRPr="008573C5">
        <w:rPr>
          <w:b/>
          <w:bCs/>
          <w:sz w:val="28"/>
          <w:szCs w:val="28"/>
        </w:rPr>
        <w:tab/>
        <w:t>D</w:t>
      </w:r>
      <w:r w:rsidR="002D37C6" w:rsidRPr="008573C5">
        <w:rPr>
          <w:b/>
          <w:bCs/>
          <w:sz w:val="28"/>
          <w:szCs w:val="28"/>
        </w:rPr>
        <w:t>escription of the Survey Questionnaire</w:t>
      </w:r>
    </w:p>
    <w:p w:rsidR="00A7236B" w:rsidRPr="008573C5" w:rsidRDefault="003441C1" w:rsidP="007A431F">
      <w:pPr>
        <w:spacing w:after="200" w:line="360" w:lineRule="auto"/>
        <w:jc w:val="both"/>
      </w:pPr>
      <w:r w:rsidRPr="008573C5">
        <w:t>The questionnaire f</w:t>
      </w:r>
      <w:r w:rsidR="0032620F">
        <w:t>or obtaining the primary data i</w:t>
      </w:r>
      <w:r w:rsidRPr="008573C5">
        <w:t xml:space="preserve">s structured for quick responses. It is divided into five sections. Section A covers </w:t>
      </w:r>
      <w:r w:rsidR="009812B7" w:rsidRPr="008573C5">
        <w:t xml:space="preserve">six </w:t>
      </w:r>
      <w:r w:rsidR="00EF5B8B" w:rsidRPr="008573C5">
        <w:t>items</w:t>
      </w:r>
      <w:r w:rsidR="009812B7" w:rsidRPr="008573C5">
        <w:t xml:space="preserve"> on </w:t>
      </w:r>
      <w:r w:rsidRPr="008573C5">
        <w:t xml:space="preserve">the </w:t>
      </w:r>
      <w:r w:rsidR="009812B7" w:rsidRPr="008573C5">
        <w:t xml:space="preserve">personal data of </w:t>
      </w:r>
      <w:r w:rsidR="00653F75" w:rsidRPr="008573C5">
        <w:t>respondents</w:t>
      </w:r>
      <w:r w:rsidR="00913024" w:rsidRPr="008573C5">
        <w:t xml:space="preserve">. It contains data on respondent’s organization name (optional), </w:t>
      </w:r>
      <w:r w:rsidR="007A431F" w:rsidRPr="008573C5">
        <w:t>location</w:t>
      </w:r>
      <w:r w:rsidR="0014107C" w:rsidRPr="008573C5">
        <w:t xml:space="preserve"> and </w:t>
      </w:r>
      <w:r w:rsidR="007A431F" w:rsidRPr="008573C5">
        <w:t>S</w:t>
      </w:r>
      <w:r w:rsidR="00913024" w:rsidRPr="008573C5">
        <w:t>tate</w:t>
      </w:r>
      <w:r w:rsidR="007A431F" w:rsidRPr="008573C5">
        <w:t xml:space="preserve"> </w:t>
      </w:r>
      <w:r w:rsidR="0014107C" w:rsidRPr="008573C5">
        <w:t xml:space="preserve">in which the </w:t>
      </w:r>
      <w:r w:rsidR="007A431F" w:rsidRPr="008573C5">
        <w:t>organization</w:t>
      </w:r>
      <w:r w:rsidR="0014107C" w:rsidRPr="008573C5">
        <w:t xml:space="preserve"> is located</w:t>
      </w:r>
      <w:r w:rsidR="007A431F" w:rsidRPr="008573C5">
        <w:t>, sex of respondents, educational and professional qualif</w:t>
      </w:r>
      <w:r w:rsidR="00EF72EF" w:rsidRPr="008573C5">
        <w:t>ications, occupation and work</w:t>
      </w:r>
      <w:r w:rsidR="007A431F" w:rsidRPr="008573C5">
        <w:t xml:space="preserve"> experience. </w:t>
      </w:r>
      <w:r w:rsidR="00A7236B" w:rsidRPr="008573C5">
        <w:t xml:space="preserve">The </w:t>
      </w:r>
      <w:r w:rsidR="00EF72EF" w:rsidRPr="008573C5">
        <w:t>L</w:t>
      </w:r>
      <w:r w:rsidR="00A7236B" w:rsidRPr="008573C5">
        <w:t xml:space="preserve">ocation/State is used in capturing the geopolitical zones. These zones are coded 1 for South-West, 2 for South-East, 3 for South-South, 4 for North-Central, 5 for North-East and 6 for North-West. Sex of respondents could either be male </w:t>
      </w:r>
      <w:r w:rsidR="000062BE" w:rsidRPr="008573C5">
        <w:t xml:space="preserve">(1) </w:t>
      </w:r>
      <w:r w:rsidR="00A7236B" w:rsidRPr="008573C5">
        <w:t>or female</w:t>
      </w:r>
      <w:r w:rsidR="000062BE" w:rsidRPr="008573C5">
        <w:t xml:space="preserve"> (2). E</w:t>
      </w:r>
      <w:r w:rsidR="00A7236B" w:rsidRPr="008573C5">
        <w:t>ducational qualification is</w:t>
      </w:r>
      <w:r w:rsidR="000062BE" w:rsidRPr="008573C5">
        <w:t xml:space="preserve"> coded </w:t>
      </w:r>
      <w:r w:rsidR="00A7236B" w:rsidRPr="008573C5">
        <w:t xml:space="preserve">1 for </w:t>
      </w:r>
      <w:r w:rsidR="000062BE" w:rsidRPr="008573C5">
        <w:t xml:space="preserve">HND, 2 for BSc/BA, 3 for MBA/MSc, 4 for PhD, 5 for others and 999 for no response. The professional qualification of respondent is captured as 1 for ACA/FCA, 2 for ACCA/FCCA, 3 for CNA/FCNA, 4 for </w:t>
      </w:r>
      <w:r w:rsidR="00263551" w:rsidRPr="008573C5">
        <w:t>other</w:t>
      </w:r>
      <w:r w:rsidR="000062BE" w:rsidRPr="008573C5">
        <w:t xml:space="preserve"> professional qualifications such as ACIB, MNIM, and CISA, 5 is for a combination of two professional </w:t>
      </w:r>
      <w:r w:rsidR="00DB7655" w:rsidRPr="008573C5">
        <w:t>qualifications</w:t>
      </w:r>
      <w:r w:rsidR="000062BE" w:rsidRPr="008573C5">
        <w:t xml:space="preserve"> such as ACA and ACCA and 999 is for no response. For the occupation of respondents, 1 represents Accountant, 2 represents Auditor, 3 represents Stockbroker, 4 represents </w:t>
      </w:r>
      <w:r w:rsidR="00FC0362" w:rsidRPr="008573C5">
        <w:t>F</w:t>
      </w:r>
      <w:r w:rsidR="000062BE" w:rsidRPr="008573C5">
        <w:t xml:space="preserve">inancial </w:t>
      </w:r>
      <w:r w:rsidR="00FC0362" w:rsidRPr="008573C5">
        <w:t>C</w:t>
      </w:r>
      <w:r w:rsidR="000062BE" w:rsidRPr="008573C5">
        <w:t>onsultant</w:t>
      </w:r>
      <w:r w:rsidR="00FC0362" w:rsidRPr="008573C5">
        <w:t>/Analyst, 5 represents Accounting Educator, 6 represents Banker, 7 represents Others and 999 is used in representing no response.</w:t>
      </w:r>
      <w:r w:rsidR="009812B7" w:rsidRPr="008573C5">
        <w:t xml:space="preserve"> Working experience of respondents is coded as 1 for 1-5 years experience, 2 for 6-10 years experience, 3 for above 10 years experience and 999 for no response.</w:t>
      </w:r>
    </w:p>
    <w:p w:rsidR="007A431F" w:rsidRPr="008573C5" w:rsidRDefault="007A431F" w:rsidP="007A431F">
      <w:pPr>
        <w:spacing w:after="200" w:line="360" w:lineRule="auto"/>
        <w:jc w:val="both"/>
      </w:pPr>
      <w:r w:rsidRPr="008573C5">
        <w:t>Sections B to E cover area</w:t>
      </w:r>
      <w:r w:rsidR="009812B7" w:rsidRPr="008573C5">
        <w:t>s</w:t>
      </w:r>
      <w:r w:rsidRPr="008573C5">
        <w:t xml:space="preserve"> relevant to the accomplishment of the research questions</w:t>
      </w:r>
      <w:r w:rsidR="00EF72EF" w:rsidRPr="008573C5">
        <w:t>. It</w:t>
      </w:r>
      <w:r w:rsidRPr="008573C5">
        <w:t xml:space="preserve"> contains twenty nine closed-ended </w:t>
      </w:r>
      <w:r w:rsidR="00DB7655" w:rsidRPr="008573C5">
        <w:t>items</w:t>
      </w:r>
      <w:r w:rsidRPr="008573C5">
        <w:t xml:space="preserve"> </w:t>
      </w:r>
      <w:r w:rsidR="009812B7" w:rsidRPr="008573C5">
        <w:t xml:space="preserve">(labeled 7 to 35) </w:t>
      </w:r>
      <w:r w:rsidRPr="008573C5">
        <w:t>designed on a 4-point Likert scale</w:t>
      </w:r>
      <w:r w:rsidR="00AA0B10" w:rsidRPr="008573C5">
        <w:t xml:space="preserve"> (Kumar, 1999:131)</w:t>
      </w:r>
      <w:r w:rsidRPr="008573C5">
        <w:t xml:space="preserve">. The scales are: Strongly Agree (4 points); Agree (3 points); Disagree (2 points) and Strongly Disagree (1 point). Respondents are expected to indicate their choices by ticking one of these </w:t>
      </w:r>
      <w:r w:rsidR="00DB7655" w:rsidRPr="008573C5">
        <w:t>options</w:t>
      </w:r>
      <w:r w:rsidRPr="008573C5">
        <w:t>.</w:t>
      </w:r>
      <w:r w:rsidR="00A7236B" w:rsidRPr="008573C5">
        <w:t xml:space="preserve"> In cases where no choice is made,</w:t>
      </w:r>
      <w:r w:rsidR="00F209E8" w:rsidRPr="008573C5">
        <w:t xml:space="preserve"> such item</w:t>
      </w:r>
      <w:r w:rsidR="00A7236B" w:rsidRPr="008573C5">
        <w:t xml:space="preserve"> is treated as a missing value ‘999’.</w:t>
      </w:r>
      <w:r w:rsidR="00F209E8" w:rsidRPr="008573C5">
        <w:t xml:space="preserve"> </w:t>
      </w:r>
      <w:r w:rsidRPr="008573C5">
        <w:t xml:space="preserve">Specifically, Section B covers </w:t>
      </w:r>
      <w:r w:rsidR="009812B7" w:rsidRPr="008573C5">
        <w:t xml:space="preserve">7 </w:t>
      </w:r>
      <w:r w:rsidR="005432A2" w:rsidRPr="008573C5">
        <w:t>item</w:t>
      </w:r>
      <w:r w:rsidRPr="008573C5">
        <w:t>s on the extent of compliance of financial and non-financial companies with Statement of Accounting Standards (SASs) and International Financial Reporting Standard (IASs/IFRSs)</w:t>
      </w:r>
      <w:r w:rsidR="00F209E8" w:rsidRPr="008573C5">
        <w:t>;</w:t>
      </w:r>
      <w:r w:rsidRPr="008573C5">
        <w:t xml:space="preserve"> Section C covers </w:t>
      </w:r>
      <w:r w:rsidR="009812B7" w:rsidRPr="008573C5">
        <w:t xml:space="preserve">5 </w:t>
      </w:r>
      <w:r w:rsidR="005432A2" w:rsidRPr="008573C5">
        <w:t>items</w:t>
      </w:r>
      <w:r w:rsidRPr="008573C5">
        <w:t xml:space="preserve"> on disclosure of voluntary </w:t>
      </w:r>
      <w:r w:rsidR="00F209E8" w:rsidRPr="008573C5">
        <w:t>information;</w:t>
      </w:r>
      <w:r w:rsidRPr="008573C5">
        <w:t xml:space="preserve"> Section D covers </w:t>
      </w:r>
      <w:r w:rsidR="009812B7" w:rsidRPr="008573C5">
        <w:t xml:space="preserve">12 </w:t>
      </w:r>
      <w:r w:rsidR="005432A2" w:rsidRPr="008573C5">
        <w:t>items</w:t>
      </w:r>
      <w:r w:rsidRPr="008573C5">
        <w:t xml:space="preserve"> on factors influencing disclosure</w:t>
      </w:r>
      <w:r w:rsidR="00F209E8" w:rsidRPr="008573C5">
        <w:t>;</w:t>
      </w:r>
      <w:r w:rsidRPr="008573C5">
        <w:t xml:space="preserve"> while Section E covers </w:t>
      </w:r>
      <w:r w:rsidR="009812B7" w:rsidRPr="008573C5">
        <w:t xml:space="preserve">5 </w:t>
      </w:r>
      <w:r w:rsidR="005432A2" w:rsidRPr="008573C5">
        <w:t>items</w:t>
      </w:r>
      <w:r w:rsidRPr="008573C5">
        <w:t xml:space="preserve"> on consequences of non-compliance with disclosure requirements of the accounting standards</w:t>
      </w:r>
      <w:r w:rsidR="00F209E8" w:rsidRPr="008573C5">
        <w:t>.</w:t>
      </w:r>
    </w:p>
    <w:p w:rsidR="007A431F" w:rsidRPr="008573C5" w:rsidRDefault="007A431F" w:rsidP="007A431F">
      <w:pPr>
        <w:rPr>
          <w:sz w:val="28"/>
          <w:szCs w:val="28"/>
        </w:rPr>
      </w:pPr>
    </w:p>
    <w:p w:rsidR="003441C1" w:rsidRPr="008573C5" w:rsidRDefault="003441C1" w:rsidP="003441C1">
      <w:pPr>
        <w:spacing w:line="360" w:lineRule="auto"/>
        <w:jc w:val="both"/>
        <w:rPr>
          <w:rFonts w:ascii="Times" w:hAnsi="Times" w:cs="Times"/>
          <w:sz w:val="28"/>
          <w:szCs w:val="28"/>
        </w:rPr>
      </w:pPr>
      <w:r w:rsidRPr="008573C5">
        <w:rPr>
          <w:rFonts w:ascii="TimesNewRoman,Bold" w:hAnsi="TimesNewRoman,Bold" w:cs="TimesNewRoman,Bold"/>
          <w:b/>
          <w:bCs/>
          <w:sz w:val="28"/>
          <w:szCs w:val="28"/>
        </w:rPr>
        <w:t>3.</w:t>
      </w:r>
      <w:r w:rsidR="006322AB" w:rsidRPr="008573C5">
        <w:rPr>
          <w:rFonts w:ascii="TimesNewRoman,Bold" w:hAnsi="TimesNewRoman,Bold" w:cs="TimesNewRoman,Bold"/>
          <w:b/>
          <w:bCs/>
          <w:sz w:val="28"/>
          <w:szCs w:val="28"/>
        </w:rPr>
        <w:t>3</w:t>
      </w:r>
      <w:r w:rsidRPr="008573C5">
        <w:rPr>
          <w:rFonts w:ascii="TimesNewRoman,Bold" w:hAnsi="TimesNewRoman,Bold" w:cs="TimesNewRoman,Bold"/>
          <w:b/>
          <w:bCs/>
          <w:sz w:val="28"/>
          <w:szCs w:val="28"/>
        </w:rPr>
        <w:t>.4</w:t>
      </w:r>
      <w:r w:rsidRPr="008573C5">
        <w:rPr>
          <w:rFonts w:ascii="TimesNewRoman,Bold" w:hAnsi="TimesNewRoman,Bold" w:cs="TimesNewRoman,Bold"/>
          <w:b/>
          <w:bCs/>
          <w:sz w:val="28"/>
          <w:szCs w:val="28"/>
        </w:rPr>
        <w:tab/>
        <w:t>V</w:t>
      </w:r>
      <w:r w:rsidR="006322AB" w:rsidRPr="008573C5">
        <w:rPr>
          <w:rFonts w:ascii="TimesNewRoman,Bold" w:hAnsi="TimesNewRoman,Bold" w:cs="TimesNewRoman,Bold"/>
          <w:b/>
          <w:bCs/>
          <w:sz w:val="28"/>
          <w:szCs w:val="28"/>
        </w:rPr>
        <w:t>alidity and Reliability of Survey Instrument</w:t>
      </w:r>
    </w:p>
    <w:p w:rsidR="000E2198" w:rsidRPr="008573C5" w:rsidRDefault="003441C1" w:rsidP="003441C1">
      <w:pPr>
        <w:autoSpaceDE w:val="0"/>
        <w:autoSpaceDN w:val="0"/>
        <w:adjustRightInd w:val="0"/>
        <w:spacing w:line="360" w:lineRule="auto"/>
        <w:jc w:val="both"/>
      </w:pPr>
      <w:r w:rsidRPr="008573C5">
        <w:t xml:space="preserve">The validity of an instrument is being able to measure what </w:t>
      </w:r>
      <w:r w:rsidR="00DB7655" w:rsidRPr="008573C5">
        <w:t xml:space="preserve">it </w:t>
      </w:r>
      <w:r w:rsidRPr="008573C5">
        <w:t xml:space="preserve">is supposed to measure while the reliability </w:t>
      </w:r>
      <w:r w:rsidR="00C861A8" w:rsidRPr="008573C5">
        <w:t>is the degree to which the items that make up the scale are all measuri</w:t>
      </w:r>
      <w:r w:rsidR="00DB7655" w:rsidRPr="008573C5">
        <w:t>ng the same underlying attribute consistently.</w:t>
      </w:r>
      <w:r w:rsidR="00EF72EF" w:rsidRPr="008573C5">
        <w:t xml:space="preserve"> To</w:t>
      </w:r>
      <w:r w:rsidRPr="008573C5">
        <w:t xml:space="preserve"> ensure the conte</w:t>
      </w:r>
      <w:r w:rsidR="0032620F">
        <w:t>nt validity, the questionnaire i</w:t>
      </w:r>
      <w:r w:rsidR="00D237F6" w:rsidRPr="008573C5">
        <w:t>s</w:t>
      </w:r>
      <w:r w:rsidRPr="008573C5">
        <w:t xml:space="preserve"> reviewed by the researcher</w:t>
      </w:r>
      <w:r w:rsidR="00EF72EF" w:rsidRPr="008573C5">
        <w:t>’</w:t>
      </w:r>
      <w:r w:rsidRPr="008573C5">
        <w:t xml:space="preserve">s supervisor, co-supervisor, </w:t>
      </w:r>
      <w:r w:rsidR="004F233D" w:rsidRPr="008573C5">
        <w:t>five</w:t>
      </w:r>
      <w:r w:rsidRPr="008573C5">
        <w:t xml:space="preserve"> lecturers in the Department of Accounting at Covenant University and a lecturer at University of Lagos for corrections and criticism</w:t>
      </w:r>
      <w:r w:rsidR="00EF72EF" w:rsidRPr="008573C5">
        <w:t>s</w:t>
      </w:r>
      <w:r w:rsidRPr="008573C5">
        <w:t>. On the basis o</w:t>
      </w:r>
      <w:r w:rsidR="0032620F">
        <w:t>f this review a few changes a</w:t>
      </w:r>
      <w:r w:rsidRPr="008573C5">
        <w:t xml:space="preserve">re made to some of the questions. </w:t>
      </w:r>
    </w:p>
    <w:p w:rsidR="003441C1" w:rsidRPr="008573C5" w:rsidRDefault="000E2198" w:rsidP="003441C1">
      <w:pPr>
        <w:autoSpaceDE w:val="0"/>
        <w:autoSpaceDN w:val="0"/>
        <w:adjustRightInd w:val="0"/>
        <w:spacing w:line="360" w:lineRule="auto"/>
        <w:jc w:val="both"/>
        <w:rPr>
          <w:bCs/>
        </w:rPr>
      </w:pPr>
      <w:r w:rsidRPr="008573C5">
        <w:rPr>
          <w:bCs/>
        </w:rPr>
        <w:t xml:space="preserve"> </w:t>
      </w:r>
    </w:p>
    <w:p w:rsidR="00A9772C" w:rsidRPr="008573C5" w:rsidRDefault="0014107C" w:rsidP="00A9772C">
      <w:pPr>
        <w:tabs>
          <w:tab w:val="left" w:pos="4860"/>
        </w:tabs>
        <w:autoSpaceDE w:val="0"/>
        <w:autoSpaceDN w:val="0"/>
        <w:adjustRightInd w:val="0"/>
        <w:spacing w:line="360" w:lineRule="auto"/>
        <w:jc w:val="center"/>
        <w:rPr>
          <w:b/>
          <w:bCs/>
          <w:sz w:val="28"/>
          <w:szCs w:val="28"/>
          <w:lang w:val="en-GB"/>
        </w:rPr>
      </w:pPr>
      <w:r w:rsidRPr="008573C5">
        <w:rPr>
          <w:b/>
          <w:bCs/>
          <w:sz w:val="28"/>
          <w:szCs w:val="28"/>
          <w:lang w:val="en-GB"/>
        </w:rPr>
        <w:t>Table 3</w:t>
      </w:r>
      <w:r w:rsidR="00A9772C" w:rsidRPr="008573C5">
        <w:rPr>
          <w:b/>
          <w:bCs/>
          <w:sz w:val="28"/>
          <w:szCs w:val="28"/>
          <w:lang w:val="en-GB"/>
        </w:rPr>
        <w:t>.</w:t>
      </w:r>
      <w:r w:rsidRPr="008573C5">
        <w:rPr>
          <w:b/>
          <w:bCs/>
          <w:sz w:val="28"/>
          <w:szCs w:val="28"/>
          <w:lang w:val="en-GB"/>
        </w:rPr>
        <w:t>06</w:t>
      </w:r>
      <w:r w:rsidR="00A9772C" w:rsidRPr="008573C5">
        <w:rPr>
          <w:b/>
          <w:bCs/>
          <w:sz w:val="28"/>
          <w:szCs w:val="28"/>
          <w:lang w:val="en-GB"/>
        </w:rPr>
        <w:t>: Reliability tests for the Survey Scale</w:t>
      </w:r>
    </w:p>
    <w:tbl>
      <w:tblPr>
        <w:tblStyle w:val="TableGrid"/>
        <w:tblW w:w="0" w:type="auto"/>
        <w:tblLook w:val="04A0"/>
      </w:tblPr>
      <w:tblGrid>
        <w:gridCol w:w="1236"/>
        <w:gridCol w:w="2785"/>
        <w:gridCol w:w="2252"/>
        <w:gridCol w:w="2252"/>
      </w:tblGrid>
      <w:tr w:rsidR="00A9772C" w:rsidRPr="008573C5" w:rsidTr="00710923">
        <w:tc>
          <w:tcPr>
            <w:tcW w:w="1236"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Number</w:t>
            </w:r>
          </w:p>
        </w:tc>
        <w:tc>
          <w:tcPr>
            <w:tcW w:w="2785"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Type of Reliability Test</w:t>
            </w:r>
          </w:p>
        </w:tc>
        <w:tc>
          <w:tcPr>
            <w:tcW w:w="2252"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Value</w:t>
            </w:r>
          </w:p>
        </w:tc>
        <w:tc>
          <w:tcPr>
            <w:tcW w:w="2252"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Remarks</w:t>
            </w:r>
          </w:p>
        </w:tc>
      </w:tr>
      <w:tr w:rsidR="00A9772C" w:rsidRPr="008573C5" w:rsidTr="00710923">
        <w:tc>
          <w:tcPr>
            <w:tcW w:w="1236"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1</w:t>
            </w:r>
          </w:p>
        </w:tc>
        <w:tc>
          <w:tcPr>
            <w:tcW w:w="2785"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Cronbach’s Alpha</w:t>
            </w:r>
          </w:p>
        </w:tc>
        <w:tc>
          <w:tcPr>
            <w:tcW w:w="2252"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0.824</w:t>
            </w:r>
          </w:p>
        </w:tc>
        <w:tc>
          <w:tcPr>
            <w:tcW w:w="2252"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Very Reliable</w:t>
            </w:r>
          </w:p>
        </w:tc>
      </w:tr>
      <w:tr w:rsidR="00A9772C" w:rsidRPr="008573C5" w:rsidTr="00710923">
        <w:tc>
          <w:tcPr>
            <w:tcW w:w="1236" w:type="dxa"/>
            <w:vMerge w:val="restart"/>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2</w:t>
            </w:r>
          </w:p>
        </w:tc>
        <w:tc>
          <w:tcPr>
            <w:tcW w:w="2785" w:type="dxa"/>
            <w:vMerge w:val="restart"/>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 xml:space="preserve">Split-half </w:t>
            </w:r>
          </w:p>
        </w:tc>
        <w:tc>
          <w:tcPr>
            <w:tcW w:w="2252"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Part 1 =0.774</w:t>
            </w:r>
          </w:p>
        </w:tc>
        <w:tc>
          <w:tcPr>
            <w:tcW w:w="2252" w:type="dxa"/>
          </w:tcPr>
          <w:p w:rsidR="00A9772C" w:rsidRPr="008573C5" w:rsidRDefault="00A9772C" w:rsidP="00710923">
            <w:r w:rsidRPr="008573C5">
              <w:rPr>
                <w:rFonts w:ascii="TimesNewRoman,Bold" w:hAnsi="TimesNewRoman,Bold" w:cs="TimesNewRoman,Bold"/>
                <w:bCs/>
              </w:rPr>
              <w:t>Very Reliable</w:t>
            </w:r>
          </w:p>
        </w:tc>
      </w:tr>
      <w:tr w:rsidR="00A9772C" w:rsidRPr="008573C5" w:rsidTr="00710923">
        <w:tc>
          <w:tcPr>
            <w:tcW w:w="1236" w:type="dxa"/>
            <w:vMerge/>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p>
        </w:tc>
        <w:tc>
          <w:tcPr>
            <w:tcW w:w="2785" w:type="dxa"/>
            <w:vMerge/>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p>
        </w:tc>
        <w:tc>
          <w:tcPr>
            <w:tcW w:w="2252"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Part 2 =0.776</w:t>
            </w:r>
          </w:p>
        </w:tc>
        <w:tc>
          <w:tcPr>
            <w:tcW w:w="2252" w:type="dxa"/>
          </w:tcPr>
          <w:p w:rsidR="00A9772C" w:rsidRPr="008573C5" w:rsidRDefault="00A9772C" w:rsidP="00710923">
            <w:r w:rsidRPr="008573C5">
              <w:rPr>
                <w:rFonts w:ascii="TimesNewRoman,Bold" w:hAnsi="TimesNewRoman,Bold" w:cs="TimesNewRoman,Bold"/>
                <w:bCs/>
              </w:rPr>
              <w:t>Very Reliable</w:t>
            </w:r>
          </w:p>
        </w:tc>
      </w:tr>
      <w:tr w:rsidR="00A9772C" w:rsidRPr="008573C5" w:rsidTr="00710923">
        <w:tc>
          <w:tcPr>
            <w:tcW w:w="1236"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3</w:t>
            </w:r>
          </w:p>
        </w:tc>
        <w:tc>
          <w:tcPr>
            <w:tcW w:w="2785"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 xml:space="preserve">Guttman </w:t>
            </w:r>
          </w:p>
        </w:tc>
        <w:tc>
          <w:tcPr>
            <w:tcW w:w="2252"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Lambda 1 = 0.796</w:t>
            </w:r>
          </w:p>
        </w:tc>
        <w:tc>
          <w:tcPr>
            <w:tcW w:w="2252" w:type="dxa"/>
          </w:tcPr>
          <w:p w:rsidR="00A9772C" w:rsidRPr="008573C5" w:rsidRDefault="00A9772C" w:rsidP="00710923">
            <w:r w:rsidRPr="008573C5">
              <w:rPr>
                <w:rFonts w:ascii="TimesNewRoman,Bold" w:hAnsi="TimesNewRoman,Bold" w:cs="TimesNewRoman,Bold"/>
                <w:bCs/>
              </w:rPr>
              <w:t>Very Reliable</w:t>
            </w:r>
          </w:p>
        </w:tc>
      </w:tr>
      <w:tr w:rsidR="00A9772C" w:rsidRPr="008573C5" w:rsidTr="00710923">
        <w:tc>
          <w:tcPr>
            <w:tcW w:w="1236"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p>
        </w:tc>
        <w:tc>
          <w:tcPr>
            <w:tcW w:w="2785"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p>
        </w:tc>
        <w:tc>
          <w:tcPr>
            <w:tcW w:w="2252"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Lambda 2 = 0.833</w:t>
            </w:r>
          </w:p>
        </w:tc>
        <w:tc>
          <w:tcPr>
            <w:tcW w:w="2252" w:type="dxa"/>
          </w:tcPr>
          <w:p w:rsidR="00A9772C" w:rsidRPr="008573C5" w:rsidRDefault="00A9772C" w:rsidP="00710923">
            <w:r w:rsidRPr="008573C5">
              <w:rPr>
                <w:rFonts w:ascii="TimesNewRoman,Bold" w:hAnsi="TimesNewRoman,Bold" w:cs="TimesNewRoman,Bold"/>
                <w:bCs/>
              </w:rPr>
              <w:t>Very Reliable</w:t>
            </w:r>
          </w:p>
        </w:tc>
      </w:tr>
      <w:tr w:rsidR="00A9772C" w:rsidRPr="008573C5" w:rsidTr="00710923">
        <w:tc>
          <w:tcPr>
            <w:tcW w:w="1236"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p>
        </w:tc>
        <w:tc>
          <w:tcPr>
            <w:tcW w:w="2785"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p>
        </w:tc>
        <w:tc>
          <w:tcPr>
            <w:tcW w:w="2252"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Lambda 3 = 0.824</w:t>
            </w:r>
          </w:p>
        </w:tc>
        <w:tc>
          <w:tcPr>
            <w:tcW w:w="2252" w:type="dxa"/>
          </w:tcPr>
          <w:p w:rsidR="00A9772C" w:rsidRPr="008573C5" w:rsidRDefault="00A9772C" w:rsidP="00710923">
            <w:r w:rsidRPr="008573C5">
              <w:rPr>
                <w:rFonts w:ascii="TimesNewRoman,Bold" w:hAnsi="TimesNewRoman,Bold" w:cs="TimesNewRoman,Bold"/>
                <w:bCs/>
              </w:rPr>
              <w:t>Very Reliable</w:t>
            </w:r>
          </w:p>
        </w:tc>
      </w:tr>
      <w:tr w:rsidR="00A9772C" w:rsidRPr="008573C5" w:rsidTr="00710923">
        <w:tc>
          <w:tcPr>
            <w:tcW w:w="1236"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p>
        </w:tc>
        <w:tc>
          <w:tcPr>
            <w:tcW w:w="2785"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p>
        </w:tc>
        <w:tc>
          <w:tcPr>
            <w:tcW w:w="2252"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Lambda 4 = 0.532</w:t>
            </w:r>
          </w:p>
        </w:tc>
        <w:tc>
          <w:tcPr>
            <w:tcW w:w="2252" w:type="dxa"/>
          </w:tcPr>
          <w:p w:rsidR="00A9772C" w:rsidRPr="008573C5" w:rsidRDefault="0044729F" w:rsidP="00710923">
            <w:r w:rsidRPr="008573C5">
              <w:rPr>
                <w:rFonts w:ascii="TimesNewRoman,Bold" w:hAnsi="TimesNewRoman,Bold" w:cs="TimesNewRoman,Bold"/>
                <w:bCs/>
              </w:rPr>
              <w:t>Moderately reliable</w:t>
            </w:r>
          </w:p>
        </w:tc>
      </w:tr>
      <w:tr w:rsidR="00A9772C" w:rsidRPr="008573C5" w:rsidTr="00710923">
        <w:tc>
          <w:tcPr>
            <w:tcW w:w="1236"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p>
        </w:tc>
        <w:tc>
          <w:tcPr>
            <w:tcW w:w="2785"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p>
        </w:tc>
        <w:tc>
          <w:tcPr>
            <w:tcW w:w="2252"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Lambda 5 = 0.813</w:t>
            </w:r>
          </w:p>
        </w:tc>
        <w:tc>
          <w:tcPr>
            <w:tcW w:w="2252" w:type="dxa"/>
          </w:tcPr>
          <w:p w:rsidR="00A9772C" w:rsidRPr="008573C5" w:rsidRDefault="0044729F" w:rsidP="00710923">
            <w:r w:rsidRPr="008573C5">
              <w:rPr>
                <w:rFonts w:ascii="TimesNewRoman,Bold" w:hAnsi="TimesNewRoman,Bold" w:cs="TimesNewRoman,Bold"/>
                <w:bCs/>
              </w:rPr>
              <w:t>Very Reliable</w:t>
            </w:r>
          </w:p>
        </w:tc>
      </w:tr>
      <w:tr w:rsidR="00A9772C" w:rsidRPr="008573C5" w:rsidTr="00710923">
        <w:tc>
          <w:tcPr>
            <w:tcW w:w="1236"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p>
        </w:tc>
        <w:tc>
          <w:tcPr>
            <w:tcW w:w="2785"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p>
        </w:tc>
        <w:tc>
          <w:tcPr>
            <w:tcW w:w="2252"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Lambda 6 = 0.867</w:t>
            </w:r>
          </w:p>
        </w:tc>
        <w:tc>
          <w:tcPr>
            <w:tcW w:w="2252" w:type="dxa"/>
          </w:tcPr>
          <w:p w:rsidR="00A9772C" w:rsidRPr="008573C5" w:rsidRDefault="00A9772C" w:rsidP="00710923">
            <w:r w:rsidRPr="008573C5">
              <w:rPr>
                <w:rFonts w:ascii="TimesNewRoman,Bold" w:hAnsi="TimesNewRoman,Bold" w:cs="TimesNewRoman,Bold"/>
                <w:bCs/>
              </w:rPr>
              <w:t>Very Reliable</w:t>
            </w:r>
          </w:p>
        </w:tc>
      </w:tr>
      <w:tr w:rsidR="00A9772C" w:rsidRPr="008573C5" w:rsidTr="00710923">
        <w:tc>
          <w:tcPr>
            <w:tcW w:w="1236"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4</w:t>
            </w:r>
          </w:p>
        </w:tc>
        <w:tc>
          <w:tcPr>
            <w:tcW w:w="2785"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 xml:space="preserve">Parallel </w:t>
            </w:r>
          </w:p>
        </w:tc>
        <w:tc>
          <w:tcPr>
            <w:tcW w:w="2252"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0.824</w:t>
            </w:r>
          </w:p>
        </w:tc>
        <w:tc>
          <w:tcPr>
            <w:tcW w:w="2252" w:type="dxa"/>
          </w:tcPr>
          <w:p w:rsidR="00A9772C" w:rsidRPr="008573C5" w:rsidRDefault="00A9772C" w:rsidP="00710923">
            <w:r w:rsidRPr="008573C5">
              <w:rPr>
                <w:rFonts w:ascii="TimesNewRoman,Bold" w:hAnsi="TimesNewRoman,Bold" w:cs="TimesNewRoman,Bold"/>
                <w:bCs/>
              </w:rPr>
              <w:t>Very Reliable</w:t>
            </w:r>
          </w:p>
        </w:tc>
      </w:tr>
      <w:tr w:rsidR="00A9772C" w:rsidRPr="008573C5" w:rsidTr="00710923">
        <w:tc>
          <w:tcPr>
            <w:tcW w:w="1236"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p>
        </w:tc>
        <w:tc>
          <w:tcPr>
            <w:tcW w:w="2785"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p>
        </w:tc>
        <w:tc>
          <w:tcPr>
            <w:tcW w:w="2252"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0.825 (unbiased)</w:t>
            </w:r>
          </w:p>
        </w:tc>
        <w:tc>
          <w:tcPr>
            <w:tcW w:w="2252" w:type="dxa"/>
          </w:tcPr>
          <w:p w:rsidR="00A9772C" w:rsidRPr="008573C5" w:rsidRDefault="00A9772C" w:rsidP="00710923">
            <w:r w:rsidRPr="008573C5">
              <w:rPr>
                <w:rFonts w:ascii="TimesNewRoman,Bold" w:hAnsi="TimesNewRoman,Bold" w:cs="TimesNewRoman,Bold"/>
                <w:bCs/>
              </w:rPr>
              <w:t>Very Reliable</w:t>
            </w:r>
          </w:p>
        </w:tc>
      </w:tr>
      <w:tr w:rsidR="00A9772C" w:rsidRPr="008573C5" w:rsidTr="00710923">
        <w:tc>
          <w:tcPr>
            <w:tcW w:w="1236"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5</w:t>
            </w:r>
          </w:p>
        </w:tc>
        <w:tc>
          <w:tcPr>
            <w:tcW w:w="2785"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Strict Parallel</w:t>
            </w:r>
          </w:p>
        </w:tc>
        <w:tc>
          <w:tcPr>
            <w:tcW w:w="2252"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0.809</w:t>
            </w:r>
          </w:p>
        </w:tc>
        <w:tc>
          <w:tcPr>
            <w:tcW w:w="2252" w:type="dxa"/>
          </w:tcPr>
          <w:p w:rsidR="00A9772C" w:rsidRPr="008573C5" w:rsidRDefault="00A9772C" w:rsidP="00710923">
            <w:r w:rsidRPr="008573C5">
              <w:rPr>
                <w:rFonts w:ascii="TimesNewRoman,Bold" w:hAnsi="TimesNewRoman,Bold" w:cs="TimesNewRoman,Bold"/>
                <w:bCs/>
              </w:rPr>
              <w:t>Very Reliable</w:t>
            </w:r>
          </w:p>
        </w:tc>
      </w:tr>
      <w:tr w:rsidR="00A9772C" w:rsidRPr="008573C5" w:rsidTr="00710923">
        <w:tc>
          <w:tcPr>
            <w:tcW w:w="1236"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p>
        </w:tc>
        <w:tc>
          <w:tcPr>
            <w:tcW w:w="2785"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p>
        </w:tc>
        <w:tc>
          <w:tcPr>
            <w:tcW w:w="2252" w:type="dxa"/>
          </w:tcPr>
          <w:p w:rsidR="00A9772C" w:rsidRPr="008573C5" w:rsidRDefault="00A9772C" w:rsidP="00710923">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0.810 (unbiased)</w:t>
            </w:r>
          </w:p>
        </w:tc>
        <w:tc>
          <w:tcPr>
            <w:tcW w:w="2252" w:type="dxa"/>
          </w:tcPr>
          <w:p w:rsidR="00A9772C" w:rsidRPr="008573C5" w:rsidRDefault="00A9772C" w:rsidP="00710923">
            <w:r w:rsidRPr="008573C5">
              <w:rPr>
                <w:rFonts w:ascii="TimesNewRoman,Bold" w:hAnsi="TimesNewRoman,Bold" w:cs="TimesNewRoman,Bold"/>
                <w:bCs/>
              </w:rPr>
              <w:t>Very Reliable</w:t>
            </w:r>
          </w:p>
        </w:tc>
      </w:tr>
    </w:tbl>
    <w:p w:rsidR="00A9772C" w:rsidRPr="008573C5" w:rsidRDefault="00A9772C" w:rsidP="00C82C02">
      <w:pPr>
        <w:tabs>
          <w:tab w:val="left" w:pos="4860"/>
        </w:tabs>
        <w:autoSpaceDE w:val="0"/>
        <w:autoSpaceDN w:val="0"/>
        <w:adjustRightInd w:val="0"/>
        <w:spacing w:line="360" w:lineRule="auto"/>
        <w:jc w:val="center"/>
        <w:rPr>
          <w:rFonts w:ascii="TimesNewRoman,Bold" w:hAnsi="TimesNewRoman,Bold" w:cs="TimesNewRoman,Bold"/>
          <w:b/>
          <w:bCs/>
        </w:rPr>
      </w:pPr>
      <w:r w:rsidRPr="008573C5">
        <w:rPr>
          <w:rFonts w:ascii="TimesNewRoman,Bold" w:hAnsi="TimesNewRoman,Bold" w:cs="TimesNewRoman,Bold"/>
          <w:b/>
          <w:bCs/>
        </w:rPr>
        <w:t xml:space="preserve">Source: </w:t>
      </w:r>
      <w:r w:rsidR="00C82C02" w:rsidRPr="008573C5">
        <w:rPr>
          <w:rFonts w:ascii="TimesNewRoman,Bold" w:hAnsi="TimesNewRoman,Bold" w:cs="TimesNewRoman,Bold"/>
          <w:b/>
          <w:bCs/>
        </w:rPr>
        <w:t xml:space="preserve">Field </w:t>
      </w:r>
      <w:r w:rsidRPr="008573C5">
        <w:rPr>
          <w:rFonts w:ascii="TimesNewRoman,Bold" w:hAnsi="TimesNewRoman,Bold" w:cs="TimesNewRoman,Bold"/>
          <w:b/>
          <w:bCs/>
        </w:rPr>
        <w:t xml:space="preserve"> Study</w:t>
      </w:r>
      <w:r w:rsidR="00C82C02" w:rsidRPr="008573C5">
        <w:rPr>
          <w:rFonts w:ascii="TimesNewRoman,Bold" w:hAnsi="TimesNewRoman,Bold" w:cs="TimesNewRoman,Bold"/>
          <w:b/>
          <w:bCs/>
        </w:rPr>
        <w:t xml:space="preserve"> </w:t>
      </w:r>
      <w:r w:rsidRPr="008573C5">
        <w:rPr>
          <w:rFonts w:ascii="TimesNewRoman,Bold" w:hAnsi="TimesNewRoman,Bold" w:cs="TimesNewRoman,Bold"/>
          <w:b/>
          <w:bCs/>
        </w:rPr>
        <w:t>(</w:t>
      </w:r>
      <w:r w:rsidR="00C82C02" w:rsidRPr="008573C5">
        <w:rPr>
          <w:rFonts w:ascii="TimesNewRoman,Bold" w:hAnsi="TimesNewRoman,Bold" w:cs="TimesNewRoman,Bold"/>
          <w:b/>
          <w:bCs/>
        </w:rPr>
        <w:t>2009)</w:t>
      </w:r>
    </w:p>
    <w:p w:rsidR="00AA29D0" w:rsidRPr="008573C5" w:rsidRDefault="00AA29D0" w:rsidP="00A9772C">
      <w:pPr>
        <w:tabs>
          <w:tab w:val="left" w:pos="4860"/>
        </w:tabs>
        <w:autoSpaceDE w:val="0"/>
        <w:autoSpaceDN w:val="0"/>
        <w:adjustRightInd w:val="0"/>
        <w:spacing w:line="360" w:lineRule="auto"/>
        <w:jc w:val="both"/>
        <w:rPr>
          <w:rFonts w:ascii="TimesNewRoman,Bold" w:hAnsi="TimesNewRoman,Bold" w:cs="TimesNewRoman,Bold"/>
          <w:bCs/>
        </w:rPr>
      </w:pPr>
    </w:p>
    <w:p w:rsidR="0032620F" w:rsidRPr="008573C5" w:rsidRDefault="0032620F" w:rsidP="0032620F">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 xml:space="preserve">To ensure reliability, the survey </w:t>
      </w:r>
      <w:r>
        <w:rPr>
          <w:rFonts w:ascii="TimesNewRoman,Bold" w:hAnsi="TimesNewRoman,Bold" w:cs="TimesNewRoman,Bold"/>
          <w:bCs/>
        </w:rPr>
        <w:t>questionnaire i</w:t>
      </w:r>
      <w:r w:rsidRPr="008573C5">
        <w:rPr>
          <w:rFonts w:ascii="TimesNewRoman,Bold" w:hAnsi="TimesNewRoman,Bold" w:cs="TimesNewRoman,Bold"/>
          <w:bCs/>
        </w:rPr>
        <w:t>s tested in order to determine if the scale consistently reflect</w:t>
      </w:r>
      <w:r>
        <w:rPr>
          <w:rFonts w:ascii="TimesNewRoman,Bold" w:hAnsi="TimesNewRoman,Bold" w:cs="TimesNewRoman,Bold"/>
          <w:bCs/>
        </w:rPr>
        <w:t>s</w:t>
      </w:r>
      <w:r w:rsidRPr="008573C5">
        <w:rPr>
          <w:rFonts w:ascii="TimesNewRoman,Bold" w:hAnsi="TimesNewRoman,Bold" w:cs="TimesNewRoman,Bold"/>
          <w:bCs/>
        </w:rPr>
        <w:t xml:space="preserve"> the construct it is measuring. This </w:t>
      </w:r>
      <w:r>
        <w:rPr>
          <w:rFonts w:ascii="TimesNewRoman,Bold" w:hAnsi="TimesNewRoman,Bold" w:cs="TimesNewRoman,Bold"/>
          <w:bCs/>
        </w:rPr>
        <w:t>i</w:t>
      </w:r>
      <w:r w:rsidRPr="008573C5">
        <w:rPr>
          <w:rFonts w:ascii="TimesNewRoman,Bold" w:hAnsi="TimesNewRoman,Bold" w:cs="TimesNewRoman,Bold"/>
          <w:bCs/>
        </w:rPr>
        <w:t xml:space="preserve">s achieved using Cronbach’s coefficient alpha which is the most common measure of scale’s internal consistency. It proceeds by associating each measurement item against each other and obtaining for all paired association the mean intercorrelation (Asika, 2004:74). Cronbach’s coefficient alpha provides an indication of the average correlation among the items of the scale. The value ranges between 0 and 1, 0 indicates low reliability while 1 indicates high reliability. A value of 0.7 is generally recommended (Pallant, 2004:6). Other reliability tests conducted </w:t>
      </w:r>
      <w:r>
        <w:rPr>
          <w:rFonts w:ascii="TimesNewRoman,Bold" w:hAnsi="TimesNewRoman,Bold" w:cs="TimesNewRoman,Bold"/>
          <w:bCs/>
        </w:rPr>
        <w:t>a</w:t>
      </w:r>
      <w:r w:rsidRPr="008573C5">
        <w:rPr>
          <w:rFonts w:ascii="TimesNewRoman,Bold" w:hAnsi="TimesNewRoman,Bold" w:cs="TimesNewRoman,Bold"/>
          <w:bCs/>
        </w:rPr>
        <w:t>re Split-half, Guttman, Parallel and Strict parallel.</w:t>
      </w:r>
    </w:p>
    <w:p w:rsidR="0032620F" w:rsidRPr="008573C5" w:rsidRDefault="0032620F" w:rsidP="0032620F">
      <w:pPr>
        <w:tabs>
          <w:tab w:val="left" w:pos="4860"/>
        </w:tabs>
        <w:autoSpaceDE w:val="0"/>
        <w:autoSpaceDN w:val="0"/>
        <w:adjustRightInd w:val="0"/>
        <w:spacing w:line="360" w:lineRule="auto"/>
        <w:jc w:val="both"/>
        <w:rPr>
          <w:bCs/>
          <w:lang w:val="en-GB"/>
        </w:rPr>
      </w:pPr>
    </w:p>
    <w:p w:rsidR="00A9772C" w:rsidRPr="008573C5" w:rsidRDefault="00A9772C" w:rsidP="00A9772C">
      <w:pPr>
        <w:tabs>
          <w:tab w:val="left" w:pos="4860"/>
        </w:tabs>
        <w:autoSpaceDE w:val="0"/>
        <w:autoSpaceDN w:val="0"/>
        <w:adjustRightInd w:val="0"/>
        <w:spacing w:line="360" w:lineRule="auto"/>
        <w:jc w:val="both"/>
        <w:rPr>
          <w:rFonts w:ascii="TimesNewRoman,Bold" w:hAnsi="TimesNewRoman,Bold" w:cs="TimesNewRoman,Bold"/>
          <w:bCs/>
        </w:rPr>
      </w:pPr>
      <w:r w:rsidRPr="008573C5">
        <w:rPr>
          <w:rFonts w:ascii="TimesNewRoman,Bold" w:hAnsi="TimesNewRoman,Bold" w:cs="TimesNewRoman,Bold"/>
          <w:bCs/>
        </w:rPr>
        <w:t>With the results above</w:t>
      </w:r>
      <w:r w:rsidR="0032620F">
        <w:rPr>
          <w:rFonts w:ascii="TimesNewRoman,Bold" w:hAnsi="TimesNewRoman,Bold" w:cs="TimesNewRoman,Bold"/>
          <w:bCs/>
        </w:rPr>
        <w:t xml:space="preserve"> (Table 3.06)</w:t>
      </w:r>
      <w:r w:rsidRPr="008573C5">
        <w:rPr>
          <w:rFonts w:ascii="TimesNewRoman,Bold" w:hAnsi="TimesNewRoman,Bold" w:cs="TimesNewRoman,Bold"/>
          <w:bCs/>
        </w:rPr>
        <w:t>, it can be concluded that the instrument is very reliable based on the</w:t>
      </w:r>
      <w:r w:rsidR="00EF5B8B" w:rsidRPr="008573C5">
        <w:rPr>
          <w:rFonts w:ascii="TimesNewRoman,Bold" w:hAnsi="TimesNewRoman,Bold" w:cs="TimesNewRoman,Bold"/>
          <w:bCs/>
        </w:rPr>
        <w:t xml:space="preserve"> Cronbach’s Alpha</w:t>
      </w:r>
      <w:r w:rsidRPr="008573C5">
        <w:rPr>
          <w:rFonts w:ascii="TimesNewRoman,Bold" w:hAnsi="TimesNewRoman,Bold" w:cs="TimesNewRoman,Bold"/>
          <w:bCs/>
        </w:rPr>
        <w:t xml:space="preserve"> reliability tests conducted.  Cronbach’s Alpha the most common reliability test gives a value of 0.824. </w:t>
      </w:r>
      <w:r w:rsidR="00EF5B8B" w:rsidRPr="008573C5">
        <w:rPr>
          <w:rFonts w:ascii="TimesNewRoman,Bold" w:hAnsi="TimesNewRoman,Bold" w:cs="TimesNewRoman,Bold"/>
          <w:bCs/>
        </w:rPr>
        <w:t xml:space="preserve">Other reliability tests confirm the reliability of the </w:t>
      </w:r>
      <w:r w:rsidR="005E473C" w:rsidRPr="008573C5">
        <w:rPr>
          <w:rFonts w:ascii="TimesNewRoman,Bold" w:hAnsi="TimesNewRoman,Bold" w:cs="TimesNewRoman,Bold"/>
          <w:bCs/>
        </w:rPr>
        <w:t xml:space="preserve">instruments. </w:t>
      </w:r>
      <w:r w:rsidRPr="008573C5">
        <w:rPr>
          <w:rFonts w:ascii="TimesNewRoman,Bold" w:hAnsi="TimesNewRoman,Bold" w:cs="TimesNewRoman,Bold"/>
          <w:bCs/>
        </w:rPr>
        <w:t xml:space="preserve">Split-half reliability test gives a value of 0.774 and 0.776 for each of the two halves. Guttman Lambda gives value greater than </w:t>
      </w:r>
      <w:r w:rsidR="005E473C" w:rsidRPr="008573C5">
        <w:rPr>
          <w:rFonts w:ascii="TimesNewRoman,Bold" w:hAnsi="TimesNewRoman,Bold" w:cs="TimesNewRoman,Bold"/>
          <w:bCs/>
        </w:rPr>
        <w:t>0</w:t>
      </w:r>
      <w:r w:rsidRPr="008573C5">
        <w:rPr>
          <w:rFonts w:ascii="TimesNewRoman,Bold" w:hAnsi="TimesNewRoman,Bold" w:cs="TimesNewRoman,Bold"/>
          <w:bCs/>
        </w:rPr>
        <w:t xml:space="preserve">.70 for 5 out of 6 results. Parallel reliability test features the reliability value to be 0.824 and 0.825 (unbiased) while Strict Parallel reliability test features the value to be 0.809 and 0.810 (unbiased). </w:t>
      </w:r>
    </w:p>
    <w:p w:rsidR="00A9772C" w:rsidRPr="008573C5" w:rsidRDefault="00A9772C" w:rsidP="00A9772C">
      <w:pPr>
        <w:autoSpaceDE w:val="0"/>
        <w:autoSpaceDN w:val="0"/>
        <w:adjustRightInd w:val="0"/>
        <w:rPr>
          <w:bCs/>
          <w:lang w:val="en-GB"/>
        </w:rPr>
      </w:pPr>
    </w:p>
    <w:p w:rsidR="00A9772C" w:rsidRPr="008573C5" w:rsidRDefault="00A9772C" w:rsidP="00A9772C">
      <w:pPr>
        <w:autoSpaceDE w:val="0"/>
        <w:autoSpaceDN w:val="0"/>
        <w:adjustRightInd w:val="0"/>
        <w:jc w:val="center"/>
        <w:rPr>
          <w:b/>
          <w:bCs/>
          <w:sz w:val="28"/>
          <w:szCs w:val="28"/>
          <w:lang w:val="en-GB"/>
        </w:rPr>
      </w:pPr>
    </w:p>
    <w:p w:rsidR="00816694" w:rsidRPr="008573C5" w:rsidRDefault="00B72F14" w:rsidP="00816694">
      <w:pPr>
        <w:autoSpaceDE w:val="0"/>
        <w:autoSpaceDN w:val="0"/>
        <w:adjustRightInd w:val="0"/>
        <w:spacing w:line="360" w:lineRule="auto"/>
        <w:jc w:val="both"/>
        <w:rPr>
          <w:b/>
          <w:sz w:val="28"/>
          <w:szCs w:val="28"/>
        </w:rPr>
      </w:pPr>
      <w:r w:rsidRPr="008573C5">
        <w:rPr>
          <w:b/>
          <w:sz w:val="28"/>
          <w:szCs w:val="28"/>
        </w:rPr>
        <w:t>3.</w:t>
      </w:r>
      <w:r w:rsidR="00816694" w:rsidRPr="008573C5">
        <w:rPr>
          <w:b/>
          <w:sz w:val="28"/>
          <w:szCs w:val="28"/>
        </w:rPr>
        <w:t>3.5</w:t>
      </w:r>
      <w:r w:rsidR="00816694" w:rsidRPr="008573C5">
        <w:rPr>
          <w:b/>
          <w:sz w:val="28"/>
          <w:szCs w:val="28"/>
        </w:rPr>
        <w:tab/>
        <w:t>A</w:t>
      </w:r>
      <w:r w:rsidR="001A79D5" w:rsidRPr="008573C5">
        <w:rPr>
          <w:b/>
          <w:sz w:val="28"/>
          <w:szCs w:val="28"/>
        </w:rPr>
        <w:t>ctual Field Work and Administration of Instruments</w:t>
      </w:r>
      <w:r w:rsidR="008D41B5" w:rsidRPr="008573C5">
        <w:rPr>
          <w:b/>
          <w:sz w:val="28"/>
          <w:szCs w:val="28"/>
        </w:rPr>
        <w:t xml:space="preserve"> </w:t>
      </w:r>
    </w:p>
    <w:p w:rsidR="00816694" w:rsidRPr="008573C5" w:rsidRDefault="00816694" w:rsidP="00816694">
      <w:pPr>
        <w:spacing w:line="360" w:lineRule="auto"/>
        <w:jc w:val="both"/>
      </w:pPr>
      <w:r w:rsidRPr="008573C5">
        <w:t xml:space="preserve">For the questionnaire survey research, the actual field work was done in </w:t>
      </w:r>
      <w:r w:rsidR="000E2403" w:rsidRPr="008573C5">
        <w:t>some designated cities and towns all over Nigeria</w:t>
      </w:r>
      <w:r w:rsidR="008D41B5" w:rsidRPr="008573C5">
        <w:t xml:space="preserve">. </w:t>
      </w:r>
      <w:r w:rsidR="000E2403" w:rsidRPr="008573C5">
        <w:t xml:space="preserve"> For</w:t>
      </w:r>
      <w:r w:rsidR="00F31899" w:rsidRPr="008573C5">
        <w:t xml:space="preserve"> South-West the field work took place at</w:t>
      </w:r>
      <w:r w:rsidR="004F233D" w:rsidRPr="008573C5">
        <w:t xml:space="preserve"> </w:t>
      </w:r>
      <w:r w:rsidRPr="008573C5">
        <w:t>Lagos</w:t>
      </w:r>
      <w:r w:rsidR="004F233D" w:rsidRPr="008573C5">
        <w:t xml:space="preserve"> (Lagos State)</w:t>
      </w:r>
      <w:r w:rsidRPr="008573C5">
        <w:t xml:space="preserve"> </w:t>
      </w:r>
      <w:r w:rsidR="000E2403" w:rsidRPr="008573C5">
        <w:t>and Ota</w:t>
      </w:r>
      <w:r w:rsidR="004F233D" w:rsidRPr="008573C5">
        <w:t>/Abeokuta</w:t>
      </w:r>
      <w:r w:rsidR="00B106BB" w:rsidRPr="008573C5">
        <w:t xml:space="preserve"> </w:t>
      </w:r>
      <w:r w:rsidR="004F233D" w:rsidRPr="008573C5">
        <w:t>(Ogun State)</w:t>
      </w:r>
      <w:r w:rsidR="008D41B5" w:rsidRPr="008573C5">
        <w:t xml:space="preserve">. For South-East the  field work took place at </w:t>
      </w:r>
      <w:r w:rsidR="00B106BB" w:rsidRPr="008573C5">
        <w:t>Awka (</w:t>
      </w:r>
      <w:r w:rsidR="0084055C" w:rsidRPr="008573C5">
        <w:t>Anambra</w:t>
      </w:r>
      <w:r w:rsidR="00B106BB" w:rsidRPr="008573C5">
        <w:t xml:space="preserve"> State</w:t>
      </w:r>
      <w:r w:rsidR="008208D4" w:rsidRPr="008573C5">
        <w:t>) and</w:t>
      </w:r>
      <w:r w:rsidR="0084055C" w:rsidRPr="008573C5">
        <w:t xml:space="preserve"> </w:t>
      </w:r>
      <w:r w:rsidR="008D41B5" w:rsidRPr="008573C5">
        <w:t>Owerri</w:t>
      </w:r>
      <w:r w:rsidR="004F233D" w:rsidRPr="008573C5">
        <w:t xml:space="preserve"> (Imo State)</w:t>
      </w:r>
      <w:r w:rsidR="008D41B5" w:rsidRPr="008573C5">
        <w:t>. For South-So</w:t>
      </w:r>
      <w:r w:rsidR="00F31899" w:rsidRPr="008573C5">
        <w:t>uth the</w:t>
      </w:r>
      <w:r w:rsidR="008D41B5" w:rsidRPr="008573C5">
        <w:t xml:space="preserve"> field work took place at </w:t>
      </w:r>
      <w:r w:rsidR="004F233D" w:rsidRPr="008573C5">
        <w:t>Benin City (Edo State)</w:t>
      </w:r>
      <w:r w:rsidR="008208D4" w:rsidRPr="008573C5">
        <w:t>,</w:t>
      </w:r>
      <w:r w:rsidR="004F233D" w:rsidRPr="008573C5">
        <w:t xml:space="preserve"> Warri (Delta State)</w:t>
      </w:r>
      <w:r w:rsidR="0084055C" w:rsidRPr="008573C5">
        <w:t xml:space="preserve"> </w:t>
      </w:r>
      <w:r w:rsidR="008208D4" w:rsidRPr="008573C5">
        <w:t xml:space="preserve">and </w:t>
      </w:r>
      <w:r w:rsidR="008D41B5" w:rsidRPr="008573C5">
        <w:t>Port Harcourt</w:t>
      </w:r>
      <w:r w:rsidR="0084055C" w:rsidRPr="008573C5">
        <w:t xml:space="preserve"> (Rivers)</w:t>
      </w:r>
      <w:r w:rsidR="00B106BB" w:rsidRPr="008573C5">
        <w:t xml:space="preserve">. </w:t>
      </w:r>
      <w:r w:rsidR="008D41B5" w:rsidRPr="008573C5">
        <w:t xml:space="preserve"> </w:t>
      </w:r>
      <w:r w:rsidR="00F31899" w:rsidRPr="008573C5">
        <w:t xml:space="preserve">For North Central the </w:t>
      </w:r>
      <w:r w:rsidR="00D237F6" w:rsidRPr="008573C5">
        <w:t>field work took place at Abuja</w:t>
      </w:r>
      <w:r w:rsidR="0084055C" w:rsidRPr="008573C5">
        <w:t xml:space="preserve"> (FCT)</w:t>
      </w:r>
      <w:r w:rsidR="00B106BB" w:rsidRPr="008573C5">
        <w:t xml:space="preserve"> </w:t>
      </w:r>
      <w:r w:rsidR="008208D4" w:rsidRPr="008573C5">
        <w:t xml:space="preserve">and </w:t>
      </w:r>
      <w:r w:rsidR="00B106BB" w:rsidRPr="008573C5">
        <w:t>Lokoja (Kogi State)</w:t>
      </w:r>
      <w:r w:rsidR="00D237F6" w:rsidRPr="008573C5">
        <w:t>. For the Nort</w:t>
      </w:r>
      <w:r w:rsidR="00F31899" w:rsidRPr="008573C5">
        <w:t xml:space="preserve">h East </w:t>
      </w:r>
      <w:r w:rsidR="00B106BB" w:rsidRPr="008573C5">
        <w:t xml:space="preserve">field work was at </w:t>
      </w:r>
      <w:r w:rsidR="00D237F6" w:rsidRPr="008573C5">
        <w:t>Maiduguri</w:t>
      </w:r>
      <w:r w:rsidR="00B106BB" w:rsidRPr="008573C5">
        <w:t xml:space="preserve"> (Borno State)</w:t>
      </w:r>
      <w:r w:rsidR="00F31899" w:rsidRPr="008573C5">
        <w:t>. For the North West the</w:t>
      </w:r>
      <w:r w:rsidR="00D237F6" w:rsidRPr="008573C5">
        <w:t xml:space="preserve"> field</w:t>
      </w:r>
      <w:r w:rsidR="00F31899" w:rsidRPr="008573C5">
        <w:t xml:space="preserve"> work</w:t>
      </w:r>
      <w:r w:rsidR="00D237F6" w:rsidRPr="008573C5">
        <w:t xml:space="preserve"> was at Kaduna</w:t>
      </w:r>
      <w:r w:rsidR="004F233D" w:rsidRPr="008573C5">
        <w:t xml:space="preserve"> (Kaduna State)</w:t>
      </w:r>
      <w:r w:rsidR="00B106BB" w:rsidRPr="008573C5">
        <w:t xml:space="preserve">. </w:t>
      </w:r>
      <w:r w:rsidR="00D237F6" w:rsidRPr="008573C5">
        <w:t>T</w:t>
      </w:r>
      <w:r w:rsidRPr="008573C5">
        <w:t>he questionnaires were administered directly to the respond</w:t>
      </w:r>
      <w:r w:rsidR="000E2403" w:rsidRPr="008573C5">
        <w:t xml:space="preserve">ents by hand delivery late 2008 and early 2009 by the researcher and with the aid of research assistants. </w:t>
      </w:r>
      <w:r w:rsidRPr="008573C5">
        <w:t xml:space="preserve"> In order </w:t>
      </w:r>
      <w:r w:rsidR="000E2403" w:rsidRPr="008573C5">
        <w:t xml:space="preserve">for the research assistants </w:t>
      </w:r>
      <w:r w:rsidRPr="008573C5">
        <w:t xml:space="preserve">to administer the questionnaire, the researcher, first </w:t>
      </w:r>
      <w:r w:rsidR="00492550" w:rsidRPr="008573C5">
        <w:t>familiarized</w:t>
      </w:r>
      <w:r w:rsidRPr="008573C5">
        <w:t xml:space="preserve"> </w:t>
      </w:r>
      <w:r w:rsidR="008D41B5" w:rsidRPr="008573C5">
        <w:t>them</w:t>
      </w:r>
      <w:r w:rsidRPr="008573C5">
        <w:t xml:space="preserve"> </w:t>
      </w:r>
      <w:r w:rsidR="0024166C">
        <w:t>with</w:t>
      </w:r>
      <w:r w:rsidR="00EF72EF" w:rsidRPr="008573C5">
        <w:t xml:space="preserve"> </w:t>
      </w:r>
      <w:r w:rsidRPr="008573C5">
        <w:t>the subject and essence of study. This was followed up</w:t>
      </w:r>
      <w:r w:rsidR="008D41B5" w:rsidRPr="008573C5">
        <w:t xml:space="preserve"> by</w:t>
      </w:r>
      <w:r w:rsidRPr="008573C5">
        <w:t xml:space="preserve"> </w:t>
      </w:r>
      <w:r w:rsidR="00492550" w:rsidRPr="008573C5">
        <w:t>enlighteni</w:t>
      </w:r>
      <w:r w:rsidR="008D41B5" w:rsidRPr="008573C5">
        <w:t>ng them</w:t>
      </w:r>
      <w:r w:rsidR="00492550" w:rsidRPr="008573C5">
        <w:t xml:space="preserve"> </w:t>
      </w:r>
      <w:r w:rsidR="0024166C">
        <w:t>on</w:t>
      </w:r>
      <w:r w:rsidRPr="008573C5">
        <w:t xml:space="preserve"> the expected competence, qualification and experience of the would-be respondents. Agreements were </w:t>
      </w:r>
      <w:r w:rsidR="008D41B5" w:rsidRPr="008573C5">
        <w:t xml:space="preserve">also </w:t>
      </w:r>
      <w:r w:rsidRPr="008573C5">
        <w:t xml:space="preserve">reached on the mode of the return of questionnaire which was </w:t>
      </w:r>
      <w:r w:rsidR="00EF72EF" w:rsidRPr="008573C5">
        <w:t xml:space="preserve">on </w:t>
      </w:r>
      <w:r w:rsidRPr="008573C5">
        <w:t xml:space="preserve">average of two weeks. </w:t>
      </w:r>
    </w:p>
    <w:p w:rsidR="00FF5EDF" w:rsidRPr="008573C5" w:rsidRDefault="00FF5EDF" w:rsidP="00D921C2">
      <w:pPr>
        <w:autoSpaceDE w:val="0"/>
        <w:autoSpaceDN w:val="0"/>
        <w:adjustRightInd w:val="0"/>
        <w:spacing w:line="360" w:lineRule="auto"/>
        <w:rPr>
          <w:b/>
          <w:sz w:val="28"/>
          <w:szCs w:val="28"/>
        </w:rPr>
      </w:pPr>
      <w:r w:rsidRPr="008573C5">
        <w:rPr>
          <w:b/>
          <w:sz w:val="28"/>
          <w:szCs w:val="28"/>
        </w:rPr>
        <w:t>3.</w:t>
      </w:r>
      <w:r w:rsidR="001A79D5" w:rsidRPr="008573C5">
        <w:rPr>
          <w:b/>
          <w:sz w:val="28"/>
          <w:szCs w:val="28"/>
        </w:rPr>
        <w:t>4</w:t>
      </w:r>
      <w:r w:rsidRPr="008573C5">
        <w:rPr>
          <w:b/>
          <w:sz w:val="28"/>
          <w:szCs w:val="28"/>
        </w:rPr>
        <w:tab/>
      </w:r>
      <w:r w:rsidR="001A79D5" w:rsidRPr="008573C5">
        <w:rPr>
          <w:b/>
          <w:sz w:val="28"/>
          <w:szCs w:val="28"/>
        </w:rPr>
        <w:t>Method</w:t>
      </w:r>
      <w:r w:rsidR="00443C20" w:rsidRPr="008573C5">
        <w:rPr>
          <w:b/>
          <w:sz w:val="28"/>
          <w:szCs w:val="28"/>
        </w:rPr>
        <w:t xml:space="preserve"> of Analyses</w:t>
      </w:r>
    </w:p>
    <w:p w:rsidR="00CC069E" w:rsidRPr="008573C5" w:rsidRDefault="00B030E8" w:rsidP="00E72E4B">
      <w:pPr>
        <w:pStyle w:val="NormalWeb"/>
        <w:spacing w:before="0" w:beforeAutospacing="0" w:after="0" w:afterAutospacing="0" w:line="360" w:lineRule="auto"/>
        <w:jc w:val="both"/>
        <w:rPr>
          <w:rFonts w:eastAsia="Calibri"/>
        </w:rPr>
      </w:pPr>
      <w:r w:rsidRPr="008573C5">
        <w:rPr>
          <w:bCs/>
        </w:rPr>
        <w:t>The methods</w:t>
      </w:r>
      <w:r w:rsidR="00FF5EDF" w:rsidRPr="008573C5">
        <w:rPr>
          <w:bCs/>
        </w:rPr>
        <w:t xml:space="preserve"> </w:t>
      </w:r>
      <w:r w:rsidR="0024166C">
        <w:rPr>
          <w:bCs/>
        </w:rPr>
        <w:t xml:space="preserve">that are </w:t>
      </w:r>
      <w:r w:rsidR="00FF5EDF" w:rsidRPr="008573C5">
        <w:rPr>
          <w:bCs/>
        </w:rPr>
        <w:t xml:space="preserve">adopted </w:t>
      </w:r>
      <w:r w:rsidR="00EF72EF" w:rsidRPr="008573C5">
        <w:rPr>
          <w:bCs/>
        </w:rPr>
        <w:t xml:space="preserve">for data presentation include </w:t>
      </w:r>
      <w:r w:rsidR="00FF5EDF" w:rsidRPr="008573C5">
        <w:rPr>
          <w:bCs/>
        </w:rPr>
        <w:t xml:space="preserve">tables and graphs (box plots, normal plots). Univariate, bivariate and multivariate analyses </w:t>
      </w:r>
      <w:r w:rsidRPr="008573C5">
        <w:rPr>
          <w:bCs/>
        </w:rPr>
        <w:t>are</w:t>
      </w:r>
      <w:r w:rsidR="00FF5EDF" w:rsidRPr="008573C5">
        <w:rPr>
          <w:bCs/>
        </w:rPr>
        <w:t xml:space="preserve"> employed in exploring the primary and secondary data. </w:t>
      </w:r>
      <w:r w:rsidR="00764204" w:rsidRPr="008573C5">
        <w:rPr>
          <w:bCs/>
        </w:rPr>
        <w:t>For the secondary data, u</w:t>
      </w:r>
      <w:r w:rsidR="00FF5EDF" w:rsidRPr="008573C5">
        <w:rPr>
          <w:bCs/>
        </w:rPr>
        <w:t>nivariate</w:t>
      </w:r>
      <w:r w:rsidR="00FF5EDF" w:rsidRPr="008573C5">
        <w:t xml:space="preserve"> statistics of frequencies, percentages, mean, standard deviation, minimum, maximum </w:t>
      </w:r>
      <w:r w:rsidRPr="008573C5">
        <w:t>are</w:t>
      </w:r>
      <w:r w:rsidR="00FF5EDF" w:rsidRPr="008573C5">
        <w:t xml:space="preserve"> used to describe the patterns of data. </w:t>
      </w:r>
      <w:r w:rsidR="00B956C9" w:rsidRPr="008573C5">
        <w:t xml:space="preserve">Normality test is conducted using Kolmogorov-Smirnov test. </w:t>
      </w:r>
      <w:r w:rsidR="00FF5EDF" w:rsidRPr="008573C5">
        <w:t xml:space="preserve">Bivariate relationships among the independent variables are explored using correlation analysis. </w:t>
      </w:r>
      <w:r w:rsidR="00684AFC" w:rsidRPr="008573C5">
        <w:t>T</w:t>
      </w:r>
      <w:r w:rsidR="004E2FBA" w:rsidRPr="008573C5">
        <w:rPr>
          <w:rFonts w:eastAsia="Calibri"/>
        </w:rPr>
        <w:t xml:space="preserve">he multivariate </w:t>
      </w:r>
      <w:r w:rsidR="00764204" w:rsidRPr="008573C5">
        <w:rPr>
          <w:rFonts w:eastAsia="Calibri"/>
        </w:rPr>
        <w:t>analyses comprise</w:t>
      </w:r>
      <w:r w:rsidR="004E2FBA" w:rsidRPr="008573C5">
        <w:rPr>
          <w:rFonts w:eastAsia="Calibri"/>
        </w:rPr>
        <w:t xml:space="preserve"> Ordinary Least Square (OLS) Regression, Ranked (OLS) Regression, Factor analysis and Cluster analysis.</w:t>
      </w:r>
      <w:r w:rsidR="00764204" w:rsidRPr="008573C5">
        <w:rPr>
          <w:rFonts w:eastAsia="Calibri"/>
        </w:rPr>
        <w:t xml:space="preserve"> </w:t>
      </w:r>
    </w:p>
    <w:p w:rsidR="00E72E4B" w:rsidRPr="008573C5" w:rsidRDefault="00E72E4B" w:rsidP="00E72E4B">
      <w:pPr>
        <w:pStyle w:val="NormalWeb"/>
        <w:spacing w:before="0" w:beforeAutospacing="0" w:after="0" w:afterAutospacing="0" w:line="360" w:lineRule="auto"/>
        <w:jc w:val="both"/>
        <w:rPr>
          <w:rFonts w:eastAsia="Calibri"/>
        </w:rPr>
      </w:pPr>
    </w:p>
    <w:p w:rsidR="00CC069E" w:rsidRPr="008573C5" w:rsidRDefault="00CC069E" w:rsidP="00CC069E">
      <w:pPr>
        <w:tabs>
          <w:tab w:val="left" w:pos="7320"/>
        </w:tabs>
        <w:spacing w:line="360" w:lineRule="auto"/>
        <w:jc w:val="both"/>
        <w:rPr>
          <w:rFonts w:eastAsia="Calibri"/>
        </w:rPr>
      </w:pPr>
      <w:r w:rsidRPr="008573C5">
        <w:rPr>
          <w:rFonts w:eastAsia="Calibri"/>
        </w:rPr>
        <w:t xml:space="preserve">The test of </w:t>
      </w:r>
      <w:r w:rsidR="002A5770" w:rsidRPr="008573C5">
        <w:rPr>
          <w:rFonts w:eastAsia="Calibri"/>
        </w:rPr>
        <w:t>H</w:t>
      </w:r>
      <w:r w:rsidRPr="008573C5">
        <w:rPr>
          <w:rFonts w:eastAsia="Calibri"/>
        </w:rPr>
        <w:t>ypotheses</w:t>
      </w:r>
      <w:r w:rsidR="002A5770" w:rsidRPr="008573C5">
        <w:rPr>
          <w:rFonts w:eastAsia="Calibri"/>
        </w:rPr>
        <w:t xml:space="preserve"> </w:t>
      </w:r>
      <w:r w:rsidR="001538AE" w:rsidRPr="008573C5">
        <w:rPr>
          <w:rFonts w:eastAsia="Calibri"/>
        </w:rPr>
        <w:t>one to three</w:t>
      </w:r>
      <w:r w:rsidR="0024166C">
        <w:rPr>
          <w:rFonts w:eastAsia="Calibri"/>
        </w:rPr>
        <w:t xml:space="preserve"> i</w:t>
      </w:r>
      <w:r w:rsidRPr="008573C5">
        <w:rPr>
          <w:rFonts w:eastAsia="Calibri"/>
        </w:rPr>
        <w:t>s achieved using secondary dat</w:t>
      </w:r>
      <w:r w:rsidR="0024166C">
        <w:rPr>
          <w:rFonts w:eastAsia="Calibri"/>
        </w:rPr>
        <w:t>a. Independent samples T-test i</w:t>
      </w:r>
      <w:r w:rsidRPr="008573C5">
        <w:rPr>
          <w:rFonts w:eastAsia="Calibri"/>
        </w:rPr>
        <w:t xml:space="preserve">s conducted for each hypothesis. </w:t>
      </w:r>
      <w:r w:rsidR="002A5770" w:rsidRPr="008573C5">
        <w:rPr>
          <w:rFonts w:eastAsia="Calibri"/>
        </w:rPr>
        <w:t>It involves 2 steps</w:t>
      </w:r>
      <w:r w:rsidRPr="008573C5">
        <w:rPr>
          <w:rFonts w:eastAsia="Calibri"/>
        </w:rPr>
        <w:t xml:space="preserve"> (a) checking a</w:t>
      </w:r>
      <w:r w:rsidR="002A5770" w:rsidRPr="008573C5">
        <w:rPr>
          <w:rFonts w:eastAsia="Calibri"/>
        </w:rPr>
        <w:t>ssumptions</w:t>
      </w:r>
      <w:r w:rsidRPr="008573C5">
        <w:rPr>
          <w:rFonts w:eastAsia="Calibri"/>
        </w:rPr>
        <w:t xml:space="preserve"> using Levene’s test of equality of variance (if sig value is larger than .05 equal variance is assumed) and (b) a</w:t>
      </w:r>
      <w:r w:rsidR="002A5770" w:rsidRPr="008573C5">
        <w:rPr>
          <w:rFonts w:eastAsia="Calibri"/>
        </w:rPr>
        <w:t>ssessing difference between the two groups</w:t>
      </w:r>
      <w:r w:rsidRPr="008573C5">
        <w:rPr>
          <w:rFonts w:eastAsia="Calibri"/>
        </w:rPr>
        <w:t xml:space="preserve"> using a two tailed test at 5% level of significance</w:t>
      </w:r>
      <w:r w:rsidR="002A5770" w:rsidRPr="008573C5">
        <w:rPr>
          <w:rFonts w:eastAsia="Calibri"/>
        </w:rPr>
        <w:t>.</w:t>
      </w:r>
      <w:r w:rsidRPr="008573C5">
        <w:rPr>
          <w:rFonts w:eastAsia="Calibri"/>
        </w:rPr>
        <w:t xml:space="preserve"> Eta squared </w:t>
      </w:r>
      <w:r w:rsidR="00B030E8" w:rsidRPr="008573C5">
        <w:rPr>
          <w:rFonts w:eastAsia="Calibri"/>
        </w:rPr>
        <w:t>is</w:t>
      </w:r>
      <w:r w:rsidRPr="008573C5">
        <w:rPr>
          <w:rFonts w:eastAsia="Calibri"/>
        </w:rPr>
        <w:t xml:space="preserve"> used in calculating the magnitude in the difference of the mean.</w:t>
      </w:r>
    </w:p>
    <w:p w:rsidR="00CC069E" w:rsidRPr="008573C5" w:rsidRDefault="00CC069E" w:rsidP="00CC069E">
      <w:pPr>
        <w:tabs>
          <w:tab w:val="left" w:pos="7320"/>
        </w:tabs>
        <w:spacing w:line="360" w:lineRule="auto"/>
        <w:jc w:val="both"/>
        <w:rPr>
          <w:rFonts w:eastAsia="Calibri"/>
        </w:rPr>
      </w:pPr>
    </w:p>
    <w:p w:rsidR="00F62715" w:rsidRPr="008573C5" w:rsidRDefault="00EE2843" w:rsidP="00F62715">
      <w:pPr>
        <w:tabs>
          <w:tab w:val="left" w:pos="7320"/>
        </w:tabs>
        <w:spacing w:before="240" w:line="360" w:lineRule="auto"/>
        <w:jc w:val="both"/>
      </w:pPr>
      <w:r w:rsidRPr="008573C5">
        <w:rPr>
          <w:rFonts w:eastAsia="Calibri"/>
        </w:rPr>
        <w:t xml:space="preserve">To </w:t>
      </w:r>
      <w:r w:rsidR="002A5770" w:rsidRPr="008573C5">
        <w:rPr>
          <w:rFonts w:eastAsia="Calibri"/>
        </w:rPr>
        <w:t xml:space="preserve">test Hypotheses </w:t>
      </w:r>
      <w:r w:rsidR="001538AE" w:rsidRPr="008573C5">
        <w:rPr>
          <w:rFonts w:eastAsia="Calibri"/>
        </w:rPr>
        <w:t>four,</w:t>
      </w:r>
      <w:r w:rsidR="002A5770" w:rsidRPr="008573C5">
        <w:rPr>
          <w:rFonts w:eastAsia="Calibri"/>
        </w:rPr>
        <w:t xml:space="preserve"> </w:t>
      </w:r>
      <w:r w:rsidR="00A82234" w:rsidRPr="008573C5">
        <w:rPr>
          <w:rFonts w:eastAsia="Calibri"/>
        </w:rPr>
        <w:t xml:space="preserve">Ranked and Unranked </w:t>
      </w:r>
      <w:r w:rsidR="0024166C">
        <w:rPr>
          <w:rFonts w:eastAsia="Calibri"/>
        </w:rPr>
        <w:t>Regression analysis a</w:t>
      </w:r>
      <w:r w:rsidR="00B030E8" w:rsidRPr="008573C5">
        <w:rPr>
          <w:rFonts w:eastAsia="Calibri"/>
        </w:rPr>
        <w:t xml:space="preserve">re </w:t>
      </w:r>
      <w:r w:rsidR="002A5770" w:rsidRPr="008573C5">
        <w:rPr>
          <w:rFonts w:eastAsia="Calibri"/>
        </w:rPr>
        <w:t xml:space="preserve">utilized. </w:t>
      </w:r>
      <w:r w:rsidR="00A82234" w:rsidRPr="008573C5">
        <w:t>It has been suggested that rank transformation provides additional confidence in statistical results because it: (a) yields a distribution-free data; (b) provides results similar to the ones that can be derived from ordinal transformation; and (c) mitigates the impact of measurement errors, outliers and residual heteroscedasticity</w:t>
      </w:r>
      <w:r w:rsidR="0070007C" w:rsidRPr="008573C5">
        <w:t xml:space="preserve"> </w:t>
      </w:r>
      <w:r w:rsidR="00A82234" w:rsidRPr="008573C5">
        <w:t>(Wallace et al.</w:t>
      </w:r>
      <w:r w:rsidR="007353CE" w:rsidRPr="008573C5">
        <w:t>,</w:t>
      </w:r>
      <w:r w:rsidR="00A82234" w:rsidRPr="008573C5">
        <w:t xml:space="preserve"> 1994:47). </w:t>
      </w:r>
      <w:r w:rsidR="002A5770" w:rsidRPr="008573C5">
        <w:rPr>
          <w:rFonts w:eastAsia="Calibri"/>
        </w:rPr>
        <w:t>The diagnostic tests cond</w:t>
      </w:r>
      <w:r w:rsidR="0024166C">
        <w:rPr>
          <w:rFonts w:eastAsia="Calibri"/>
        </w:rPr>
        <w:t>ucted a</w:t>
      </w:r>
      <w:r w:rsidRPr="008573C5">
        <w:rPr>
          <w:rFonts w:eastAsia="Calibri"/>
        </w:rPr>
        <w:t>re: Variance Inflation Factor, Tol</w:t>
      </w:r>
      <w:r w:rsidR="002A5770" w:rsidRPr="008573C5">
        <w:rPr>
          <w:rFonts w:eastAsia="Calibri"/>
        </w:rPr>
        <w:t>erance and Durbin-Watson</w:t>
      </w:r>
      <w:r w:rsidRPr="008573C5">
        <w:rPr>
          <w:rFonts w:eastAsia="Calibri"/>
        </w:rPr>
        <w:t>. These tests enable us to know if there is any threat of multicollinearity and independent errors.</w:t>
      </w:r>
      <w:r w:rsidR="00E72E4B" w:rsidRPr="008573C5">
        <w:rPr>
          <w:rFonts w:eastAsia="Calibri"/>
        </w:rPr>
        <w:t xml:space="preserve"> Traditionally, multicollinearity does not constitute a problem when the VIF does not exceed 10 and Tolerance for each of the </w:t>
      </w:r>
      <w:r w:rsidR="0024166C">
        <w:rPr>
          <w:rFonts w:eastAsia="Calibri"/>
        </w:rPr>
        <w:t xml:space="preserve">variable </w:t>
      </w:r>
      <w:r w:rsidR="00E72E4B" w:rsidRPr="008573C5">
        <w:rPr>
          <w:rFonts w:eastAsia="Calibri"/>
        </w:rPr>
        <w:t>is above 0.2 (</w:t>
      </w:r>
      <w:r w:rsidR="00E72E4B" w:rsidRPr="008573C5">
        <w:t>Chavent et al</w:t>
      </w:r>
      <w:r w:rsidR="00FB57E2" w:rsidRPr="008573C5">
        <w:t>.</w:t>
      </w:r>
      <w:r w:rsidR="00E72E4B" w:rsidRPr="008573C5">
        <w:t>, 2006:186; Field, 2006:196)</w:t>
      </w:r>
      <w:r w:rsidR="00E72E4B" w:rsidRPr="008573C5">
        <w:rPr>
          <w:rFonts w:eastAsia="Calibri"/>
          <w:i/>
        </w:rPr>
        <w:t>.</w:t>
      </w:r>
      <w:r w:rsidR="00E72E4B" w:rsidRPr="008573C5">
        <w:rPr>
          <w:rFonts w:eastAsia="Calibri"/>
        </w:rPr>
        <w:t xml:space="preserve"> </w:t>
      </w:r>
      <w:r w:rsidRPr="008573C5">
        <w:rPr>
          <w:rFonts w:eastAsia="Calibri"/>
        </w:rPr>
        <w:t xml:space="preserve"> </w:t>
      </w:r>
      <w:r w:rsidR="002A5770" w:rsidRPr="008573C5">
        <w:rPr>
          <w:rFonts w:eastAsia="Calibri"/>
        </w:rPr>
        <w:t xml:space="preserve"> </w:t>
      </w:r>
      <w:r w:rsidR="00411DE3" w:rsidRPr="008573C5">
        <w:rPr>
          <w:rFonts w:eastAsia="Calibri"/>
        </w:rPr>
        <w:t xml:space="preserve">Pearson’s correlation and </w:t>
      </w:r>
      <w:r w:rsidR="00411DE3" w:rsidRPr="008573C5">
        <w:t>matrix scatterplot</w:t>
      </w:r>
      <w:r w:rsidR="001538AE" w:rsidRPr="008573C5">
        <w:t xml:space="preserve"> </w:t>
      </w:r>
      <w:r w:rsidR="00411DE3" w:rsidRPr="008573C5">
        <w:t>of the continuous independent variables</w:t>
      </w:r>
      <w:r w:rsidR="00411DE3" w:rsidRPr="008573C5">
        <w:rPr>
          <w:rFonts w:eastAsia="Calibri"/>
        </w:rPr>
        <w:t xml:space="preserve"> </w:t>
      </w:r>
      <w:r w:rsidR="0024166C">
        <w:rPr>
          <w:rFonts w:eastAsia="Calibri"/>
        </w:rPr>
        <w:t>a</w:t>
      </w:r>
      <w:r w:rsidR="00411DE3" w:rsidRPr="008573C5">
        <w:rPr>
          <w:rFonts w:eastAsia="Calibri"/>
        </w:rPr>
        <w:t xml:space="preserve">re </w:t>
      </w:r>
      <w:r w:rsidRPr="008573C5">
        <w:rPr>
          <w:rFonts w:eastAsia="Calibri"/>
        </w:rPr>
        <w:t>employed to measure the linear relationship between the independent variable</w:t>
      </w:r>
      <w:r w:rsidR="00F62715" w:rsidRPr="008573C5">
        <w:rPr>
          <w:rFonts w:eastAsia="Calibri"/>
        </w:rPr>
        <w:t>s</w:t>
      </w:r>
      <w:r w:rsidRPr="008573C5">
        <w:rPr>
          <w:rFonts w:eastAsia="Calibri"/>
          <w:sz w:val="22"/>
          <w:szCs w:val="22"/>
        </w:rPr>
        <w:t xml:space="preserve">. </w:t>
      </w:r>
      <w:r w:rsidR="00F62715" w:rsidRPr="008573C5">
        <w:rPr>
          <w:rFonts w:eastAsia="Calibri"/>
        </w:rPr>
        <w:t>The significance coefficient of the F</w:t>
      </w:r>
      <w:r w:rsidR="001538AE" w:rsidRPr="008573C5">
        <w:rPr>
          <w:rFonts w:eastAsia="Calibri"/>
        </w:rPr>
        <w:t>-</w:t>
      </w:r>
      <w:r w:rsidR="0024166C">
        <w:rPr>
          <w:rFonts w:eastAsia="Calibri"/>
        </w:rPr>
        <w:t>statistics i</w:t>
      </w:r>
      <w:r w:rsidR="00F62715" w:rsidRPr="008573C5">
        <w:rPr>
          <w:rFonts w:eastAsia="Calibri"/>
        </w:rPr>
        <w:t xml:space="preserve">s used in determining if there is any heteroskedasticity problem. </w:t>
      </w:r>
      <w:r w:rsidR="002A5770" w:rsidRPr="008573C5">
        <w:rPr>
          <w:rFonts w:eastAsia="Calibri"/>
        </w:rPr>
        <w:t xml:space="preserve">Statistical significance of the </w:t>
      </w:r>
      <w:r w:rsidR="00E72E4B" w:rsidRPr="008573C5">
        <w:rPr>
          <w:rFonts w:eastAsia="Calibri"/>
        </w:rPr>
        <w:t>result is determined using t-statistics using 1%, 5% and 10% levels of significance</w:t>
      </w:r>
      <w:r w:rsidR="002A5770" w:rsidRPr="008573C5">
        <w:rPr>
          <w:rFonts w:eastAsia="Calibri"/>
        </w:rPr>
        <w:t>.</w:t>
      </w:r>
      <w:r w:rsidRPr="008573C5">
        <w:rPr>
          <w:rFonts w:eastAsia="Calibri"/>
        </w:rPr>
        <w:t xml:space="preserve"> Factor </w:t>
      </w:r>
      <w:r w:rsidR="007353CE" w:rsidRPr="008573C5">
        <w:rPr>
          <w:rFonts w:eastAsia="Calibri"/>
        </w:rPr>
        <w:t>a</w:t>
      </w:r>
      <w:r w:rsidR="0024166C">
        <w:rPr>
          <w:rFonts w:eastAsia="Calibri"/>
        </w:rPr>
        <w:t>nalysis i</w:t>
      </w:r>
      <w:r w:rsidRPr="008573C5">
        <w:rPr>
          <w:rFonts w:eastAsia="Calibri"/>
        </w:rPr>
        <w:t xml:space="preserve">s utilized within eight regression equations. Two </w:t>
      </w:r>
      <w:r w:rsidR="0024166C">
        <w:rPr>
          <w:rFonts w:eastAsia="Calibri"/>
        </w:rPr>
        <w:t>statistical measures a</w:t>
      </w:r>
      <w:r w:rsidRPr="008573C5">
        <w:rPr>
          <w:rFonts w:eastAsia="Calibri"/>
        </w:rPr>
        <w:t>re generated to assess the factorability of the data, namely (a) Kaiser-Meyer-Olkin (KMO) test which is utilized in testing the adequacy of samples. KMO must be greater than 0.5 to be adequate</w:t>
      </w:r>
      <w:r w:rsidR="00E72E4B" w:rsidRPr="008573C5">
        <w:rPr>
          <w:rFonts w:eastAsia="Calibri"/>
        </w:rPr>
        <w:t>;</w:t>
      </w:r>
      <w:r w:rsidRPr="008573C5">
        <w:rPr>
          <w:rFonts w:eastAsia="Calibri"/>
        </w:rPr>
        <w:t xml:space="preserve"> and (b) Barlett’s test of sphericity</w:t>
      </w:r>
      <w:r w:rsidR="00E72E4B" w:rsidRPr="008573C5">
        <w:rPr>
          <w:rFonts w:eastAsia="Calibri"/>
        </w:rPr>
        <w:t>.</w:t>
      </w:r>
      <w:r w:rsidR="00F62715" w:rsidRPr="008573C5">
        <w:rPr>
          <w:rFonts w:eastAsia="Calibri"/>
        </w:rPr>
        <w:t xml:space="preserve"> C</w:t>
      </w:r>
      <w:r w:rsidR="0024166C">
        <w:rPr>
          <w:rFonts w:eastAsia="Calibri"/>
        </w:rPr>
        <w:t>luster analysis i</w:t>
      </w:r>
      <w:r w:rsidR="00F62715" w:rsidRPr="008573C5">
        <w:rPr>
          <w:rFonts w:eastAsia="Calibri"/>
        </w:rPr>
        <w:t xml:space="preserve">s further utilized to explore the voluntary items in order to reflect the structure of the published information. </w:t>
      </w:r>
    </w:p>
    <w:p w:rsidR="00B60C52" w:rsidRPr="008573C5" w:rsidRDefault="00142A06" w:rsidP="000E49C7">
      <w:pPr>
        <w:pStyle w:val="NormalWeb"/>
        <w:spacing w:line="360" w:lineRule="auto"/>
        <w:jc w:val="both"/>
        <w:rPr>
          <w:rFonts w:eastAsia="Calibri"/>
        </w:rPr>
      </w:pPr>
      <w:r w:rsidRPr="008573C5">
        <w:rPr>
          <w:rFonts w:eastAsia="Calibri"/>
        </w:rPr>
        <w:t>The t</w:t>
      </w:r>
      <w:r w:rsidR="002A5770" w:rsidRPr="008573C5">
        <w:rPr>
          <w:rFonts w:eastAsia="Calibri"/>
        </w:rPr>
        <w:t>est of H</w:t>
      </w:r>
      <w:r w:rsidR="00117753" w:rsidRPr="008573C5">
        <w:rPr>
          <w:rFonts w:eastAsia="Calibri"/>
        </w:rPr>
        <w:t>ypothesi</w:t>
      </w:r>
      <w:r w:rsidRPr="008573C5">
        <w:rPr>
          <w:rFonts w:eastAsia="Calibri"/>
        </w:rPr>
        <w:t xml:space="preserve">s </w:t>
      </w:r>
      <w:r w:rsidR="001538AE" w:rsidRPr="008573C5">
        <w:rPr>
          <w:rFonts w:eastAsia="Calibri"/>
        </w:rPr>
        <w:t xml:space="preserve">five </w:t>
      </w:r>
      <w:r w:rsidR="0024166C">
        <w:rPr>
          <w:rFonts w:eastAsia="Calibri"/>
        </w:rPr>
        <w:t>i</w:t>
      </w:r>
      <w:r w:rsidR="00F31899" w:rsidRPr="008573C5">
        <w:rPr>
          <w:rFonts w:eastAsia="Calibri"/>
        </w:rPr>
        <w:t>s</w:t>
      </w:r>
      <w:r w:rsidRPr="008573C5">
        <w:rPr>
          <w:rFonts w:eastAsia="Calibri"/>
        </w:rPr>
        <w:t xml:space="preserve"> achieved using the </w:t>
      </w:r>
      <w:r w:rsidR="00F87682" w:rsidRPr="008573C5">
        <w:rPr>
          <w:rFonts w:eastAsia="Calibri"/>
        </w:rPr>
        <w:t>primary data</w:t>
      </w:r>
      <w:r w:rsidRPr="008573C5">
        <w:rPr>
          <w:rFonts w:eastAsia="Calibri"/>
        </w:rPr>
        <w:t xml:space="preserve">. </w:t>
      </w:r>
      <w:r w:rsidR="00117753" w:rsidRPr="008573C5">
        <w:rPr>
          <w:rFonts w:eastAsia="Calibri"/>
        </w:rPr>
        <w:t>M</w:t>
      </w:r>
      <w:r w:rsidR="00764204" w:rsidRPr="008573C5">
        <w:rPr>
          <w:rFonts w:eastAsia="Calibri"/>
        </w:rPr>
        <w:t xml:space="preserve">ultivariate </w:t>
      </w:r>
      <w:r w:rsidR="00E72E4B" w:rsidRPr="008573C5">
        <w:rPr>
          <w:rFonts w:eastAsia="Calibri"/>
        </w:rPr>
        <w:t>A</w:t>
      </w:r>
      <w:r w:rsidR="00764204" w:rsidRPr="008573C5">
        <w:rPr>
          <w:rFonts w:eastAsia="Calibri"/>
        </w:rPr>
        <w:t xml:space="preserve">nalysis of </w:t>
      </w:r>
      <w:r w:rsidR="00E72E4B" w:rsidRPr="008573C5">
        <w:rPr>
          <w:rFonts w:eastAsia="Calibri"/>
        </w:rPr>
        <w:t>V</w:t>
      </w:r>
      <w:r w:rsidR="00764204" w:rsidRPr="008573C5">
        <w:rPr>
          <w:rFonts w:eastAsia="Calibri"/>
        </w:rPr>
        <w:t>ariance</w:t>
      </w:r>
      <w:r w:rsidR="00117753" w:rsidRPr="008573C5">
        <w:rPr>
          <w:rFonts w:eastAsia="Calibri"/>
        </w:rPr>
        <w:t xml:space="preserve"> (MANOVA) </w:t>
      </w:r>
      <w:r w:rsidR="0024166C">
        <w:rPr>
          <w:rFonts w:eastAsia="Calibri"/>
        </w:rPr>
        <w:t>i</w:t>
      </w:r>
      <w:r w:rsidR="00F31899" w:rsidRPr="008573C5">
        <w:rPr>
          <w:rFonts w:eastAsia="Calibri"/>
        </w:rPr>
        <w:t>s</w:t>
      </w:r>
      <w:r w:rsidR="00117753" w:rsidRPr="008573C5">
        <w:rPr>
          <w:rFonts w:eastAsia="Calibri"/>
        </w:rPr>
        <w:t xml:space="preserve"> used in testing the hypothesis</w:t>
      </w:r>
      <w:r w:rsidR="00764204" w:rsidRPr="008573C5">
        <w:rPr>
          <w:rFonts w:eastAsia="Calibri"/>
        </w:rPr>
        <w:t>.</w:t>
      </w:r>
      <w:r w:rsidR="00F87682" w:rsidRPr="008573C5">
        <w:rPr>
          <w:rFonts w:eastAsia="Calibri"/>
        </w:rPr>
        <w:t xml:space="preserve"> Box’s test of equality of covariance matrices </w:t>
      </w:r>
      <w:r w:rsidR="0024166C">
        <w:rPr>
          <w:rFonts w:eastAsia="Calibri"/>
        </w:rPr>
        <w:t>i</w:t>
      </w:r>
      <w:r w:rsidR="00F31899" w:rsidRPr="008573C5">
        <w:rPr>
          <w:rFonts w:eastAsia="Calibri"/>
        </w:rPr>
        <w:t>s</w:t>
      </w:r>
      <w:r w:rsidR="00F87682" w:rsidRPr="008573C5">
        <w:rPr>
          <w:rFonts w:eastAsia="Calibri"/>
        </w:rPr>
        <w:t xml:space="preserve"> employed for MANOVA, t</w:t>
      </w:r>
      <w:r w:rsidR="00117753" w:rsidRPr="008573C5">
        <w:rPr>
          <w:rFonts w:eastAsia="Calibri"/>
        </w:rPr>
        <w:t xml:space="preserve">his </w:t>
      </w:r>
      <w:r w:rsidR="00F87682" w:rsidRPr="008573C5">
        <w:rPr>
          <w:rFonts w:eastAsia="Calibri"/>
        </w:rPr>
        <w:t>tell</w:t>
      </w:r>
      <w:r w:rsidR="00117753" w:rsidRPr="008573C5">
        <w:rPr>
          <w:rFonts w:eastAsia="Calibri"/>
        </w:rPr>
        <w:t>s</w:t>
      </w:r>
      <w:r w:rsidR="0024166C">
        <w:rPr>
          <w:rFonts w:eastAsia="Calibri"/>
        </w:rPr>
        <w:t xml:space="preserve"> if the data violate</w:t>
      </w:r>
      <w:r w:rsidR="00F87682" w:rsidRPr="008573C5">
        <w:rPr>
          <w:rFonts w:eastAsia="Calibri"/>
        </w:rPr>
        <w:t xml:space="preserve"> the assumption of homogeneity of variance covariance matrices</w:t>
      </w:r>
      <w:r w:rsidR="0024166C">
        <w:rPr>
          <w:rFonts w:eastAsia="Calibri"/>
        </w:rPr>
        <w:t xml:space="preserve"> or not</w:t>
      </w:r>
      <w:r w:rsidR="00F87682" w:rsidRPr="008573C5">
        <w:rPr>
          <w:rFonts w:eastAsia="Calibri"/>
        </w:rPr>
        <w:t xml:space="preserve">. If the </w:t>
      </w:r>
      <w:r w:rsidR="00F31899" w:rsidRPr="008573C5">
        <w:rPr>
          <w:rFonts w:eastAsia="Calibri"/>
        </w:rPr>
        <w:t>p-</w:t>
      </w:r>
      <w:r w:rsidR="00F87682" w:rsidRPr="008573C5">
        <w:rPr>
          <w:rFonts w:eastAsia="Calibri"/>
        </w:rPr>
        <w:t xml:space="preserve">value is greater than </w:t>
      </w:r>
      <w:r w:rsidR="00697600" w:rsidRPr="008573C5">
        <w:rPr>
          <w:rFonts w:eastAsia="Calibri"/>
        </w:rPr>
        <w:t>0</w:t>
      </w:r>
      <w:r w:rsidR="00F87682" w:rsidRPr="008573C5">
        <w:rPr>
          <w:rFonts w:eastAsia="Calibri"/>
        </w:rPr>
        <w:t xml:space="preserve">.001, then the assumption has not been violated (Pallant, 2004:228). Levene’s test of equality of error variances is employed to check the assumption of equality of variance for MANOVA. Any Sig. less than </w:t>
      </w:r>
      <w:r w:rsidR="00697600" w:rsidRPr="008573C5">
        <w:rPr>
          <w:rFonts w:eastAsia="Calibri"/>
        </w:rPr>
        <w:t>0</w:t>
      </w:r>
      <w:r w:rsidR="00F87682" w:rsidRPr="008573C5">
        <w:rPr>
          <w:rFonts w:eastAsia="Calibri"/>
        </w:rPr>
        <w:t xml:space="preserve">.05 violates the assumption (Pallant, 2004:228). The effect size of the variables is evaluated using Eta squared, if the value is </w:t>
      </w:r>
      <w:r w:rsidR="00697600" w:rsidRPr="008573C5">
        <w:rPr>
          <w:rFonts w:eastAsia="Calibri"/>
        </w:rPr>
        <w:t>0</w:t>
      </w:r>
      <w:r w:rsidR="00F87682" w:rsidRPr="008573C5">
        <w:rPr>
          <w:rFonts w:eastAsia="Calibri"/>
        </w:rPr>
        <w:t xml:space="preserve">.01 it is interpreted as small effect, if the value is </w:t>
      </w:r>
      <w:r w:rsidR="00697600" w:rsidRPr="008573C5">
        <w:rPr>
          <w:rFonts w:eastAsia="Calibri"/>
        </w:rPr>
        <w:t>0</w:t>
      </w:r>
      <w:r w:rsidR="00F87682" w:rsidRPr="008573C5">
        <w:rPr>
          <w:rFonts w:eastAsia="Calibri"/>
        </w:rPr>
        <w:t xml:space="preserve">.06 it is interpreted as moderate effect and if </w:t>
      </w:r>
      <w:r w:rsidR="00697600" w:rsidRPr="008573C5">
        <w:rPr>
          <w:rFonts w:eastAsia="Calibri"/>
        </w:rPr>
        <w:t>0</w:t>
      </w:r>
      <w:r w:rsidR="00F87682" w:rsidRPr="008573C5">
        <w:rPr>
          <w:rFonts w:eastAsia="Calibri"/>
        </w:rPr>
        <w:t>.14 it is interpreted as large effect (Pallant, 2004:181).</w:t>
      </w:r>
      <w:r w:rsidR="002C40AE" w:rsidRPr="008573C5">
        <w:rPr>
          <w:rFonts w:eastAsia="Calibri"/>
        </w:rPr>
        <w:t xml:space="preserve"> </w:t>
      </w:r>
      <w:r w:rsidR="001B7280" w:rsidRPr="008573C5">
        <w:rPr>
          <w:rFonts w:eastAsia="Calibri"/>
        </w:rPr>
        <w:t xml:space="preserve">Wilks’ Lamda is employed to check for statistically significant differences. If the significant level is less than </w:t>
      </w:r>
      <w:r w:rsidR="00697600" w:rsidRPr="008573C5">
        <w:rPr>
          <w:rFonts w:eastAsia="Calibri"/>
        </w:rPr>
        <w:t>0</w:t>
      </w:r>
      <w:r w:rsidR="001B7280" w:rsidRPr="008573C5">
        <w:rPr>
          <w:rFonts w:eastAsia="Calibri"/>
        </w:rPr>
        <w:t>.05, then it can be concluded that there is a difference among the groups</w:t>
      </w:r>
      <w:r w:rsidR="00EF72EF" w:rsidRPr="008573C5">
        <w:rPr>
          <w:rFonts w:eastAsia="Calibri"/>
        </w:rPr>
        <w:t xml:space="preserve"> </w:t>
      </w:r>
      <w:r w:rsidR="001B7280" w:rsidRPr="008573C5">
        <w:rPr>
          <w:rFonts w:eastAsia="Calibri"/>
        </w:rPr>
        <w:t>(Pallant, 2004:22</w:t>
      </w:r>
      <w:r w:rsidR="002C40AE" w:rsidRPr="008573C5">
        <w:rPr>
          <w:rFonts w:eastAsia="Calibri"/>
        </w:rPr>
        <w:t>9</w:t>
      </w:r>
      <w:r w:rsidR="001B7280" w:rsidRPr="008573C5">
        <w:rPr>
          <w:rFonts w:eastAsia="Calibri"/>
        </w:rPr>
        <w:t>).</w:t>
      </w:r>
      <w:r w:rsidR="002C40AE" w:rsidRPr="008573C5">
        <w:rPr>
          <w:rFonts w:eastAsia="Calibri"/>
        </w:rPr>
        <w:t xml:space="preserve"> </w:t>
      </w:r>
    </w:p>
    <w:p w:rsidR="00E72E4B" w:rsidRPr="008573C5" w:rsidRDefault="00E72E4B" w:rsidP="00117753">
      <w:pPr>
        <w:pStyle w:val="NormalWeb"/>
        <w:spacing w:line="360" w:lineRule="auto"/>
        <w:jc w:val="both"/>
        <w:rPr>
          <w:rFonts w:eastAsia="Calibri"/>
        </w:rPr>
      </w:pPr>
    </w:p>
    <w:p w:rsidR="00FF5EDF" w:rsidRPr="008573C5" w:rsidRDefault="00FF5EDF" w:rsidP="00D921C2">
      <w:pPr>
        <w:pStyle w:val="NormalWeb"/>
        <w:spacing w:before="0" w:beforeAutospacing="0" w:after="0" w:afterAutospacing="0" w:line="360" w:lineRule="auto"/>
        <w:jc w:val="both"/>
        <w:rPr>
          <w:b/>
          <w:bCs/>
          <w:sz w:val="28"/>
          <w:szCs w:val="28"/>
        </w:rPr>
      </w:pPr>
      <w:r w:rsidRPr="008573C5">
        <w:rPr>
          <w:b/>
          <w:bCs/>
          <w:sz w:val="28"/>
          <w:szCs w:val="28"/>
        </w:rPr>
        <w:t>3.</w:t>
      </w:r>
      <w:r w:rsidR="00D7363F" w:rsidRPr="008573C5">
        <w:rPr>
          <w:b/>
          <w:bCs/>
          <w:sz w:val="28"/>
          <w:szCs w:val="28"/>
        </w:rPr>
        <w:t>5</w:t>
      </w:r>
      <w:r w:rsidRPr="008573C5">
        <w:rPr>
          <w:b/>
          <w:bCs/>
          <w:sz w:val="28"/>
          <w:szCs w:val="28"/>
        </w:rPr>
        <w:tab/>
        <w:t>I</w:t>
      </w:r>
      <w:r w:rsidR="00D7363F" w:rsidRPr="008573C5">
        <w:rPr>
          <w:b/>
          <w:bCs/>
          <w:sz w:val="28"/>
          <w:szCs w:val="28"/>
        </w:rPr>
        <w:t>nstruments for Data Analys</w:t>
      </w:r>
      <w:r w:rsidR="00F87682" w:rsidRPr="008573C5">
        <w:rPr>
          <w:b/>
          <w:bCs/>
          <w:sz w:val="28"/>
          <w:szCs w:val="28"/>
        </w:rPr>
        <w:t>e</w:t>
      </w:r>
      <w:r w:rsidR="00D7363F" w:rsidRPr="008573C5">
        <w:rPr>
          <w:b/>
          <w:bCs/>
          <w:sz w:val="28"/>
          <w:szCs w:val="28"/>
        </w:rPr>
        <w:t>s</w:t>
      </w:r>
    </w:p>
    <w:p w:rsidR="00FF5EDF" w:rsidRPr="008573C5" w:rsidRDefault="00FF5EDF" w:rsidP="00D921C2">
      <w:pPr>
        <w:pStyle w:val="NormalWeb"/>
        <w:spacing w:before="0" w:beforeAutospacing="0" w:after="0" w:afterAutospacing="0" w:line="360" w:lineRule="auto"/>
        <w:jc w:val="both"/>
        <w:rPr>
          <w:bCs/>
        </w:rPr>
      </w:pPr>
      <w:r w:rsidRPr="008573C5">
        <w:rPr>
          <w:bCs/>
        </w:rPr>
        <w:t>Data for the depend</w:t>
      </w:r>
      <w:r w:rsidR="0024166C">
        <w:rPr>
          <w:bCs/>
        </w:rPr>
        <w:t>ent and independent variables a</w:t>
      </w:r>
      <w:r w:rsidRPr="008573C5">
        <w:rPr>
          <w:bCs/>
        </w:rPr>
        <w:t xml:space="preserve">re </w:t>
      </w:r>
      <w:r w:rsidR="00D921C2" w:rsidRPr="008573C5">
        <w:rPr>
          <w:bCs/>
        </w:rPr>
        <w:t>captured from the annual accounts</w:t>
      </w:r>
      <w:r w:rsidRPr="008573C5">
        <w:rPr>
          <w:bCs/>
        </w:rPr>
        <w:t xml:space="preserve"> </w:t>
      </w:r>
      <w:r w:rsidR="00697600" w:rsidRPr="008573C5">
        <w:rPr>
          <w:bCs/>
        </w:rPr>
        <w:t>and collated with the aid of</w:t>
      </w:r>
      <w:r w:rsidR="00B72F14" w:rsidRPr="008573C5">
        <w:rPr>
          <w:bCs/>
        </w:rPr>
        <w:t xml:space="preserve"> Microsoft Excel</w:t>
      </w:r>
      <w:r w:rsidR="00AF743F" w:rsidRPr="008573C5">
        <w:rPr>
          <w:bCs/>
        </w:rPr>
        <w:t xml:space="preserve"> </w:t>
      </w:r>
      <w:r w:rsidR="00B72F14" w:rsidRPr="008573C5">
        <w:rPr>
          <w:bCs/>
        </w:rPr>
        <w:t>2007</w:t>
      </w:r>
      <w:r w:rsidR="0024166C">
        <w:rPr>
          <w:bCs/>
        </w:rPr>
        <w:t xml:space="preserve">. The gathered data are </w:t>
      </w:r>
      <w:r w:rsidRPr="008573C5">
        <w:rPr>
          <w:bCs/>
        </w:rPr>
        <w:t xml:space="preserve">scrutinized and analyzed by employing </w:t>
      </w:r>
      <w:r w:rsidR="00BB7932" w:rsidRPr="008573C5">
        <w:rPr>
          <w:bCs/>
        </w:rPr>
        <w:t xml:space="preserve">a </w:t>
      </w:r>
      <w:r w:rsidRPr="008573C5">
        <w:rPr>
          <w:bCs/>
        </w:rPr>
        <w:t>variety of quantitative analysis techniques using SPSS 1</w:t>
      </w:r>
      <w:r w:rsidR="00B72F14" w:rsidRPr="008573C5">
        <w:rPr>
          <w:bCs/>
        </w:rPr>
        <w:t>6</w:t>
      </w:r>
      <w:r w:rsidRPr="008573C5">
        <w:rPr>
          <w:bCs/>
        </w:rPr>
        <w:t xml:space="preserve"> package</w:t>
      </w:r>
      <w:r w:rsidR="00BB7932" w:rsidRPr="008573C5">
        <w:rPr>
          <w:bCs/>
        </w:rPr>
        <w:t>, 2007 version</w:t>
      </w:r>
      <w:r w:rsidRPr="008573C5">
        <w:rPr>
          <w:bCs/>
        </w:rPr>
        <w:t>.</w:t>
      </w:r>
    </w:p>
    <w:p w:rsidR="0059440A" w:rsidRPr="008573C5" w:rsidRDefault="0059440A" w:rsidP="00FF5EDF">
      <w:pPr>
        <w:spacing w:before="100" w:beforeAutospacing="1" w:after="100" w:afterAutospacing="1" w:line="360" w:lineRule="auto"/>
        <w:jc w:val="center"/>
        <w:rPr>
          <w:b/>
          <w:sz w:val="28"/>
          <w:szCs w:val="28"/>
        </w:rPr>
      </w:pPr>
    </w:p>
    <w:p w:rsidR="0059440A" w:rsidRDefault="0059440A" w:rsidP="00FF5EDF">
      <w:pPr>
        <w:spacing w:before="100" w:beforeAutospacing="1" w:after="100" w:afterAutospacing="1" w:line="360" w:lineRule="auto"/>
        <w:jc w:val="center"/>
        <w:rPr>
          <w:b/>
          <w:sz w:val="28"/>
          <w:szCs w:val="28"/>
        </w:rPr>
      </w:pPr>
    </w:p>
    <w:p w:rsidR="00EE6BC4" w:rsidRDefault="00EE6BC4" w:rsidP="00FF5EDF">
      <w:pPr>
        <w:spacing w:before="100" w:beforeAutospacing="1" w:after="100" w:afterAutospacing="1" w:line="360" w:lineRule="auto"/>
        <w:jc w:val="center"/>
        <w:rPr>
          <w:b/>
          <w:sz w:val="28"/>
          <w:szCs w:val="28"/>
        </w:rPr>
      </w:pPr>
    </w:p>
    <w:p w:rsidR="00EE6BC4" w:rsidRPr="008573C5" w:rsidRDefault="00EE6BC4" w:rsidP="00FF5EDF">
      <w:pPr>
        <w:spacing w:before="100" w:beforeAutospacing="1" w:after="100" w:afterAutospacing="1" w:line="360" w:lineRule="auto"/>
        <w:jc w:val="center"/>
        <w:rPr>
          <w:b/>
          <w:sz w:val="28"/>
          <w:szCs w:val="28"/>
        </w:rPr>
      </w:pPr>
    </w:p>
    <w:p w:rsidR="00FF5EDF" w:rsidRPr="00F73638" w:rsidRDefault="00FF5EDF" w:rsidP="00F73638">
      <w:pPr>
        <w:spacing w:line="360" w:lineRule="auto"/>
        <w:jc w:val="center"/>
        <w:rPr>
          <w:b/>
          <w:sz w:val="32"/>
          <w:szCs w:val="32"/>
        </w:rPr>
      </w:pPr>
      <w:r w:rsidRPr="00F73638">
        <w:rPr>
          <w:b/>
          <w:sz w:val="32"/>
          <w:szCs w:val="32"/>
        </w:rPr>
        <w:t>CHAPTER FOUR</w:t>
      </w:r>
    </w:p>
    <w:p w:rsidR="00FF5EDF" w:rsidRPr="008573C5" w:rsidRDefault="00FF5EDF" w:rsidP="00F73638">
      <w:pPr>
        <w:spacing w:line="360" w:lineRule="auto"/>
        <w:jc w:val="center"/>
        <w:rPr>
          <w:b/>
          <w:sz w:val="28"/>
          <w:szCs w:val="28"/>
        </w:rPr>
      </w:pPr>
      <w:r w:rsidRPr="00F73638">
        <w:rPr>
          <w:b/>
          <w:sz w:val="32"/>
          <w:szCs w:val="32"/>
        </w:rPr>
        <w:t>DATA PRESENTATION AND ANALYSIS</w:t>
      </w:r>
      <w:r w:rsidRPr="008573C5">
        <w:rPr>
          <w:b/>
          <w:sz w:val="28"/>
          <w:szCs w:val="28"/>
        </w:rPr>
        <w:t xml:space="preserve"> </w:t>
      </w:r>
    </w:p>
    <w:p w:rsidR="005E7FBD" w:rsidRDefault="005E7FBD" w:rsidP="006B4561">
      <w:pPr>
        <w:spacing w:line="360" w:lineRule="auto"/>
        <w:rPr>
          <w:b/>
          <w:sz w:val="28"/>
          <w:szCs w:val="28"/>
        </w:rPr>
      </w:pPr>
    </w:p>
    <w:p w:rsidR="00FF5EDF" w:rsidRPr="008573C5" w:rsidRDefault="00FF5EDF" w:rsidP="006B4561">
      <w:pPr>
        <w:spacing w:line="360" w:lineRule="auto"/>
        <w:rPr>
          <w:b/>
          <w:sz w:val="28"/>
          <w:szCs w:val="28"/>
        </w:rPr>
      </w:pPr>
      <w:r w:rsidRPr="008573C5">
        <w:rPr>
          <w:b/>
          <w:sz w:val="28"/>
          <w:szCs w:val="28"/>
        </w:rPr>
        <w:t>4.0</w:t>
      </w:r>
      <w:r w:rsidRPr="008573C5">
        <w:rPr>
          <w:b/>
          <w:sz w:val="28"/>
          <w:szCs w:val="28"/>
        </w:rPr>
        <w:tab/>
        <w:t>I</w:t>
      </w:r>
      <w:r w:rsidR="006A67BD" w:rsidRPr="008573C5">
        <w:rPr>
          <w:b/>
          <w:sz w:val="28"/>
          <w:szCs w:val="28"/>
        </w:rPr>
        <w:t>ntroduction</w:t>
      </w:r>
    </w:p>
    <w:p w:rsidR="00735106" w:rsidRPr="008573C5" w:rsidRDefault="00735106" w:rsidP="006B4561">
      <w:pPr>
        <w:spacing w:line="360" w:lineRule="auto"/>
        <w:jc w:val="both"/>
        <w:rPr>
          <w:lang w:val="en-GB"/>
        </w:rPr>
      </w:pPr>
      <w:r w:rsidRPr="008573C5">
        <w:rPr>
          <w:lang w:val="en-GB"/>
        </w:rPr>
        <w:t>This chapter deals with the presentation and the analys</w:t>
      </w:r>
      <w:r w:rsidR="00F32633" w:rsidRPr="008573C5">
        <w:rPr>
          <w:lang w:val="en-GB"/>
        </w:rPr>
        <w:t>e</w:t>
      </w:r>
      <w:r w:rsidRPr="008573C5">
        <w:rPr>
          <w:lang w:val="en-GB"/>
        </w:rPr>
        <w:t xml:space="preserve">s of secondary and primary data. </w:t>
      </w:r>
      <w:r w:rsidR="00B209A3" w:rsidRPr="008573C5">
        <w:rPr>
          <w:lang w:val="en-GB"/>
        </w:rPr>
        <w:t>The data is</w:t>
      </w:r>
      <w:r w:rsidRPr="008573C5">
        <w:rPr>
          <w:lang w:val="en-GB"/>
        </w:rPr>
        <w:t xml:space="preserve"> presented using tables and charts show</w:t>
      </w:r>
      <w:r w:rsidR="00D84C89" w:rsidRPr="008573C5">
        <w:rPr>
          <w:lang w:val="en-GB"/>
        </w:rPr>
        <w:t>ing frequency distributions,</w:t>
      </w:r>
      <w:r w:rsidRPr="008573C5">
        <w:rPr>
          <w:lang w:val="en-GB"/>
        </w:rPr>
        <w:t xml:space="preserve"> mean</w:t>
      </w:r>
      <w:r w:rsidR="0003530A" w:rsidRPr="008573C5">
        <w:rPr>
          <w:lang w:val="en-GB"/>
        </w:rPr>
        <w:t>s</w:t>
      </w:r>
      <w:r w:rsidRPr="008573C5">
        <w:rPr>
          <w:lang w:val="en-GB"/>
        </w:rPr>
        <w:t xml:space="preserve"> and standard deviation</w:t>
      </w:r>
      <w:r w:rsidR="0003530A" w:rsidRPr="008573C5">
        <w:rPr>
          <w:lang w:val="en-GB"/>
        </w:rPr>
        <w:t>s</w:t>
      </w:r>
      <w:r w:rsidRPr="008573C5">
        <w:rPr>
          <w:lang w:val="en-GB"/>
        </w:rPr>
        <w:t xml:space="preserve"> to aid easy understanding. Firstly, i</w:t>
      </w:r>
      <w:r w:rsidRPr="008573C5">
        <w:t xml:space="preserve">t </w:t>
      </w:r>
      <w:r w:rsidRPr="008573C5">
        <w:rPr>
          <w:lang w:val="en-GB"/>
        </w:rPr>
        <w:t>presents the analysis of the annual report data. It covers the preliminary and advanced analyse</w:t>
      </w:r>
      <w:r w:rsidR="00B209A3" w:rsidRPr="008573C5">
        <w:rPr>
          <w:lang w:val="en-GB"/>
        </w:rPr>
        <w:t>s</w:t>
      </w:r>
      <w:r w:rsidRPr="008573C5">
        <w:rPr>
          <w:lang w:val="en-GB"/>
        </w:rPr>
        <w:t xml:space="preserve"> using factor analysis, unranked OLS, ranked OLS and Cluster analysi</w:t>
      </w:r>
      <w:r w:rsidR="00B209A3" w:rsidRPr="008573C5">
        <w:rPr>
          <w:lang w:val="en-GB"/>
        </w:rPr>
        <w:t>s. The</w:t>
      </w:r>
      <w:r w:rsidRPr="008573C5">
        <w:rPr>
          <w:lang w:val="en-GB"/>
        </w:rPr>
        <w:t xml:space="preserve"> hypotheses of the</w:t>
      </w:r>
      <w:r w:rsidR="00B209A3" w:rsidRPr="008573C5">
        <w:rPr>
          <w:lang w:val="en-GB"/>
        </w:rPr>
        <w:t xml:space="preserve"> secondary data </w:t>
      </w:r>
      <w:r w:rsidR="00777987" w:rsidRPr="008573C5">
        <w:rPr>
          <w:lang w:val="en-GB"/>
        </w:rPr>
        <w:t xml:space="preserve">are </w:t>
      </w:r>
      <w:r w:rsidR="00B209A3" w:rsidRPr="008573C5">
        <w:rPr>
          <w:lang w:val="en-GB"/>
        </w:rPr>
        <w:t>tested using T- and F- statistics. Secondly,</w:t>
      </w:r>
      <w:r w:rsidR="0003530A" w:rsidRPr="008573C5">
        <w:rPr>
          <w:lang w:val="en-GB"/>
        </w:rPr>
        <w:t xml:space="preserve"> it presents the analysis of the primary </w:t>
      </w:r>
      <w:r w:rsidR="00B209A3" w:rsidRPr="008573C5">
        <w:rPr>
          <w:lang w:val="en-GB"/>
        </w:rPr>
        <w:t>data o</w:t>
      </w:r>
      <w:r w:rsidRPr="008573C5">
        <w:rPr>
          <w:lang w:val="en-GB"/>
        </w:rPr>
        <w:t>btained by the researcher through the admi</w:t>
      </w:r>
      <w:r w:rsidR="00B209A3" w:rsidRPr="008573C5">
        <w:rPr>
          <w:lang w:val="en-GB"/>
        </w:rPr>
        <w:t>nistratio</w:t>
      </w:r>
      <w:r w:rsidR="0003530A" w:rsidRPr="008573C5">
        <w:rPr>
          <w:lang w:val="en-GB"/>
        </w:rPr>
        <w:t>n of questionnaire.</w:t>
      </w:r>
      <w:r w:rsidR="002E11EA" w:rsidRPr="008573C5">
        <w:rPr>
          <w:lang w:val="en-GB"/>
        </w:rPr>
        <w:t xml:space="preserve"> The hypotheses of the primary data </w:t>
      </w:r>
      <w:r w:rsidR="00777987" w:rsidRPr="008573C5">
        <w:rPr>
          <w:lang w:val="en-GB"/>
        </w:rPr>
        <w:t>are</w:t>
      </w:r>
      <w:r w:rsidR="002E11EA" w:rsidRPr="008573C5">
        <w:rPr>
          <w:lang w:val="en-GB"/>
        </w:rPr>
        <w:t xml:space="preserve"> tested using Multivariate </w:t>
      </w:r>
      <w:r w:rsidRPr="008573C5">
        <w:rPr>
          <w:lang w:val="en-GB"/>
        </w:rPr>
        <w:t>Analysis of Variance</w:t>
      </w:r>
      <w:r w:rsidR="0003530A" w:rsidRPr="008573C5">
        <w:rPr>
          <w:lang w:val="en-GB"/>
        </w:rPr>
        <w:t>.</w:t>
      </w:r>
    </w:p>
    <w:p w:rsidR="00FF5EDF" w:rsidRPr="008573C5" w:rsidRDefault="00160E9E" w:rsidP="00FF5EDF">
      <w:pPr>
        <w:spacing w:before="100" w:beforeAutospacing="1" w:after="100" w:afterAutospacing="1" w:line="480" w:lineRule="auto"/>
        <w:jc w:val="both"/>
        <w:rPr>
          <w:rFonts w:ascii="Times" w:hAnsi="Times" w:cs="Times"/>
          <w:b/>
          <w:sz w:val="28"/>
          <w:szCs w:val="28"/>
        </w:rPr>
      </w:pPr>
      <w:r w:rsidRPr="008573C5">
        <w:rPr>
          <w:rFonts w:ascii="Times" w:hAnsi="Times" w:cs="Times"/>
          <w:b/>
          <w:sz w:val="28"/>
          <w:szCs w:val="28"/>
        </w:rPr>
        <w:t>4</w:t>
      </w:r>
      <w:r w:rsidR="00FF5EDF" w:rsidRPr="008573C5">
        <w:rPr>
          <w:rFonts w:ascii="Times" w:hAnsi="Times" w:cs="Times"/>
          <w:b/>
          <w:sz w:val="28"/>
          <w:szCs w:val="28"/>
        </w:rPr>
        <w:t>.</w:t>
      </w:r>
      <w:r w:rsidR="002E6723" w:rsidRPr="008573C5">
        <w:rPr>
          <w:rFonts w:ascii="Times" w:hAnsi="Times" w:cs="Times"/>
          <w:b/>
          <w:sz w:val="28"/>
          <w:szCs w:val="28"/>
        </w:rPr>
        <w:t>1</w:t>
      </w:r>
      <w:r w:rsidR="00FF5EDF" w:rsidRPr="008573C5">
        <w:rPr>
          <w:rFonts w:ascii="Times" w:hAnsi="Times" w:cs="Times"/>
          <w:b/>
          <w:sz w:val="28"/>
          <w:szCs w:val="28"/>
        </w:rPr>
        <w:t xml:space="preserve"> </w:t>
      </w:r>
      <w:r w:rsidR="00FF5EDF" w:rsidRPr="008573C5">
        <w:rPr>
          <w:rFonts w:ascii="Times" w:hAnsi="Times" w:cs="Times"/>
          <w:b/>
          <w:sz w:val="28"/>
          <w:szCs w:val="28"/>
        </w:rPr>
        <w:tab/>
        <w:t xml:space="preserve"> A</w:t>
      </w:r>
      <w:r w:rsidR="00D25640" w:rsidRPr="008573C5">
        <w:rPr>
          <w:rFonts w:ascii="Times" w:hAnsi="Times" w:cs="Times"/>
          <w:b/>
          <w:sz w:val="28"/>
          <w:szCs w:val="28"/>
        </w:rPr>
        <w:t>nalysis of Annual Reports</w:t>
      </w:r>
      <w:r w:rsidR="006A67BD" w:rsidRPr="008573C5">
        <w:rPr>
          <w:rFonts w:ascii="Times" w:hAnsi="Times" w:cs="Times"/>
          <w:b/>
          <w:sz w:val="28"/>
          <w:szCs w:val="28"/>
        </w:rPr>
        <w:t>- Preliminary</w:t>
      </w:r>
    </w:p>
    <w:p w:rsidR="00FF5EDF" w:rsidRPr="008573C5" w:rsidRDefault="002E6723" w:rsidP="001A1393">
      <w:pPr>
        <w:spacing w:line="480" w:lineRule="auto"/>
        <w:jc w:val="both"/>
        <w:rPr>
          <w:rFonts w:ascii="Times" w:hAnsi="Times" w:cs="Times"/>
          <w:b/>
          <w:sz w:val="28"/>
          <w:szCs w:val="28"/>
        </w:rPr>
      </w:pPr>
      <w:r w:rsidRPr="008573C5">
        <w:rPr>
          <w:rFonts w:ascii="Times" w:hAnsi="Times" w:cs="Times"/>
          <w:b/>
          <w:sz w:val="28"/>
          <w:szCs w:val="28"/>
        </w:rPr>
        <w:t>4.1.1</w:t>
      </w:r>
      <w:r w:rsidRPr="008573C5">
        <w:rPr>
          <w:rFonts w:ascii="Times" w:hAnsi="Times" w:cs="Times"/>
          <w:b/>
          <w:sz w:val="28"/>
          <w:szCs w:val="28"/>
        </w:rPr>
        <w:tab/>
      </w:r>
      <w:r w:rsidR="00FF5EDF" w:rsidRPr="008573C5">
        <w:rPr>
          <w:rFonts w:ascii="Times" w:hAnsi="Times" w:cs="Times"/>
          <w:b/>
          <w:sz w:val="28"/>
          <w:szCs w:val="28"/>
        </w:rPr>
        <w:t xml:space="preserve">Descriptive Statistics of Dependent Variables </w:t>
      </w:r>
    </w:p>
    <w:p w:rsidR="00160E9E" w:rsidRPr="008573C5" w:rsidRDefault="00160E9E" w:rsidP="001A1393">
      <w:pPr>
        <w:spacing w:line="360" w:lineRule="auto"/>
        <w:jc w:val="both"/>
        <w:rPr>
          <w:rFonts w:ascii="Times" w:hAnsi="Times" w:cs="Times"/>
        </w:rPr>
      </w:pPr>
      <w:r w:rsidRPr="008573C5">
        <w:t xml:space="preserve">Descriptive statistics of the disclosure indices is reported in Table 4.01 </w:t>
      </w:r>
      <w:r w:rsidR="00D25640" w:rsidRPr="008573C5">
        <w:t>below</w:t>
      </w:r>
      <w:r w:rsidRPr="008573C5">
        <w:t xml:space="preserve">. </w:t>
      </w:r>
      <w:r w:rsidRPr="008573C5">
        <w:rPr>
          <w:rFonts w:ascii="Times" w:hAnsi="Times" w:cs="Times"/>
        </w:rPr>
        <w:t xml:space="preserve"> The mean of the disclosure index for SASs (DISAS) is 0.883511, with a minimum index of 0.5000 and a maximum of 0.9796.  The mean of the disclosure index for IFRSs (DIFRS) is 0.550631, with a minimum index of 0.2308 and a maximum of 0.9800. The voluntary disclosure index (DIVOL) shows a declined mean value of 0.374013 with minimum and maximum at 0.0500 and 0.7000 respectively. The overall disclosure index whi</w:t>
      </w:r>
      <w:r w:rsidR="005943DB" w:rsidRPr="008573C5">
        <w:rPr>
          <w:rFonts w:ascii="Times" w:hAnsi="Times" w:cs="Times"/>
        </w:rPr>
        <w:t>ch is a combination of DISAS, D</w:t>
      </w:r>
      <w:r w:rsidRPr="008573C5">
        <w:rPr>
          <w:rFonts w:ascii="Times" w:hAnsi="Times" w:cs="Times"/>
        </w:rPr>
        <w:t>IFRS, DIV</w:t>
      </w:r>
      <w:r w:rsidR="005943DB" w:rsidRPr="008573C5">
        <w:rPr>
          <w:rFonts w:ascii="Times" w:hAnsi="Times" w:cs="Times"/>
        </w:rPr>
        <w:t>ol</w:t>
      </w:r>
      <w:r w:rsidRPr="008573C5">
        <w:rPr>
          <w:rFonts w:ascii="Times" w:hAnsi="Times" w:cs="Times"/>
        </w:rPr>
        <w:t xml:space="preserve"> has a mean of 0.602714, with a minimum of 0.3732 and a maximum of 0.7878.  This result show</w:t>
      </w:r>
      <w:r w:rsidR="00120993">
        <w:rPr>
          <w:rFonts w:ascii="Times" w:hAnsi="Times" w:cs="Times"/>
        </w:rPr>
        <w:t>s that no company fully complies</w:t>
      </w:r>
      <w:r w:rsidRPr="008573C5">
        <w:rPr>
          <w:rFonts w:ascii="Times" w:hAnsi="Times" w:cs="Times"/>
        </w:rPr>
        <w:t xml:space="preserve"> with the SAS</w:t>
      </w:r>
      <w:r w:rsidR="00695933" w:rsidRPr="008573C5">
        <w:rPr>
          <w:rFonts w:ascii="Times" w:hAnsi="Times" w:cs="Times"/>
        </w:rPr>
        <w:t xml:space="preserve"> disc</w:t>
      </w:r>
      <w:r w:rsidRPr="008573C5">
        <w:rPr>
          <w:rFonts w:ascii="Times" w:hAnsi="Times" w:cs="Times"/>
        </w:rPr>
        <w:t>losures</w:t>
      </w:r>
      <w:r w:rsidR="00D25640" w:rsidRPr="008573C5">
        <w:rPr>
          <w:rFonts w:ascii="Times" w:hAnsi="Times" w:cs="Times"/>
        </w:rPr>
        <w:t xml:space="preserve"> requirement</w:t>
      </w:r>
      <w:r w:rsidRPr="008573C5">
        <w:rPr>
          <w:rFonts w:ascii="Times" w:hAnsi="Times" w:cs="Times"/>
        </w:rPr>
        <w:t xml:space="preserve">, despite the fact that </w:t>
      </w:r>
      <w:r w:rsidR="00D25640" w:rsidRPr="008573C5">
        <w:rPr>
          <w:rFonts w:ascii="Times" w:hAnsi="Times" w:cs="Times"/>
        </w:rPr>
        <w:t>they are</w:t>
      </w:r>
      <w:r w:rsidRPr="008573C5">
        <w:rPr>
          <w:rFonts w:ascii="Times" w:hAnsi="Times" w:cs="Times"/>
        </w:rPr>
        <w:t xml:space="preserve"> mandatory</w:t>
      </w:r>
      <w:r w:rsidR="00D25640" w:rsidRPr="008573C5">
        <w:rPr>
          <w:rFonts w:ascii="Times" w:hAnsi="Times" w:cs="Times"/>
        </w:rPr>
        <w:t xml:space="preserve">, </w:t>
      </w:r>
      <w:r w:rsidR="001D58CD" w:rsidRPr="008573C5">
        <w:rPr>
          <w:rFonts w:ascii="Times" w:hAnsi="Times" w:cs="Times"/>
        </w:rPr>
        <w:t xml:space="preserve">however </w:t>
      </w:r>
      <w:r w:rsidRPr="008573C5">
        <w:rPr>
          <w:rFonts w:ascii="Times" w:hAnsi="Times" w:cs="Times"/>
        </w:rPr>
        <w:t xml:space="preserve">the SAS mean is considerably higher than the IFRS and Voluntary means, with a low dispersion (Standard deviation = 0.00718).  </w:t>
      </w:r>
    </w:p>
    <w:p w:rsidR="00CE4529" w:rsidRPr="008573C5" w:rsidRDefault="00CE4529" w:rsidP="00160E9E">
      <w:pPr>
        <w:spacing w:before="100" w:beforeAutospacing="1" w:after="100" w:afterAutospacing="1" w:line="360" w:lineRule="auto"/>
        <w:jc w:val="both"/>
        <w:rPr>
          <w:rFonts w:ascii="Times" w:hAnsi="Times" w:cs="Times"/>
          <w:b/>
        </w:rPr>
      </w:pPr>
    </w:p>
    <w:p w:rsidR="009664A4" w:rsidRDefault="009664A4" w:rsidP="00A83BBB">
      <w:pPr>
        <w:jc w:val="center"/>
        <w:rPr>
          <w:rFonts w:ascii="Times" w:hAnsi="Times" w:cs="Times"/>
          <w:b/>
          <w:sz w:val="28"/>
          <w:szCs w:val="28"/>
        </w:rPr>
      </w:pPr>
    </w:p>
    <w:p w:rsidR="002F1BAA" w:rsidRPr="008573C5" w:rsidRDefault="002F1BAA" w:rsidP="00A83BBB">
      <w:pPr>
        <w:jc w:val="center"/>
        <w:rPr>
          <w:rFonts w:ascii="Times" w:hAnsi="Times" w:cs="Times"/>
          <w:b/>
          <w:sz w:val="28"/>
          <w:szCs w:val="28"/>
        </w:rPr>
      </w:pPr>
    </w:p>
    <w:p w:rsidR="009664A4" w:rsidRPr="008573C5" w:rsidRDefault="009664A4" w:rsidP="00A83BBB">
      <w:pPr>
        <w:jc w:val="center"/>
        <w:rPr>
          <w:rFonts w:ascii="Times" w:hAnsi="Times" w:cs="Times"/>
          <w:b/>
          <w:sz w:val="28"/>
          <w:szCs w:val="28"/>
        </w:rPr>
      </w:pPr>
    </w:p>
    <w:p w:rsidR="00807AA6" w:rsidRPr="008573C5" w:rsidRDefault="00BF4515" w:rsidP="00A83BBB">
      <w:pPr>
        <w:jc w:val="center"/>
        <w:rPr>
          <w:rFonts w:ascii="Times" w:hAnsi="Times" w:cs="Times"/>
          <w:b/>
          <w:sz w:val="28"/>
          <w:szCs w:val="28"/>
        </w:rPr>
      </w:pPr>
      <w:r w:rsidRPr="008573C5">
        <w:rPr>
          <w:rFonts w:ascii="Times" w:hAnsi="Times" w:cs="Times"/>
          <w:b/>
          <w:sz w:val="28"/>
          <w:szCs w:val="28"/>
        </w:rPr>
        <w:t>Table 4.01: Descriptive Statistics of Compliance Indexes</w:t>
      </w:r>
    </w:p>
    <w:p w:rsidR="00FF5EDF" w:rsidRPr="008573C5" w:rsidRDefault="006E22C9" w:rsidP="00A83BBB">
      <w:pPr>
        <w:jc w:val="center"/>
        <w:rPr>
          <w:rFonts w:ascii="System" w:eastAsia="Calibri" w:hAnsi="System" w:cs="System"/>
          <w:b/>
          <w:bCs/>
          <w:sz w:val="20"/>
          <w:szCs w:val="20"/>
        </w:rPr>
      </w:pPr>
      <w:r w:rsidRPr="006E22C9">
        <w:rPr>
          <w:rFonts w:ascii="Times" w:hAnsi="Times" w:cs="Times"/>
          <w:b/>
          <w:sz w:val="28"/>
          <w:szCs w:val="28"/>
        </w:rPr>
      </w:r>
      <w:r w:rsidRPr="006E22C9">
        <w:rPr>
          <w:rFonts w:ascii="Times" w:hAnsi="Times" w:cs="Times"/>
          <w:b/>
          <w:sz w:val="28"/>
          <w:szCs w:val="28"/>
        </w:rPr>
        <w:pict>
          <v:group id="_x0000_s46749" editas="canvas" style="width:369pt;height:127.45pt;mso-position-horizontal-relative:char;mso-position-vertical-relative:line" coordsize="7380,2549">
            <o:lock v:ext="edit" aspectratio="t"/>
            <v:shape id="_x0000_s46748" type="#_x0000_t75" style="position:absolute;width:7380;height:2549" o:preferrelative="f">
              <v:fill o:detectmouseclick="t"/>
              <v:path o:extrusionok="t" o:connecttype="none"/>
              <o:lock v:ext="edit" text="t"/>
            </v:shape>
            <v:rect id="_x0000_s46750" style="position:absolute;left:129;top:130;width:7122;height:403" stroked="f"/>
            <v:rect id="_x0000_s46751" style="position:absolute;left:2784;top:158;width:109;height:276;mso-wrap-style:none" filled="f" stroked="f">
              <v:textbox style="mso-next-textbox:#_x0000_s46751;mso-fit-shape-to-text:t" inset="0,0,0,0">
                <w:txbxContent>
                  <w:p w:rsidR="00CB6FAE" w:rsidRDefault="00CB6FAE"/>
                </w:txbxContent>
              </v:textbox>
            </v:rect>
            <v:rect id="_x0000_s46752" style="position:absolute;left:1798;top:1023;width:1108;height:302" stroked="f"/>
            <v:rect id="_x0000_s46753" style="position:absolute;left:2488;top:1051;width:201;height:207;mso-wrap-style:none" filled="f" stroked="f">
              <v:textbox style="mso-next-textbox:#_x0000_s46753;mso-fit-shape-to-text:t" inset="0,0,0,0">
                <w:txbxContent>
                  <w:p w:rsidR="00CB6FAE" w:rsidRDefault="00CB6FAE">
                    <w:r>
                      <w:rPr>
                        <w:rFonts w:ascii="Arial" w:hAnsi="Arial" w:cs="Arial"/>
                        <w:color w:val="000000"/>
                        <w:sz w:val="18"/>
                        <w:szCs w:val="18"/>
                      </w:rPr>
                      <w:t>90</w:t>
                    </w:r>
                  </w:p>
                </w:txbxContent>
              </v:textbox>
            </v:rect>
            <v:rect id="_x0000_s46754" style="position:absolute;left:2877;top:1023;width:1108;height:302" stroked="f"/>
            <v:rect id="_x0000_s46755" style="position:absolute;left:3352;top:1051;width:451;height:207;mso-wrap-style:none" filled="f" stroked="f">
              <v:textbox style="mso-next-textbox:#_x0000_s46755;mso-fit-shape-to-text:t" inset="0,0,0,0">
                <w:txbxContent>
                  <w:p w:rsidR="00CB6FAE" w:rsidRDefault="00CB6FAE">
                    <w:r>
                      <w:rPr>
                        <w:rFonts w:ascii="Arial" w:hAnsi="Arial" w:cs="Arial"/>
                        <w:color w:val="000000"/>
                        <w:sz w:val="18"/>
                        <w:szCs w:val="18"/>
                      </w:rPr>
                      <w:t>.5000</w:t>
                    </w:r>
                  </w:p>
                </w:txbxContent>
              </v:textbox>
            </v:rect>
            <v:rect id="_x0000_s46756" style="position:absolute;left:3956;top:1023;width:1108;height:302" stroked="f"/>
            <v:rect id="_x0000_s46757" style="position:absolute;left:4431;top:1051;width:451;height:207;mso-wrap-style:none" filled="f" stroked="f">
              <v:textbox style="mso-next-textbox:#_x0000_s46757;mso-fit-shape-to-text:t" inset="0,0,0,0">
                <w:txbxContent>
                  <w:p w:rsidR="00CB6FAE" w:rsidRDefault="00CB6FAE">
                    <w:r>
                      <w:rPr>
                        <w:rFonts w:ascii="Arial" w:hAnsi="Arial" w:cs="Arial"/>
                        <w:color w:val="000000"/>
                        <w:sz w:val="18"/>
                        <w:szCs w:val="18"/>
                      </w:rPr>
                      <w:t>.9796</w:t>
                    </w:r>
                  </w:p>
                </w:txbxContent>
              </v:textbox>
            </v:rect>
            <v:rect id="_x0000_s46758" style="position:absolute;left:5035;top:1023;width:1108;height:302" stroked="f"/>
            <v:rect id="_x0000_s46759" style="position:absolute;left:5337;top:1051;width:651;height:207;mso-wrap-style:none" filled="f" stroked="f">
              <v:textbox style="mso-next-textbox:#_x0000_s46759;mso-fit-shape-to-text:t" inset="0,0,0,0">
                <w:txbxContent>
                  <w:p w:rsidR="00CB6FAE" w:rsidRDefault="00CB6FAE">
                    <w:r>
                      <w:rPr>
                        <w:rFonts w:ascii="Arial" w:hAnsi="Arial" w:cs="Arial"/>
                        <w:color w:val="000000"/>
                        <w:sz w:val="18"/>
                        <w:szCs w:val="18"/>
                      </w:rPr>
                      <w:t>.883511</w:t>
                    </w:r>
                  </w:p>
                </w:txbxContent>
              </v:textbox>
            </v:rect>
            <v:rect id="_x0000_s46760" style="position:absolute;left:6114;top:1023;width:1137;height:302" stroked="f"/>
            <v:rect id="_x0000_s46761" style="position:absolute;left:6301;top:1051;width:831;height:207;mso-wrap-style:none" filled="f" stroked="f">
              <v:textbox style="mso-next-textbox:#_x0000_s46761;mso-fit-shape-to-text:t" inset="0,0,0,0">
                <w:txbxContent>
                  <w:p w:rsidR="00CB6FAE" w:rsidRDefault="00CB6FAE">
                    <w:r>
                      <w:rPr>
                        <w:rFonts w:ascii="Arial" w:hAnsi="Arial" w:cs="Arial"/>
                        <w:color w:val="000000"/>
                        <w:sz w:val="18"/>
                        <w:szCs w:val="18"/>
                      </w:rPr>
                      <w:t>7.183E-02</w:t>
                    </w:r>
                  </w:p>
                </w:txbxContent>
              </v:textbox>
            </v:rect>
            <v:rect id="_x0000_s46762" style="position:absolute;left:1798;top:1296;width:1108;height:303" stroked="f"/>
            <v:rect id="_x0000_s46763" style="position:absolute;left:2488;top:1325;width:201;height:207;mso-wrap-style:none" filled="f" stroked="f">
              <v:textbox style="mso-next-textbox:#_x0000_s46763;mso-fit-shape-to-text:t" inset="0,0,0,0">
                <w:txbxContent>
                  <w:p w:rsidR="00CB6FAE" w:rsidRDefault="00CB6FAE">
                    <w:r>
                      <w:rPr>
                        <w:rFonts w:ascii="Arial" w:hAnsi="Arial" w:cs="Arial"/>
                        <w:color w:val="000000"/>
                        <w:sz w:val="18"/>
                        <w:szCs w:val="18"/>
                      </w:rPr>
                      <w:t>90</w:t>
                    </w:r>
                  </w:p>
                </w:txbxContent>
              </v:textbox>
            </v:rect>
            <v:rect id="_x0000_s46764" style="position:absolute;left:2877;top:1296;width:1108;height:303" stroked="f"/>
            <v:rect id="_x0000_s46765" style="position:absolute;left:3352;top:1325;width:451;height:207;mso-wrap-style:none" filled="f" stroked="f">
              <v:textbox style="mso-next-textbox:#_x0000_s46765;mso-fit-shape-to-text:t" inset="0,0,0,0">
                <w:txbxContent>
                  <w:p w:rsidR="00CB6FAE" w:rsidRDefault="00CB6FAE">
                    <w:r>
                      <w:rPr>
                        <w:rFonts w:ascii="Arial" w:hAnsi="Arial" w:cs="Arial"/>
                        <w:color w:val="000000"/>
                        <w:sz w:val="18"/>
                        <w:szCs w:val="18"/>
                      </w:rPr>
                      <w:t>.2308</w:t>
                    </w:r>
                  </w:p>
                </w:txbxContent>
              </v:textbox>
            </v:rect>
            <v:rect id="_x0000_s46766" style="position:absolute;left:3956;top:1296;width:1108;height:303" stroked="f"/>
            <v:rect id="_x0000_s46767" style="position:absolute;left:4431;top:1325;width:451;height:207;mso-wrap-style:none" filled="f" stroked="f">
              <v:textbox style="mso-next-textbox:#_x0000_s46767;mso-fit-shape-to-text:t" inset="0,0,0,0">
                <w:txbxContent>
                  <w:p w:rsidR="00CB6FAE" w:rsidRDefault="00CB6FAE">
                    <w:r>
                      <w:rPr>
                        <w:rFonts w:ascii="Arial" w:hAnsi="Arial" w:cs="Arial"/>
                        <w:color w:val="000000"/>
                        <w:sz w:val="18"/>
                        <w:szCs w:val="18"/>
                      </w:rPr>
                      <w:t>.9800</w:t>
                    </w:r>
                  </w:p>
                </w:txbxContent>
              </v:textbox>
            </v:rect>
            <v:rect id="_x0000_s46768" style="position:absolute;left:5035;top:1296;width:1108;height:303" stroked="f"/>
            <v:rect id="_x0000_s46769" style="position:absolute;left:5337;top:1325;width:651;height:207;mso-wrap-style:none" filled="f" stroked="f">
              <v:textbox style="mso-next-textbox:#_x0000_s46769;mso-fit-shape-to-text:t" inset="0,0,0,0">
                <w:txbxContent>
                  <w:p w:rsidR="00CB6FAE" w:rsidRDefault="00CB6FAE">
                    <w:r>
                      <w:rPr>
                        <w:rFonts w:ascii="Arial" w:hAnsi="Arial" w:cs="Arial"/>
                        <w:color w:val="000000"/>
                        <w:sz w:val="18"/>
                        <w:szCs w:val="18"/>
                      </w:rPr>
                      <w:t>.550631</w:t>
                    </w:r>
                  </w:p>
                </w:txbxContent>
              </v:textbox>
            </v:rect>
            <v:rect id="_x0000_s46770" style="position:absolute;left:6114;top:1296;width:1137;height:303" stroked="f"/>
            <v:rect id="_x0000_s46771" style="position:absolute;left:6445;top:1325;width:651;height:207;mso-wrap-style:none" filled="f" stroked="f">
              <v:textbox style="mso-next-textbox:#_x0000_s46771;mso-fit-shape-to-text:t" inset="0,0,0,0">
                <w:txbxContent>
                  <w:p w:rsidR="00CB6FAE" w:rsidRDefault="00CB6FAE">
                    <w:r>
                      <w:rPr>
                        <w:rFonts w:ascii="Arial" w:hAnsi="Arial" w:cs="Arial"/>
                        <w:color w:val="000000"/>
                        <w:sz w:val="18"/>
                        <w:szCs w:val="18"/>
                      </w:rPr>
                      <w:t>.144653</w:t>
                    </w:r>
                  </w:p>
                </w:txbxContent>
              </v:textbox>
            </v:rect>
            <v:rect id="_x0000_s46772" style="position:absolute;left:1798;top:1570;width:1108;height:302" stroked="f"/>
            <v:rect id="_x0000_s46773" style="position:absolute;left:2488;top:1599;width:201;height:207;mso-wrap-style:none" filled="f" stroked="f">
              <v:textbox style="mso-next-textbox:#_x0000_s46773;mso-fit-shape-to-text:t" inset="0,0,0,0">
                <w:txbxContent>
                  <w:p w:rsidR="00CB6FAE" w:rsidRDefault="00CB6FAE">
                    <w:r>
                      <w:rPr>
                        <w:rFonts w:ascii="Arial" w:hAnsi="Arial" w:cs="Arial"/>
                        <w:color w:val="000000"/>
                        <w:sz w:val="18"/>
                        <w:szCs w:val="18"/>
                      </w:rPr>
                      <w:t>90</w:t>
                    </w:r>
                  </w:p>
                </w:txbxContent>
              </v:textbox>
            </v:rect>
            <v:rect id="_x0000_s46774" style="position:absolute;left:2877;top:1570;width:1108;height:302" stroked="f"/>
            <v:rect id="_x0000_s46775" style="position:absolute;left:3352;top:1599;width:451;height:207;mso-wrap-style:none" filled="f" stroked="f">
              <v:textbox style="mso-next-textbox:#_x0000_s46775;mso-fit-shape-to-text:t" inset="0,0,0,0">
                <w:txbxContent>
                  <w:p w:rsidR="00CB6FAE" w:rsidRDefault="00CB6FAE">
                    <w:r>
                      <w:rPr>
                        <w:rFonts w:ascii="Arial" w:hAnsi="Arial" w:cs="Arial"/>
                        <w:color w:val="000000"/>
                        <w:sz w:val="18"/>
                        <w:szCs w:val="18"/>
                      </w:rPr>
                      <w:t>.0500</w:t>
                    </w:r>
                  </w:p>
                </w:txbxContent>
              </v:textbox>
            </v:rect>
            <v:rect id="_x0000_s46776" style="position:absolute;left:3956;top:1570;width:1108;height:302" stroked="f"/>
            <v:rect id="_x0000_s46777" style="position:absolute;left:4431;top:1599;width:451;height:207;mso-wrap-style:none" filled="f" stroked="f">
              <v:textbox style="mso-next-textbox:#_x0000_s46777;mso-fit-shape-to-text:t" inset="0,0,0,0">
                <w:txbxContent>
                  <w:p w:rsidR="00CB6FAE" w:rsidRDefault="00CB6FAE">
                    <w:r>
                      <w:rPr>
                        <w:rFonts w:ascii="Arial" w:hAnsi="Arial" w:cs="Arial"/>
                        <w:color w:val="000000"/>
                        <w:sz w:val="18"/>
                        <w:szCs w:val="18"/>
                      </w:rPr>
                      <w:t>.7000</w:t>
                    </w:r>
                  </w:p>
                </w:txbxContent>
              </v:textbox>
            </v:rect>
            <v:rect id="_x0000_s46778" style="position:absolute;left:5035;top:1570;width:1108;height:302" stroked="f"/>
            <v:rect id="_x0000_s46779" style="position:absolute;left:5337;top:1599;width:651;height:207;mso-wrap-style:none" filled="f" stroked="f">
              <v:textbox style="mso-next-textbox:#_x0000_s46779;mso-fit-shape-to-text:t" inset="0,0,0,0">
                <w:txbxContent>
                  <w:p w:rsidR="00CB6FAE" w:rsidRDefault="00CB6FAE">
                    <w:r>
                      <w:rPr>
                        <w:rFonts w:ascii="Arial" w:hAnsi="Arial" w:cs="Arial"/>
                        <w:color w:val="000000"/>
                        <w:sz w:val="18"/>
                        <w:szCs w:val="18"/>
                      </w:rPr>
                      <w:t>.374013</w:t>
                    </w:r>
                  </w:p>
                </w:txbxContent>
              </v:textbox>
            </v:rect>
            <v:rect id="_x0000_s46780" style="position:absolute;left:6114;top:1570;width:1137;height:302" stroked="f"/>
            <v:rect id="_x0000_s46781" style="position:absolute;left:6445;top:1599;width:651;height:207;mso-wrap-style:none" filled="f" stroked="f">
              <v:textbox style="mso-next-textbox:#_x0000_s46781;mso-fit-shape-to-text:t" inset="0,0,0,0">
                <w:txbxContent>
                  <w:p w:rsidR="00CB6FAE" w:rsidRDefault="00CB6FAE">
                    <w:r>
                      <w:rPr>
                        <w:rFonts w:ascii="Arial" w:hAnsi="Arial" w:cs="Arial"/>
                        <w:color w:val="000000"/>
                        <w:sz w:val="18"/>
                        <w:szCs w:val="18"/>
                      </w:rPr>
                      <w:t>.153304</w:t>
                    </w:r>
                  </w:p>
                </w:txbxContent>
              </v:textbox>
            </v:rect>
            <v:rect id="_x0000_s46782" style="position:absolute;left:1798;top:1844;width:1108;height:302" stroked="f"/>
            <v:rect id="_x0000_s46783" style="position:absolute;left:2488;top:1872;width:201;height:207;mso-wrap-style:none" filled="f" stroked="f">
              <v:textbox style="mso-next-textbox:#_x0000_s46783;mso-fit-shape-to-text:t" inset="0,0,0,0">
                <w:txbxContent>
                  <w:p w:rsidR="00CB6FAE" w:rsidRDefault="00CB6FAE">
                    <w:r>
                      <w:rPr>
                        <w:rFonts w:ascii="Arial" w:hAnsi="Arial" w:cs="Arial"/>
                        <w:color w:val="000000"/>
                        <w:sz w:val="18"/>
                        <w:szCs w:val="18"/>
                      </w:rPr>
                      <w:t>90</w:t>
                    </w:r>
                  </w:p>
                </w:txbxContent>
              </v:textbox>
            </v:rect>
            <v:rect id="_x0000_s46784" style="position:absolute;left:2877;top:1844;width:1108;height:302" stroked="f"/>
            <v:rect id="_x0000_s46785" style="position:absolute;left:3352;top:1872;width:451;height:207;mso-wrap-style:none" filled="f" stroked="f">
              <v:textbox style="mso-next-textbox:#_x0000_s46785;mso-fit-shape-to-text:t" inset="0,0,0,0">
                <w:txbxContent>
                  <w:p w:rsidR="00CB6FAE" w:rsidRDefault="00CB6FAE">
                    <w:r>
                      <w:rPr>
                        <w:rFonts w:ascii="Arial" w:hAnsi="Arial" w:cs="Arial"/>
                        <w:color w:val="000000"/>
                        <w:sz w:val="18"/>
                        <w:szCs w:val="18"/>
                      </w:rPr>
                      <w:t>.3732</w:t>
                    </w:r>
                  </w:p>
                </w:txbxContent>
              </v:textbox>
            </v:rect>
            <v:rect id="_x0000_s46786" style="position:absolute;left:3956;top:1844;width:1108;height:302" stroked="f"/>
            <v:rect id="_x0000_s46787" style="position:absolute;left:4431;top:1872;width:451;height:207;mso-wrap-style:none" filled="f" stroked="f">
              <v:textbox style="mso-next-textbox:#_x0000_s46787;mso-fit-shape-to-text:t" inset="0,0,0,0">
                <w:txbxContent>
                  <w:p w:rsidR="00CB6FAE" w:rsidRDefault="00CB6FAE">
                    <w:r>
                      <w:rPr>
                        <w:rFonts w:ascii="Arial" w:hAnsi="Arial" w:cs="Arial"/>
                        <w:color w:val="000000"/>
                        <w:sz w:val="18"/>
                        <w:szCs w:val="18"/>
                      </w:rPr>
                      <w:t>.7878</w:t>
                    </w:r>
                  </w:p>
                </w:txbxContent>
              </v:textbox>
            </v:rect>
            <v:rect id="_x0000_s46788" style="position:absolute;left:5035;top:1844;width:1108;height:302" stroked="f"/>
            <v:rect id="_x0000_s46789" style="position:absolute;left:5337;top:1872;width:651;height:207;mso-wrap-style:none" filled="f" stroked="f">
              <v:textbox style="mso-next-textbox:#_x0000_s46789;mso-fit-shape-to-text:t" inset="0,0,0,0">
                <w:txbxContent>
                  <w:p w:rsidR="00CB6FAE" w:rsidRDefault="00CB6FAE">
                    <w:r>
                      <w:rPr>
                        <w:rFonts w:ascii="Arial" w:hAnsi="Arial" w:cs="Arial"/>
                        <w:color w:val="000000"/>
                        <w:sz w:val="18"/>
                        <w:szCs w:val="18"/>
                      </w:rPr>
                      <w:t>.602714</w:t>
                    </w:r>
                  </w:p>
                </w:txbxContent>
              </v:textbox>
            </v:rect>
            <v:rect id="_x0000_s46790" style="position:absolute;left:6114;top:1844;width:1137;height:302" stroked="f"/>
            <v:rect id="_x0000_s46791" style="position:absolute;left:6301;top:1872;width:831;height:207;mso-wrap-style:none" filled="f" stroked="f">
              <v:textbox style="mso-next-textbox:#_x0000_s46791;mso-fit-shape-to-text:t" inset="0,0,0,0">
                <w:txbxContent>
                  <w:p w:rsidR="00CB6FAE" w:rsidRDefault="00CB6FAE">
                    <w:r>
                      <w:rPr>
                        <w:rFonts w:ascii="Arial" w:hAnsi="Arial" w:cs="Arial"/>
                        <w:color w:val="000000"/>
                        <w:sz w:val="18"/>
                        <w:szCs w:val="18"/>
                      </w:rPr>
                      <w:t>9.437E-02</w:t>
                    </w:r>
                  </w:p>
                </w:txbxContent>
              </v:textbox>
            </v:rect>
            <v:rect id="_x0000_s46792" style="position:absolute;left:1798;top:2117;width:1108;height:303" stroked="f"/>
            <v:rect id="_x0000_s46793" style="position:absolute;left:2488;top:2146;width:201;height:207;mso-wrap-style:none" filled="f" stroked="f">
              <v:textbox style="mso-next-textbox:#_x0000_s46793;mso-fit-shape-to-text:t" inset="0,0,0,0">
                <w:txbxContent>
                  <w:p w:rsidR="00CB6FAE" w:rsidRDefault="00CB6FAE">
                    <w:r>
                      <w:rPr>
                        <w:rFonts w:ascii="Arial" w:hAnsi="Arial" w:cs="Arial"/>
                        <w:color w:val="000000"/>
                        <w:sz w:val="18"/>
                        <w:szCs w:val="18"/>
                      </w:rPr>
                      <w:t>90</w:t>
                    </w:r>
                  </w:p>
                </w:txbxContent>
              </v:textbox>
            </v:rect>
            <v:rect id="_x0000_s46794" style="position:absolute;left:2877;top:2117;width:1108;height:303" stroked="f"/>
            <v:rect id="_x0000_s46795" style="position:absolute;left:3956;top:2117;width:1108;height:303" stroked="f"/>
            <v:rect id="_x0000_s46796" style="position:absolute;left:5035;top:2117;width:1108;height:303" stroked="f"/>
            <v:rect id="_x0000_s46797" style="position:absolute;left:6114;top:2117;width:1137;height:303" stroked="f"/>
            <v:rect id="_x0000_s46798" style="position:absolute;left:144;top:519;width:1683;height:532" stroked="f"/>
            <v:rect id="_x0000_s46799" style="position:absolute;left:144;top:1023;width:1683;height:302" stroked="f"/>
            <v:rect id="_x0000_s46800" style="position:absolute;left:259;top:1037;width:541;height:207;mso-wrap-style:none" filled="f" stroked="f">
              <v:textbox style="mso-next-textbox:#_x0000_s46800;mso-fit-shape-to-text:t" inset="0,0,0,0">
                <w:txbxContent>
                  <w:p w:rsidR="00CB6FAE" w:rsidRDefault="00CB6FAE">
                    <w:r>
                      <w:rPr>
                        <w:rFonts w:ascii="Arial" w:hAnsi="Arial" w:cs="Arial"/>
                        <w:color w:val="000000"/>
                        <w:sz w:val="18"/>
                        <w:szCs w:val="18"/>
                      </w:rPr>
                      <w:t>DISAS</w:t>
                    </w:r>
                  </w:p>
                </w:txbxContent>
              </v:textbox>
            </v:rect>
            <v:rect id="_x0000_s46801" style="position:absolute;left:144;top:1296;width:1683;height:303" stroked="f"/>
            <v:rect id="_x0000_s46802" style="position:absolute;left:259;top:1311;width:541;height:207;mso-wrap-style:none" filled="f" stroked="f">
              <v:textbox style="mso-next-textbox:#_x0000_s46802;mso-fit-shape-to-text:t" inset="0,0,0,0">
                <w:txbxContent>
                  <w:p w:rsidR="00CB6FAE" w:rsidRDefault="00CB6FAE">
                    <w:r>
                      <w:rPr>
                        <w:rFonts w:ascii="Arial" w:hAnsi="Arial" w:cs="Arial"/>
                        <w:color w:val="000000"/>
                        <w:sz w:val="18"/>
                        <w:szCs w:val="18"/>
                      </w:rPr>
                      <w:t>DIFRS</w:t>
                    </w:r>
                  </w:p>
                </w:txbxContent>
              </v:textbox>
            </v:rect>
            <v:rect id="_x0000_s46803" style="position:absolute;left:144;top:1570;width:1683;height:302" stroked="f"/>
            <v:rect id="_x0000_s46804" style="position:absolute;left:259;top:1584;width:441;height:207;mso-wrap-style:none" filled="f" stroked="f">
              <v:textbox style="mso-next-textbox:#_x0000_s46804;mso-fit-shape-to-text:t" inset="0,0,0,0">
                <w:txbxContent>
                  <w:p w:rsidR="00CB6FAE" w:rsidRDefault="00CB6FAE">
                    <w:r>
                      <w:rPr>
                        <w:rFonts w:ascii="Arial" w:hAnsi="Arial" w:cs="Arial"/>
                        <w:color w:val="000000"/>
                        <w:sz w:val="18"/>
                        <w:szCs w:val="18"/>
                      </w:rPr>
                      <w:t>DIVol</w:t>
                    </w:r>
                  </w:p>
                </w:txbxContent>
              </v:textbox>
            </v:rect>
            <v:rect id="_x0000_s46805" style="position:absolute;left:144;top:1844;width:1683;height:302" stroked="f"/>
            <v:rect id="_x0000_s46806" style="position:absolute;left:259;top:1858;width:321;height:207;mso-wrap-style:none" filled="f" stroked="f">
              <v:textbox style="mso-next-textbox:#_x0000_s46806;mso-fit-shape-to-text:t" inset="0,0,0,0">
                <w:txbxContent>
                  <w:p w:rsidR="00CB6FAE" w:rsidRDefault="00CB6FAE">
                    <w:r>
                      <w:rPr>
                        <w:rFonts w:ascii="Arial" w:hAnsi="Arial" w:cs="Arial"/>
                        <w:color w:val="000000"/>
                        <w:sz w:val="18"/>
                        <w:szCs w:val="18"/>
                      </w:rPr>
                      <w:t>ODI</w:t>
                    </w:r>
                  </w:p>
                </w:txbxContent>
              </v:textbox>
            </v:rect>
            <v:rect id="_x0000_s46807" style="position:absolute;left:144;top:2117;width:1683;height:303" stroked="f"/>
            <v:rect id="_x0000_s46808" style="position:absolute;left:259;top:2132;width:1331;height:207;mso-wrap-style:none" filled="f" stroked="f">
              <v:textbox style="mso-next-textbox:#_x0000_s46808;mso-fit-shape-to-text:t" inset="0,0,0,0">
                <w:txbxContent>
                  <w:p w:rsidR="00CB6FAE" w:rsidRDefault="00CB6FAE">
                    <w:r>
                      <w:rPr>
                        <w:rFonts w:ascii="Arial" w:hAnsi="Arial" w:cs="Arial"/>
                        <w:color w:val="000000"/>
                        <w:sz w:val="18"/>
                        <w:szCs w:val="18"/>
                      </w:rPr>
                      <w:t>Valid N (listwise)</w:t>
                    </w:r>
                  </w:p>
                </w:txbxContent>
              </v:textbox>
            </v:rect>
            <v:rect id="_x0000_s46809" style="position:absolute;left:1798;top:519;width:1108;height:532" stroked="f"/>
            <v:rect id="_x0000_s46810" style="position:absolute;left:2230;top:793;width:130;height:207;mso-wrap-style:none" filled="f" stroked="f">
              <v:textbox style="mso-next-textbox:#_x0000_s46810;mso-fit-shape-to-text:t" inset="0,0,0,0">
                <w:txbxContent>
                  <w:p w:rsidR="00CB6FAE" w:rsidRDefault="00CB6FAE">
                    <w:r>
                      <w:rPr>
                        <w:rFonts w:ascii="Arial" w:hAnsi="Arial" w:cs="Arial"/>
                        <w:color w:val="000000"/>
                        <w:sz w:val="18"/>
                        <w:szCs w:val="18"/>
                      </w:rPr>
                      <w:t>N</w:t>
                    </w:r>
                  </w:p>
                </w:txbxContent>
              </v:textbox>
            </v:rect>
            <v:rect id="_x0000_s46811" style="position:absolute;left:2877;top:519;width:1108;height:532" stroked="f"/>
            <v:rect id="_x0000_s46812" style="position:absolute;left:3072;top:793;width:731;height:207;mso-wrap-style:none" filled="f" stroked="f">
              <v:textbox style="mso-next-textbox:#_x0000_s46812;mso-fit-shape-to-text:t" inset="0,0,0,0">
                <w:txbxContent>
                  <w:p w:rsidR="00CB6FAE" w:rsidRDefault="00CB6FAE">
                    <w:r>
                      <w:rPr>
                        <w:rFonts w:ascii="Arial" w:hAnsi="Arial" w:cs="Arial"/>
                        <w:color w:val="000000"/>
                        <w:sz w:val="18"/>
                        <w:szCs w:val="18"/>
                      </w:rPr>
                      <w:t>Minimum</w:t>
                    </w:r>
                  </w:p>
                </w:txbxContent>
              </v:textbox>
            </v:rect>
            <v:rect id="_x0000_s46813" style="position:absolute;left:3956;top:519;width:1108;height:532" stroked="f"/>
            <v:rect id="_x0000_s46814" style="position:absolute;left:4122;top:793;width:781;height:207;mso-wrap-style:none" filled="f" stroked="f">
              <v:textbox style="mso-next-textbox:#_x0000_s46814;mso-fit-shape-to-text:t" inset="0,0,0,0">
                <w:txbxContent>
                  <w:p w:rsidR="00CB6FAE" w:rsidRDefault="00CB6FAE">
                    <w:r>
                      <w:rPr>
                        <w:rFonts w:ascii="Arial" w:hAnsi="Arial" w:cs="Arial"/>
                        <w:color w:val="000000"/>
                        <w:sz w:val="18"/>
                        <w:szCs w:val="18"/>
                      </w:rPr>
                      <w:t>Maximum</w:t>
                    </w:r>
                  </w:p>
                </w:txbxContent>
              </v:textbox>
            </v:rect>
            <v:rect id="_x0000_s46815" style="position:absolute;left:5035;top:519;width:1108;height:532" stroked="f"/>
            <v:rect id="_x0000_s46816" style="position:absolute;left:5330;top:793;width:451;height:207;mso-wrap-style:none" filled="f" stroked="f">
              <v:textbox style="mso-next-textbox:#_x0000_s46816;mso-fit-shape-to-text:t" inset="0,0,0,0">
                <w:txbxContent>
                  <w:p w:rsidR="00CB6FAE" w:rsidRDefault="00CB6FAE">
                    <w:r>
                      <w:rPr>
                        <w:rFonts w:ascii="Arial" w:hAnsi="Arial" w:cs="Arial"/>
                        <w:color w:val="000000"/>
                        <w:sz w:val="18"/>
                        <w:szCs w:val="18"/>
                      </w:rPr>
                      <w:t>Mean</w:t>
                    </w:r>
                  </w:p>
                </w:txbxContent>
              </v:textbox>
            </v:rect>
            <v:rect id="_x0000_s46817" style="position:absolute;left:6114;top:519;width:1137;height:532" stroked="f"/>
            <v:rect id="_x0000_s46818" style="position:absolute;left:6474;top:562;width:321;height:207;mso-wrap-style:none" filled="f" stroked="f">
              <v:textbox style="mso-next-textbox:#_x0000_s46818;mso-fit-shape-to-text:t" inset="0,0,0,0">
                <w:txbxContent>
                  <w:p w:rsidR="00CB6FAE" w:rsidRDefault="00CB6FAE">
                    <w:r>
                      <w:rPr>
                        <w:rFonts w:ascii="Arial" w:hAnsi="Arial" w:cs="Arial"/>
                        <w:color w:val="000000"/>
                        <w:sz w:val="18"/>
                        <w:szCs w:val="18"/>
                      </w:rPr>
                      <w:t>Std.</w:t>
                    </w:r>
                  </w:p>
                </w:txbxContent>
              </v:textbox>
            </v:rect>
            <v:rect id="_x0000_s46819" style="position:absolute;left:6294;top:793;width:751;height:207;mso-wrap-style:none" filled="f" stroked="f">
              <v:textbox style="mso-next-textbox:#_x0000_s46819;mso-fit-shape-to-text:t" inset="0,0,0,0">
                <w:txbxContent>
                  <w:p w:rsidR="00CB6FAE" w:rsidRDefault="00CB6FAE">
                    <w:r>
                      <w:rPr>
                        <w:rFonts w:ascii="Arial" w:hAnsi="Arial" w:cs="Arial"/>
                        <w:color w:val="000000"/>
                        <w:sz w:val="18"/>
                        <w:szCs w:val="18"/>
                      </w:rPr>
                      <w:t>Deviation</w:t>
                    </w:r>
                  </w:p>
                </w:txbxContent>
              </v:textbox>
            </v:rect>
            <v:line id="_x0000_s46820" style="position:absolute" from="2877,519" to="2878,2391" strokeweight="39e-5mm"/>
            <v:line id="_x0000_s46821" style="position:absolute" from="3956,519" to="3957,2391" strokeweight="39e-5mm"/>
            <v:line id="_x0000_s46822" style="position:absolute" from="5035,519" to="5036,2391" strokeweight="39e-5mm"/>
            <v:line id="_x0000_s46823" style="position:absolute" from="6114,519" to="6115,2391" strokeweight="39e-5mm"/>
            <v:rect id="_x0000_s46824" style="position:absolute;top:2391;width:7078;height:43" stroked="f"/>
            <v:rect id="_x0000_s46825" style="position:absolute;left:7078;top:504;width:14;height:1945" stroked="f"/>
            <v:rect id="_x0000_s46826" style="position:absolute;left:144;top:490;width:6948;height:43" stroked="f"/>
            <v:rect id="_x0000_s46827" style="position:absolute;width:7366;height:144" stroked="f"/>
            <v:rect id="_x0000_s46828" style="position:absolute;width:144;height:2535" stroked="f"/>
            <v:rect id="_x0000_s46829" style="position:absolute;left:7222;width:158;height:2535" stroked="f"/>
            <v:rect id="_x0000_s46830" style="position:absolute;top:2391;width:7366;height:158" stroked="f"/>
            <v:line id="_x0000_s46831" style="position:absolute" from="158,533" to="159,2377" strokeweight="81e-5mm"/>
            <v:line id="_x0000_s46832" style="position:absolute" from="7207,533" to="7208,2377" strokeweight="81e-5mm"/>
            <v:line id="_x0000_s46833" style="position:absolute" from="158,533" to="7207,534" strokeweight="81e-5mm"/>
            <v:line id="_x0000_s46834" style="position:absolute" from="158,2377" to="7207,2378" strokeweight="81e-5mm"/>
            <v:line id="_x0000_s46835" style="position:absolute" from="158,1037" to="7207,1038" strokeweight="81e-5mm"/>
            <v:line id="_x0000_s46836" style="position:absolute" from="1813,533" to="1814,2377" strokeweight="81e-5mm"/>
            <w10:wrap type="none"/>
            <w10:anchorlock/>
          </v:group>
        </w:pict>
      </w:r>
    </w:p>
    <w:p w:rsidR="00FF5EDF" w:rsidRPr="008573C5" w:rsidRDefault="004A665C" w:rsidP="00A83BBB">
      <w:pPr>
        <w:autoSpaceDE w:val="0"/>
        <w:autoSpaceDN w:val="0"/>
        <w:adjustRightInd w:val="0"/>
        <w:jc w:val="center"/>
        <w:rPr>
          <w:b/>
          <w:lang w:val="en-GB"/>
        </w:rPr>
      </w:pPr>
      <w:r w:rsidRPr="008573C5">
        <w:rPr>
          <w:b/>
          <w:lang w:val="en-GB"/>
        </w:rPr>
        <w:t>Source: Field Study (2009</w:t>
      </w:r>
      <w:r w:rsidR="00FF5EDF" w:rsidRPr="008573C5">
        <w:rPr>
          <w:b/>
          <w:lang w:val="en-GB"/>
        </w:rPr>
        <w:t>)</w:t>
      </w:r>
    </w:p>
    <w:p w:rsidR="00A83BBB" w:rsidRPr="008573C5" w:rsidRDefault="00A83BBB" w:rsidP="00A83BBB">
      <w:pPr>
        <w:autoSpaceDE w:val="0"/>
        <w:autoSpaceDN w:val="0"/>
        <w:adjustRightInd w:val="0"/>
        <w:jc w:val="center"/>
        <w:rPr>
          <w:b/>
          <w:lang w:val="en-GB"/>
        </w:rPr>
      </w:pPr>
    </w:p>
    <w:p w:rsidR="00FF5EDF" w:rsidRPr="008573C5" w:rsidRDefault="00FF5EDF" w:rsidP="007E09B8">
      <w:pPr>
        <w:spacing w:line="360" w:lineRule="auto"/>
        <w:jc w:val="both"/>
      </w:pPr>
      <w:r w:rsidRPr="008573C5">
        <w:t xml:space="preserve">Descriptive statistics </w:t>
      </w:r>
      <w:r w:rsidR="005943DB" w:rsidRPr="008573C5">
        <w:t>on Company by Company disclosure indices</w:t>
      </w:r>
      <w:r w:rsidR="00700F15" w:rsidRPr="008573C5">
        <w:t xml:space="preserve"> reveal</w:t>
      </w:r>
      <w:r w:rsidR="002F1BAA">
        <w:t>s</w:t>
      </w:r>
      <w:r w:rsidRPr="008573C5">
        <w:t xml:space="preserve"> that for the SAS disclosures the first three companies </w:t>
      </w:r>
      <w:r w:rsidR="00160E9E" w:rsidRPr="008573C5">
        <w:t>with the highest level of disclosures</w:t>
      </w:r>
      <w:r w:rsidRPr="008573C5">
        <w:t xml:space="preserve"> are: Ecobank Transnational Inc (0.9796), Nigerian Bottling Company Plc.</w:t>
      </w:r>
      <w:r w:rsidR="00160E9E" w:rsidRPr="008573C5">
        <w:t xml:space="preserve"> </w:t>
      </w:r>
      <w:r w:rsidRPr="008573C5">
        <w:t>(0.9524), and African Petroleum Plc.</w:t>
      </w:r>
      <w:r w:rsidR="00160E9E" w:rsidRPr="008573C5">
        <w:t xml:space="preserve"> </w:t>
      </w:r>
      <w:r w:rsidR="00CE4529" w:rsidRPr="008573C5">
        <w:t>(</w:t>
      </w:r>
      <w:r w:rsidRPr="008573C5">
        <w:t>0.9524). The companies with least disclosures are: Trans-Nationwide Express (0.6894), Afprint Nigeria Plc.</w:t>
      </w:r>
      <w:r w:rsidR="00160E9E" w:rsidRPr="008573C5">
        <w:t xml:space="preserve"> </w:t>
      </w:r>
      <w:r w:rsidRPr="008573C5">
        <w:t>(0.6522) and SCOA Nigeria Plc (0.5000). For IFRS disclosures the three companies leading are: Ecobank Transnational Inc (0.9800), Diamond Bank Plc.</w:t>
      </w:r>
      <w:r w:rsidR="00160E9E" w:rsidRPr="008573C5">
        <w:t xml:space="preserve"> </w:t>
      </w:r>
      <w:r w:rsidRPr="008573C5">
        <w:t>(0.82.5), and Intercontinental Bank Plc (0.8049);  while the ones with least disclosures are Tripple Gee and Company Plc. (0. 2778), Afprint Nigeria Plc.</w:t>
      </w:r>
      <w:r w:rsidR="00160E9E" w:rsidRPr="008573C5">
        <w:t xml:space="preserve"> </w:t>
      </w:r>
      <w:r w:rsidRPr="008573C5">
        <w:t xml:space="preserve">(0.2381), and SCOA Nigeria Plc. (0.2308).  For voluntary items, First Bank of Nigeria Plc (0.7000), Nestle Nigeria Plc (0.6500), Dunlop Nigeria Plc. (0.6500) and </w:t>
      </w:r>
      <w:r w:rsidR="002F1BAA">
        <w:t>GlaxoSmithKline (0.6500) emerge</w:t>
      </w:r>
      <w:r w:rsidRPr="008573C5">
        <w:t xml:space="preserve"> the best while Aluminium Extrusion Plc.</w:t>
      </w:r>
      <w:r w:rsidR="00160E9E" w:rsidRPr="008573C5">
        <w:t xml:space="preserve"> (</w:t>
      </w:r>
      <w:r w:rsidRPr="008573C5">
        <w:t>0.1000),</w:t>
      </w:r>
      <w:r w:rsidR="00695933" w:rsidRPr="008573C5">
        <w:t xml:space="preserve"> </w:t>
      </w:r>
      <w:r w:rsidRPr="008573C5">
        <w:t>Japaul Oil and Maritime Plc.</w:t>
      </w:r>
      <w:r w:rsidR="00160E9E" w:rsidRPr="008573C5">
        <w:t xml:space="preserve"> </w:t>
      </w:r>
      <w:r w:rsidRPr="008573C5">
        <w:t>(0.0500) and Starco Insurance Plc.</w:t>
      </w:r>
      <w:r w:rsidR="00160E9E" w:rsidRPr="008573C5">
        <w:t xml:space="preserve"> </w:t>
      </w:r>
      <w:r w:rsidRPr="008573C5">
        <w:t>(0.0500) are on the bottom of the list. The overall disclosure level feature</w:t>
      </w:r>
      <w:r w:rsidR="002F1BAA">
        <w:t>s</w:t>
      </w:r>
      <w:r w:rsidRPr="008573C5">
        <w:t xml:space="preserve"> three banks toping the list</w:t>
      </w:r>
      <w:r w:rsidR="00700F15" w:rsidRPr="008573C5">
        <w:t>. T</w:t>
      </w:r>
      <w:r w:rsidRPr="008573C5">
        <w:t>hey are: First Bank of Nigeria Plc (0.7878), Ecobank Transnational Inc (0.7532) and United Bank of Africa Plc (0.7520). At the bottom level are Afprint Nigeria Plc.</w:t>
      </w:r>
      <w:r w:rsidR="00160E9E" w:rsidRPr="008573C5">
        <w:t xml:space="preserve"> </w:t>
      </w:r>
      <w:r w:rsidRPr="008573C5">
        <w:t>(0.4132), Starco Insurance Plc. (0.4056) and lastly SCOA Nigeria Plc.</w:t>
      </w:r>
      <w:r w:rsidR="00160E9E" w:rsidRPr="008573C5">
        <w:t xml:space="preserve"> (0.3732). This suggests that</w:t>
      </w:r>
      <w:r w:rsidRPr="008573C5">
        <w:t xml:space="preserve"> due to the reform, regulation and competition in the banking sector in Nigeria,</w:t>
      </w:r>
      <w:r w:rsidR="002F1BAA">
        <w:t xml:space="preserve"> banks maintain</w:t>
      </w:r>
      <w:r w:rsidRPr="008573C5">
        <w:t xml:space="preserve"> a high standard of information disclosure. </w:t>
      </w:r>
    </w:p>
    <w:p w:rsidR="00FF5EDF" w:rsidRPr="008573C5" w:rsidRDefault="00700F15" w:rsidP="000E49C7">
      <w:pPr>
        <w:spacing w:before="100" w:beforeAutospacing="1" w:after="100" w:afterAutospacing="1" w:line="360" w:lineRule="auto"/>
        <w:jc w:val="both"/>
      </w:pPr>
      <w:r w:rsidRPr="008573C5">
        <w:t xml:space="preserve">With the </w:t>
      </w:r>
      <w:r w:rsidR="00FF5EDF" w:rsidRPr="008573C5">
        <w:t>classif</w:t>
      </w:r>
      <w:r w:rsidRPr="008573C5">
        <w:t>ication of</w:t>
      </w:r>
      <w:r w:rsidR="00FF5EDF" w:rsidRPr="008573C5">
        <w:t xml:space="preserve"> the industries into nine</w:t>
      </w:r>
      <w:r w:rsidRPr="008573C5">
        <w:t xml:space="preserve"> on Sector basis</w:t>
      </w:r>
      <w:r w:rsidR="00FF5EDF" w:rsidRPr="008573C5">
        <w:t>, the me</w:t>
      </w:r>
      <w:r w:rsidR="00C42C4D" w:rsidRPr="008573C5">
        <w:t>an comparison by industry (</w:t>
      </w:r>
      <w:r w:rsidR="00FF5EDF" w:rsidRPr="008573C5">
        <w:t>Table 4.</w:t>
      </w:r>
      <w:r w:rsidR="002651DE" w:rsidRPr="008573C5">
        <w:t>0</w:t>
      </w:r>
      <w:r w:rsidR="002F1BAA">
        <w:t>2) features</w:t>
      </w:r>
      <w:r w:rsidR="00FF5EDF" w:rsidRPr="008573C5">
        <w:t xml:space="preserve"> the banking industry as the sector with the highest level of disclosure, with overall disclosure level of 0.6870. Following </w:t>
      </w:r>
      <w:r w:rsidRPr="008573C5">
        <w:t>this are</w:t>
      </w:r>
      <w:r w:rsidR="00FF5EDF" w:rsidRPr="008573C5">
        <w:t xml:space="preserve"> the petroleum marketing (0.642</w:t>
      </w:r>
      <w:r w:rsidR="002F1BAA">
        <w:t>1) and food and health (0.6384</w:t>
      </w:r>
      <w:r w:rsidR="00FF5EDF" w:rsidRPr="008573C5">
        <w:t xml:space="preserve">). Industries </w:t>
      </w:r>
      <w:r w:rsidRPr="008573C5">
        <w:t>with</w:t>
      </w:r>
      <w:r w:rsidR="00FF5EDF" w:rsidRPr="008573C5">
        <w:t xml:space="preserve"> the highest level of disclosure for SAS </w:t>
      </w:r>
      <w:r w:rsidR="002F1BAA">
        <w:t>is petroleum marketing (0.9219), for IFRS is banking (0.7220</w:t>
      </w:r>
      <w:r w:rsidR="00FF5EDF" w:rsidRPr="008573C5">
        <w:t>) and for voluntary disclosure is food and health (0.417647). These three sectors that</w:t>
      </w:r>
      <w:r w:rsidR="002F1BAA">
        <w:t xml:space="preserve"> emerges</w:t>
      </w:r>
      <w:r w:rsidRPr="008573C5">
        <w:t xml:space="preserve"> the best are the most </w:t>
      </w:r>
      <w:r w:rsidR="00FF5EDF" w:rsidRPr="008573C5">
        <w:t>t</w:t>
      </w:r>
      <w:r w:rsidRPr="008573C5">
        <w:t>h</w:t>
      </w:r>
      <w:r w:rsidR="00FF5EDF" w:rsidRPr="008573C5">
        <w:t>riving industries in Nigeria.</w:t>
      </w:r>
      <w:r w:rsidR="00C42C4D" w:rsidRPr="008573C5">
        <w:t xml:space="preserve"> The banking industry in particular </w:t>
      </w:r>
      <w:r w:rsidR="007E09B8" w:rsidRPr="008573C5">
        <w:t>have started</w:t>
      </w:r>
      <w:r w:rsidR="00C42C4D" w:rsidRPr="008573C5">
        <w:t xml:space="preserve"> embracing global best practices </w:t>
      </w:r>
      <w:r w:rsidR="002F1BAA">
        <w:t xml:space="preserve">in financial reporting to </w:t>
      </w:r>
      <w:r w:rsidR="00C42C4D" w:rsidRPr="008573C5">
        <w:t xml:space="preserve"> meet market expectations and to attract </w:t>
      </w:r>
      <w:r w:rsidR="007E09B8" w:rsidRPr="008573C5">
        <w:t xml:space="preserve">foreign </w:t>
      </w:r>
      <w:r w:rsidR="00C42C4D" w:rsidRPr="008573C5">
        <w:t>investors</w:t>
      </w:r>
      <w:r w:rsidR="007E09B8" w:rsidRPr="008573C5">
        <w:t>.</w:t>
      </w:r>
      <w:r w:rsidR="00FF5EDF" w:rsidRPr="008573C5">
        <w:t xml:space="preserve"> </w:t>
      </w:r>
    </w:p>
    <w:p w:rsidR="007E09B8" w:rsidRPr="008573C5" w:rsidRDefault="007E09B8" w:rsidP="00674DFB">
      <w:pPr>
        <w:spacing w:before="100" w:beforeAutospacing="1" w:after="100" w:afterAutospacing="1" w:line="480" w:lineRule="auto"/>
        <w:jc w:val="center"/>
        <w:rPr>
          <w:b/>
          <w:sz w:val="28"/>
          <w:szCs w:val="28"/>
        </w:rPr>
      </w:pPr>
    </w:p>
    <w:p w:rsidR="00FF5EDF" w:rsidRPr="008573C5" w:rsidRDefault="00FB1D8E" w:rsidP="00CC376F">
      <w:pPr>
        <w:spacing w:before="100" w:beforeAutospacing="1" w:after="100" w:afterAutospacing="1" w:line="480" w:lineRule="auto"/>
        <w:jc w:val="center"/>
        <w:rPr>
          <w:b/>
          <w:sz w:val="28"/>
          <w:szCs w:val="28"/>
        </w:rPr>
      </w:pPr>
      <w:r w:rsidRPr="008573C5">
        <w:rPr>
          <w:b/>
          <w:sz w:val="28"/>
          <w:szCs w:val="28"/>
        </w:rPr>
        <w:t>Table 4.02</w:t>
      </w:r>
      <w:r w:rsidR="00FF5EDF" w:rsidRPr="008573C5">
        <w:rPr>
          <w:b/>
          <w:sz w:val="28"/>
          <w:szCs w:val="28"/>
        </w:rPr>
        <w:t xml:space="preserve">: Mean Comparison </w:t>
      </w:r>
      <w:r w:rsidR="007E09B8" w:rsidRPr="008573C5">
        <w:rPr>
          <w:b/>
          <w:sz w:val="28"/>
          <w:szCs w:val="28"/>
        </w:rPr>
        <w:t xml:space="preserve">of Disclosure Indexes </w:t>
      </w:r>
      <w:r w:rsidR="00FF5EDF" w:rsidRPr="008573C5">
        <w:rPr>
          <w:b/>
          <w:sz w:val="28"/>
          <w:szCs w:val="28"/>
        </w:rPr>
        <w:t>by Industry</w:t>
      </w:r>
    </w:p>
    <w:p w:rsidR="00FF5EDF" w:rsidRPr="008573C5" w:rsidRDefault="006E22C9" w:rsidP="00FF5EDF">
      <w:pPr>
        <w:autoSpaceDE w:val="0"/>
        <w:autoSpaceDN w:val="0"/>
        <w:adjustRightInd w:val="0"/>
        <w:jc w:val="center"/>
        <w:rPr>
          <w:rFonts w:ascii="System" w:eastAsia="Calibri" w:hAnsi="System" w:cs="System"/>
          <w:b/>
          <w:bCs/>
          <w:sz w:val="20"/>
          <w:szCs w:val="20"/>
        </w:rPr>
      </w:pPr>
      <w:r>
        <w:rPr>
          <w:rFonts w:ascii="System" w:eastAsia="Calibri" w:hAnsi="System" w:cs="System"/>
          <w:b/>
          <w:bCs/>
          <w:sz w:val="20"/>
          <w:szCs w:val="20"/>
        </w:rPr>
      </w:r>
      <w:r>
        <w:rPr>
          <w:rFonts w:ascii="System" w:eastAsia="Calibri" w:hAnsi="System" w:cs="System"/>
          <w:b/>
          <w:bCs/>
          <w:sz w:val="20"/>
          <w:szCs w:val="20"/>
        </w:rPr>
        <w:pict>
          <v:group id="_x0000_s46839" editas="canvas" style="width:357.7pt;height:320.95pt;mso-position-horizontal-relative:char;mso-position-vertical-relative:line" coordsize="7154,6419">
            <o:lock v:ext="edit" aspectratio="t"/>
            <v:shape id="_x0000_s46838" type="#_x0000_t75" style="position:absolute;width:7154;height:6419" o:preferrelative="f">
              <v:fill o:detectmouseclick="t"/>
              <v:path o:extrusionok="t" o:connecttype="none"/>
              <o:lock v:ext="edit" text="t"/>
            </v:shape>
            <v:group id="_x0000_s47040" style="position:absolute;left:130;top:130;width:6895;height:6160" coordorigin="130,130" coordsize="6895,6160">
              <v:rect id="_x0000_s46840" style="position:absolute;left:130;top:130;width:6895;height:403" stroked="f"/>
              <v:rect id="_x0000_s46841" style="position:absolute;left:3239;top:158;width:109;height:276;mso-wrap-style:none" filled="f" stroked="f">
                <v:textbox style="mso-next-textbox:#_x0000_s46841;mso-fit-shape-to-text:t" inset="0,0,0,0">
                  <w:txbxContent>
                    <w:p w:rsidR="00CB6FAE" w:rsidRDefault="00CB6FAE"/>
                  </w:txbxContent>
                </v:textbox>
              </v:rect>
              <v:rect id="_x0000_s46842" style="position:absolute;left:2678;top:792;width:1108;height:302" stroked="f"/>
              <v:rect id="_x0000_s46843" style="position:absolute;left:2980;top:820;width:651;height:207;mso-wrap-style:none" filled="f" stroked="f">
                <v:textbox style="mso-next-textbox:#_x0000_s46843;mso-fit-shape-to-text:t" inset="0,0,0,0">
                  <w:txbxContent>
                    <w:p w:rsidR="00CB6FAE" w:rsidRDefault="00CB6FAE">
                      <w:r>
                        <w:rPr>
                          <w:rFonts w:ascii="Arial" w:hAnsi="Arial" w:cs="Arial"/>
                          <w:color w:val="000000"/>
                          <w:sz w:val="18"/>
                          <w:szCs w:val="18"/>
                        </w:rPr>
                        <w:t>.876900</w:t>
                      </w:r>
                    </w:p>
                  </w:txbxContent>
                </v:textbox>
              </v:rect>
              <v:rect id="_x0000_s46844" style="position:absolute;left:3757;top:792;width:1109;height:302" stroked="f"/>
              <v:rect id="_x0000_s46845" style="position:absolute;left:4060;top:820;width:651;height:207;mso-wrap-style:none" filled="f" stroked="f">
                <v:textbox style="mso-next-textbox:#_x0000_s46845;mso-fit-shape-to-text:t" inset="0,0,0,0">
                  <w:txbxContent>
                    <w:p w:rsidR="00CB6FAE" w:rsidRDefault="00CB6FAE">
                      <w:r>
                        <w:rPr>
                          <w:rFonts w:ascii="Arial" w:hAnsi="Arial" w:cs="Arial"/>
                          <w:color w:val="000000"/>
                          <w:sz w:val="18"/>
                          <w:szCs w:val="18"/>
                        </w:rPr>
                        <w:t>.510000</w:t>
                      </w:r>
                    </w:p>
                  </w:txbxContent>
                </v:textbox>
              </v:rect>
              <v:rect id="_x0000_s46846" style="position:absolute;left:4837;top:792;width:1108;height:302" stroked="f"/>
              <v:rect id="_x0000_s46847" style="position:absolute;left:5139;top:820;width:651;height:207;mso-wrap-style:none" filled="f" stroked="f">
                <v:textbox style="mso-next-textbox:#_x0000_s46847;mso-fit-shape-to-text:t" inset="0,0,0,0">
                  <w:txbxContent>
                    <w:p w:rsidR="00CB6FAE" w:rsidRDefault="00CB6FAE">
                      <w:r>
                        <w:rPr>
                          <w:rFonts w:ascii="Arial" w:hAnsi="Arial" w:cs="Arial"/>
                          <w:color w:val="000000"/>
                          <w:sz w:val="18"/>
                          <w:szCs w:val="18"/>
                        </w:rPr>
                        <w:t>.305567</w:t>
                      </w:r>
                    </w:p>
                  </w:txbxContent>
                </v:textbox>
              </v:rect>
              <v:rect id="_x0000_s46848" style="position:absolute;left:5916;top:792;width:1109;height:302" stroked="f"/>
              <v:rect id="_x0000_s46849" style="position:absolute;left:6219;top:820;width:651;height:207;mso-wrap-style:none" filled="f" stroked="f">
                <v:textbox style="mso-next-textbox:#_x0000_s46849;mso-fit-shape-to-text:t" inset="0,0,0,0">
                  <w:txbxContent>
                    <w:p w:rsidR="00CB6FAE" w:rsidRDefault="00CB6FAE">
                      <w:r>
                        <w:rPr>
                          <w:rFonts w:ascii="Arial" w:hAnsi="Arial" w:cs="Arial"/>
                          <w:color w:val="000000"/>
                          <w:sz w:val="18"/>
                          <w:szCs w:val="18"/>
                        </w:rPr>
                        <w:t>.564167</w:t>
                      </w:r>
                    </w:p>
                  </w:txbxContent>
                </v:textbox>
              </v:rect>
              <v:rect id="_x0000_s46850" style="position:absolute;left:2678;top:1065;width:1108;height:302" stroked="f"/>
              <v:rect id="_x0000_s46851" style="position:absolute;left:3455;top:1094;width:101;height:207;mso-wrap-style:none" filled="f" stroked="f">
                <v:textbox style="mso-next-textbox:#_x0000_s46851;mso-fit-shape-to-text:t" inset="0,0,0,0">
                  <w:txbxContent>
                    <w:p w:rsidR="00CB6FAE" w:rsidRDefault="00CB6FAE">
                      <w:r>
                        <w:rPr>
                          <w:rFonts w:ascii="Arial" w:hAnsi="Arial" w:cs="Arial"/>
                          <w:color w:val="000000"/>
                          <w:sz w:val="18"/>
                          <w:szCs w:val="18"/>
                        </w:rPr>
                        <w:t>3</w:t>
                      </w:r>
                    </w:p>
                  </w:txbxContent>
                </v:textbox>
              </v:rect>
              <v:rect id="_x0000_s46852" style="position:absolute;left:3757;top:1065;width:1109;height:302" stroked="f"/>
              <v:rect id="_x0000_s46853" style="position:absolute;left:4535;top:1094;width:101;height:207;mso-wrap-style:none" filled="f" stroked="f">
                <v:textbox style="mso-next-textbox:#_x0000_s46853;mso-fit-shape-to-text:t" inset="0,0,0,0">
                  <w:txbxContent>
                    <w:p w:rsidR="00CB6FAE" w:rsidRDefault="00CB6FAE">
                      <w:r>
                        <w:rPr>
                          <w:rFonts w:ascii="Arial" w:hAnsi="Arial" w:cs="Arial"/>
                          <w:color w:val="000000"/>
                          <w:sz w:val="18"/>
                          <w:szCs w:val="18"/>
                        </w:rPr>
                        <w:t>3</w:t>
                      </w:r>
                    </w:p>
                  </w:txbxContent>
                </v:textbox>
              </v:rect>
              <v:rect id="_x0000_s46854" style="position:absolute;left:4837;top:1065;width:1108;height:302" stroked="f"/>
              <v:rect id="_x0000_s46855" style="position:absolute;left:5614;top:1094;width:101;height:207;mso-wrap-style:none" filled="f" stroked="f">
                <v:textbox style="mso-next-textbox:#_x0000_s46855;mso-fit-shape-to-text:t" inset="0,0,0,0">
                  <w:txbxContent>
                    <w:p w:rsidR="00CB6FAE" w:rsidRDefault="00CB6FAE">
                      <w:r>
                        <w:rPr>
                          <w:rFonts w:ascii="Arial" w:hAnsi="Arial" w:cs="Arial"/>
                          <w:color w:val="000000"/>
                          <w:sz w:val="18"/>
                          <w:szCs w:val="18"/>
                        </w:rPr>
                        <w:t>3</w:t>
                      </w:r>
                    </w:p>
                  </w:txbxContent>
                </v:textbox>
              </v:rect>
              <v:rect id="_x0000_s46856" style="position:absolute;left:5916;top:1065;width:1109;height:302" stroked="f"/>
              <v:rect id="_x0000_s46857" style="position:absolute;left:6694;top:1094;width:101;height:207;mso-wrap-style:none" filled="f" stroked="f">
                <v:textbox style="mso-next-textbox:#_x0000_s46857;mso-fit-shape-to-text:t" inset="0,0,0,0">
                  <w:txbxContent>
                    <w:p w:rsidR="00CB6FAE" w:rsidRDefault="00CB6FAE">
                      <w:r>
                        <w:rPr>
                          <w:rFonts w:ascii="Arial" w:hAnsi="Arial" w:cs="Arial"/>
                          <w:color w:val="000000"/>
                          <w:sz w:val="18"/>
                          <w:szCs w:val="18"/>
                        </w:rPr>
                        <w:t>3</w:t>
                      </w:r>
                    </w:p>
                  </w:txbxContent>
                </v:textbox>
              </v:rect>
              <v:rect id="_x0000_s46858" style="position:absolute;left:2678;top:1339;width:1108;height:302" stroked="f"/>
              <v:rect id="_x0000_s46859" style="position:absolute;left:2980;top:1367;width:651;height:207;mso-wrap-style:none" filled="f" stroked="f">
                <v:textbox style="mso-next-textbox:#_x0000_s46859;mso-fit-shape-to-text:t" inset="0,0,0,0">
                  <w:txbxContent>
                    <w:p w:rsidR="00CB6FAE" w:rsidRDefault="00CB6FAE">
                      <w:r>
                        <w:rPr>
                          <w:rFonts w:ascii="Arial" w:hAnsi="Arial" w:cs="Arial"/>
                          <w:color w:val="000000"/>
                          <w:sz w:val="18"/>
                          <w:szCs w:val="18"/>
                        </w:rPr>
                        <w:t>.873400</w:t>
                      </w:r>
                    </w:p>
                  </w:txbxContent>
                </v:textbox>
              </v:rect>
              <v:rect id="_x0000_s46860" style="position:absolute;left:3757;top:1339;width:1109;height:302" stroked="f"/>
              <v:rect id="_x0000_s46861" style="position:absolute;left:4060;top:1367;width:651;height:207;mso-wrap-style:none" filled="f" stroked="f">
                <v:textbox style="mso-next-textbox:#_x0000_s46861;mso-fit-shape-to-text:t" inset="0,0,0,0">
                  <w:txbxContent>
                    <w:p w:rsidR="00CB6FAE" w:rsidRDefault="00CB6FAE">
                      <w:r>
                        <w:rPr>
                          <w:rFonts w:ascii="Arial" w:hAnsi="Arial" w:cs="Arial"/>
                          <w:color w:val="000000"/>
                          <w:sz w:val="18"/>
                          <w:szCs w:val="18"/>
                        </w:rPr>
                        <w:t>.455167</w:t>
                      </w:r>
                    </w:p>
                  </w:txbxContent>
                </v:textbox>
              </v:rect>
              <v:rect id="_x0000_s46862" style="position:absolute;left:4837;top:1339;width:1108;height:302" stroked="f"/>
              <v:rect id="_x0000_s46863" style="position:absolute;left:5139;top:1367;width:651;height:207;mso-wrap-style:none" filled="f" stroked="f">
                <v:textbox style="mso-next-textbox:#_x0000_s46863;mso-fit-shape-to-text:t" inset="0,0,0,0">
                  <w:txbxContent>
                    <w:p w:rsidR="00CB6FAE" w:rsidRDefault="00CB6FAE">
                      <w:r>
                        <w:rPr>
                          <w:rFonts w:ascii="Arial" w:hAnsi="Arial" w:cs="Arial"/>
                          <w:color w:val="000000"/>
                          <w:sz w:val="18"/>
                          <w:szCs w:val="18"/>
                        </w:rPr>
                        <w:t>.375927</w:t>
                      </w:r>
                    </w:p>
                  </w:txbxContent>
                </v:textbox>
              </v:rect>
              <v:rect id="_x0000_s46864" style="position:absolute;left:5916;top:1339;width:1109;height:302" stroked="f"/>
              <v:rect id="_x0000_s46865" style="position:absolute;left:6219;top:1367;width:651;height:207;mso-wrap-style:none" filled="f" stroked="f">
                <v:textbox style="mso-next-textbox:#_x0000_s46865;mso-fit-shape-to-text:t" inset="0,0,0,0">
                  <w:txbxContent>
                    <w:p w:rsidR="00CB6FAE" w:rsidRDefault="00CB6FAE">
                      <w:r>
                        <w:rPr>
                          <w:rFonts w:ascii="Arial" w:hAnsi="Arial" w:cs="Arial"/>
                          <w:color w:val="000000"/>
                          <w:sz w:val="18"/>
                          <w:szCs w:val="18"/>
                        </w:rPr>
                        <w:t>.568160</w:t>
                      </w:r>
                    </w:p>
                  </w:txbxContent>
                </v:textbox>
              </v:rect>
              <v:rect id="_x0000_s46866" style="position:absolute;left:2678;top:1612;width:1108;height:302" stroked="f"/>
              <v:rect id="_x0000_s46867" style="position:absolute;left:3368;top:1641;width:201;height:207;mso-wrap-style:none" filled="f" stroked="f">
                <v:textbox style="mso-next-textbox:#_x0000_s46867;mso-fit-shape-to-text:t" inset="0,0,0,0">
                  <w:txbxContent>
                    <w:p w:rsidR="00CB6FAE" w:rsidRDefault="00CB6FAE">
                      <w:r>
                        <w:rPr>
                          <w:rFonts w:ascii="Arial" w:hAnsi="Arial" w:cs="Arial"/>
                          <w:color w:val="000000"/>
                          <w:sz w:val="18"/>
                          <w:szCs w:val="18"/>
                        </w:rPr>
                        <w:t>15</w:t>
                      </w:r>
                    </w:p>
                  </w:txbxContent>
                </v:textbox>
              </v:rect>
              <v:rect id="_x0000_s46868" style="position:absolute;left:3757;top:1612;width:1109;height:302" stroked="f"/>
              <v:rect id="_x0000_s46869" style="position:absolute;left:4448;top:1641;width:201;height:207;mso-wrap-style:none" filled="f" stroked="f">
                <v:textbox style="mso-next-textbox:#_x0000_s46869;mso-fit-shape-to-text:t" inset="0,0,0,0">
                  <w:txbxContent>
                    <w:p w:rsidR="00CB6FAE" w:rsidRDefault="00CB6FAE">
                      <w:r>
                        <w:rPr>
                          <w:rFonts w:ascii="Arial" w:hAnsi="Arial" w:cs="Arial"/>
                          <w:color w:val="000000"/>
                          <w:sz w:val="18"/>
                          <w:szCs w:val="18"/>
                        </w:rPr>
                        <w:t>15</w:t>
                      </w:r>
                    </w:p>
                  </w:txbxContent>
                </v:textbox>
              </v:rect>
              <v:rect id="_x0000_s46870" style="position:absolute;left:4837;top:1612;width:1108;height:302" stroked="f"/>
              <v:rect id="_x0000_s46871" style="position:absolute;left:5527;top:1641;width:201;height:207;mso-wrap-style:none" filled="f" stroked="f">
                <v:textbox style="mso-next-textbox:#_x0000_s46871;mso-fit-shape-to-text:t" inset="0,0,0,0">
                  <w:txbxContent>
                    <w:p w:rsidR="00CB6FAE" w:rsidRDefault="00CB6FAE">
                      <w:r>
                        <w:rPr>
                          <w:rFonts w:ascii="Arial" w:hAnsi="Arial" w:cs="Arial"/>
                          <w:color w:val="000000"/>
                          <w:sz w:val="18"/>
                          <w:szCs w:val="18"/>
                        </w:rPr>
                        <w:t>15</w:t>
                      </w:r>
                    </w:p>
                  </w:txbxContent>
                </v:textbox>
              </v:rect>
              <v:rect id="_x0000_s46872" style="position:absolute;left:5916;top:1612;width:1109;height:302" stroked="f"/>
              <v:rect id="_x0000_s46873" style="position:absolute;left:6607;top:1641;width:201;height:207;mso-wrap-style:none" filled="f" stroked="f">
                <v:textbox style="mso-next-textbox:#_x0000_s46873;mso-fit-shape-to-text:t" inset="0,0,0,0">
                  <w:txbxContent>
                    <w:p w:rsidR="00CB6FAE" w:rsidRDefault="00CB6FAE">
                      <w:r>
                        <w:rPr>
                          <w:rFonts w:ascii="Arial" w:hAnsi="Arial" w:cs="Arial"/>
                          <w:color w:val="000000"/>
                          <w:sz w:val="18"/>
                          <w:szCs w:val="18"/>
                        </w:rPr>
                        <w:t>15</w:t>
                      </w:r>
                    </w:p>
                  </w:txbxContent>
                </v:textbox>
              </v:rect>
              <v:rect id="_x0000_s46874" style="position:absolute;left:2678;top:1886;width:1108;height:302" stroked="f"/>
              <v:rect id="_x0000_s46875" style="position:absolute;left:2980;top:1914;width:651;height:207;mso-wrap-style:none" filled="f" stroked="f">
                <v:textbox style="mso-next-textbox:#_x0000_s46875;mso-fit-shape-to-text:t" inset="0,0,0,0">
                  <w:txbxContent>
                    <w:p w:rsidR="00CB6FAE" w:rsidRDefault="00CB6FAE">
                      <w:r>
                        <w:rPr>
                          <w:rFonts w:ascii="Arial" w:hAnsi="Arial" w:cs="Arial"/>
                          <w:color w:val="000000"/>
                          <w:sz w:val="18"/>
                          <w:szCs w:val="18"/>
                        </w:rPr>
                        <w:t>.921406</w:t>
                      </w:r>
                    </w:p>
                  </w:txbxContent>
                </v:textbox>
              </v:rect>
              <v:rect id="_x0000_s46876" style="position:absolute;left:3757;top:1886;width:1109;height:302" stroked="f"/>
              <v:rect id="_x0000_s46877" style="position:absolute;left:4060;top:1914;width:651;height:207;mso-wrap-style:none" filled="f" stroked="f">
                <v:textbox style="mso-next-textbox:#_x0000_s46877;mso-fit-shape-to-text:t" inset="0,0,0,0">
                  <w:txbxContent>
                    <w:p w:rsidR="00CB6FAE" w:rsidRDefault="00CB6FAE">
                      <w:r>
                        <w:rPr>
                          <w:rFonts w:ascii="Arial" w:hAnsi="Arial" w:cs="Arial"/>
                          <w:color w:val="000000"/>
                          <w:sz w:val="18"/>
                          <w:szCs w:val="18"/>
                        </w:rPr>
                        <w:t>.722024</w:t>
                      </w:r>
                    </w:p>
                  </w:txbxContent>
                </v:textbox>
              </v:rect>
              <v:rect id="_x0000_s46878" style="position:absolute;left:4837;top:1886;width:1108;height:302" stroked="f"/>
              <v:rect id="_x0000_s46879" style="position:absolute;left:5139;top:1914;width:651;height:207;mso-wrap-style:none" filled="f" stroked="f">
                <v:textbox style="mso-next-textbox:#_x0000_s46879;mso-fit-shape-to-text:t" inset="0,0,0,0">
                  <w:txbxContent>
                    <w:p w:rsidR="00CB6FAE" w:rsidRDefault="00CB6FAE">
                      <w:r>
                        <w:rPr>
                          <w:rFonts w:ascii="Arial" w:hAnsi="Arial" w:cs="Arial"/>
                          <w:color w:val="000000"/>
                          <w:sz w:val="18"/>
                          <w:szCs w:val="18"/>
                        </w:rPr>
                        <w:t>.417647</w:t>
                      </w:r>
                    </w:p>
                  </w:txbxContent>
                </v:textbox>
              </v:rect>
              <v:rect id="_x0000_s46880" style="position:absolute;left:5916;top:1886;width:1109;height:302" stroked="f"/>
              <v:rect id="_x0000_s46881" style="position:absolute;left:6219;top:1914;width:651;height:207;mso-wrap-style:none" filled="f" stroked="f">
                <v:textbox style="mso-next-textbox:#_x0000_s46881;mso-fit-shape-to-text:t" inset="0,0,0,0">
                  <w:txbxContent>
                    <w:p w:rsidR="00CB6FAE" w:rsidRDefault="00CB6FAE">
                      <w:r>
                        <w:rPr>
                          <w:rFonts w:ascii="Arial" w:hAnsi="Arial" w:cs="Arial"/>
                          <w:color w:val="000000"/>
                          <w:sz w:val="18"/>
                          <w:szCs w:val="18"/>
                        </w:rPr>
                        <w:t>.687018</w:t>
                      </w:r>
                    </w:p>
                  </w:txbxContent>
                </v:textbox>
              </v:rect>
              <v:rect id="_x0000_s46882" style="position:absolute;left:2678;top:2159;width:1108;height:302" stroked="f"/>
              <v:rect id="_x0000_s46883" style="position:absolute;left:3368;top:2188;width:201;height:207;mso-wrap-style:none" filled="f" stroked="f">
                <v:textbox style="mso-next-textbox:#_x0000_s46883;mso-fit-shape-to-text:t" inset="0,0,0,0">
                  <w:txbxContent>
                    <w:p w:rsidR="00CB6FAE" w:rsidRDefault="00CB6FAE">
                      <w:r>
                        <w:rPr>
                          <w:rFonts w:ascii="Arial" w:hAnsi="Arial" w:cs="Arial"/>
                          <w:color w:val="000000"/>
                          <w:sz w:val="18"/>
                          <w:szCs w:val="18"/>
                        </w:rPr>
                        <w:t>17</w:t>
                      </w:r>
                    </w:p>
                  </w:txbxContent>
                </v:textbox>
              </v:rect>
              <v:rect id="_x0000_s46884" style="position:absolute;left:3757;top:2159;width:1109;height:302" stroked="f"/>
              <v:rect id="_x0000_s46885" style="position:absolute;left:4448;top:2188;width:201;height:207;mso-wrap-style:none" filled="f" stroked="f">
                <v:textbox style="mso-next-textbox:#_x0000_s46885;mso-fit-shape-to-text:t" inset="0,0,0,0">
                  <w:txbxContent>
                    <w:p w:rsidR="00CB6FAE" w:rsidRDefault="00CB6FAE">
                      <w:r>
                        <w:rPr>
                          <w:rFonts w:ascii="Arial" w:hAnsi="Arial" w:cs="Arial"/>
                          <w:color w:val="000000"/>
                          <w:sz w:val="18"/>
                          <w:szCs w:val="18"/>
                        </w:rPr>
                        <w:t>17</w:t>
                      </w:r>
                    </w:p>
                  </w:txbxContent>
                </v:textbox>
              </v:rect>
              <v:rect id="_x0000_s46886" style="position:absolute;left:4837;top:2159;width:1108;height:302" stroked="f"/>
              <v:rect id="_x0000_s46887" style="position:absolute;left:5527;top:2188;width:201;height:207;mso-wrap-style:none" filled="f" stroked="f">
                <v:textbox style="mso-next-textbox:#_x0000_s46887;mso-fit-shape-to-text:t" inset="0,0,0,0">
                  <w:txbxContent>
                    <w:p w:rsidR="00CB6FAE" w:rsidRDefault="00CB6FAE">
                      <w:r>
                        <w:rPr>
                          <w:rFonts w:ascii="Arial" w:hAnsi="Arial" w:cs="Arial"/>
                          <w:color w:val="000000"/>
                          <w:sz w:val="18"/>
                          <w:szCs w:val="18"/>
                        </w:rPr>
                        <w:t>17</w:t>
                      </w:r>
                    </w:p>
                  </w:txbxContent>
                </v:textbox>
              </v:rect>
              <v:rect id="_x0000_s46888" style="position:absolute;left:5916;top:2159;width:1109;height:302" stroked="f"/>
              <v:rect id="_x0000_s46889" style="position:absolute;left:6607;top:2188;width:201;height:207;mso-wrap-style:none" filled="f" stroked="f">
                <v:textbox style="mso-next-textbox:#_x0000_s46889;mso-fit-shape-to-text:t" inset="0,0,0,0">
                  <w:txbxContent>
                    <w:p w:rsidR="00CB6FAE" w:rsidRDefault="00CB6FAE">
                      <w:r>
                        <w:rPr>
                          <w:rFonts w:ascii="Arial" w:hAnsi="Arial" w:cs="Arial"/>
                          <w:color w:val="000000"/>
                          <w:sz w:val="18"/>
                          <w:szCs w:val="18"/>
                        </w:rPr>
                        <w:t>17</w:t>
                      </w:r>
                    </w:p>
                  </w:txbxContent>
                </v:textbox>
              </v:rect>
              <v:rect id="_x0000_s46890" style="position:absolute;left:2678;top:2432;width:1108;height:303" stroked="f"/>
              <v:rect id="_x0000_s46891" style="position:absolute;left:2980;top:2461;width:651;height:207;mso-wrap-style:none" filled="f" stroked="f">
                <v:textbox style="mso-next-textbox:#_x0000_s46891;mso-fit-shape-to-text:t" inset="0,0,0,0">
                  <w:txbxContent>
                    <w:p w:rsidR="00CB6FAE" w:rsidRDefault="00CB6FAE">
                      <w:r>
                        <w:rPr>
                          <w:rFonts w:ascii="Arial" w:hAnsi="Arial" w:cs="Arial"/>
                          <w:color w:val="000000"/>
                          <w:sz w:val="18"/>
                          <w:szCs w:val="18"/>
                        </w:rPr>
                        <w:t>.894723</w:t>
                      </w:r>
                    </w:p>
                  </w:txbxContent>
                </v:textbox>
              </v:rect>
              <v:rect id="_x0000_s46892" style="position:absolute;left:3757;top:2432;width:1109;height:303" stroked="f"/>
              <v:rect id="_x0000_s46893" style="position:absolute;left:4060;top:2461;width:651;height:207;mso-wrap-style:none" filled="f" stroked="f">
                <v:textbox style="mso-next-textbox:#_x0000_s46893;mso-fit-shape-to-text:t" inset="0,0,0,0">
                  <w:txbxContent>
                    <w:p w:rsidR="00CB6FAE" w:rsidRDefault="00CB6FAE">
                      <w:r>
                        <w:rPr>
                          <w:rFonts w:ascii="Arial" w:hAnsi="Arial" w:cs="Arial"/>
                          <w:color w:val="000000"/>
                          <w:sz w:val="18"/>
                          <w:szCs w:val="18"/>
                        </w:rPr>
                        <w:t>.545269</w:t>
                      </w:r>
                    </w:p>
                  </w:txbxContent>
                </v:textbox>
              </v:rect>
              <v:rect id="_x0000_s46894" style="position:absolute;left:4837;top:2432;width:1108;height:303" stroked="f"/>
              <v:rect id="_x0000_s46895" style="position:absolute;left:5139;top:2461;width:651;height:207;mso-wrap-style:none" filled="f" stroked="f">
                <v:textbox style="mso-next-textbox:#_x0000_s46895;mso-fit-shape-to-text:t" inset="0,0,0,0">
                  <w:txbxContent>
                    <w:p w:rsidR="00CB6FAE" w:rsidRDefault="00CB6FAE">
                      <w:r>
                        <w:rPr>
                          <w:rFonts w:ascii="Arial" w:hAnsi="Arial" w:cs="Arial"/>
                          <w:color w:val="000000"/>
                          <w:sz w:val="18"/>
                          <w:szCs w:val="18"/>
                        </w:rPr>
                        <w:t>.475215</w:t>
                      </w:r>
                    </w:p>
                  </w:txbxContent>
                </v:textbox>
              </v:rect>
              <v:rect id="_x0000_s46896" style="position:absolute;left:5916;top:2432;width:1109;height:303" stroked="f"/>
              <v:rect id="_x0000_s46897" style="position:absolute;left:6219;top:2461;width:651;height:207;mso-wrap-style:none" filled="f" stroked="f">
                <v:textbox style="mso-next-textbox:#_x0000_s46897;mso-fit-shape-to-text:t" inset="0,0,0,0">
                  <w:txbxContent>
                    <w:p w:rsidR="00CB6FAE" w:rsidRDefault="00CB6FAE">
                      <w:r>
                        <w:rPr>
                          <w:rFonts w:ascii="Arial" w:hAnsi="Arial" w:cs="Arial"/>
                          <w:color w:val="000000"/>
                          <w:sz w:val="18"/>
                          <w:szCs w:val="18"/>
                        </w:rPr>
                        <w:t>.638415</w:t>
                      </w:r>
                    </w:p>
                  </w:txbxContent>
                </v:textbox>
              </v:rect>
              <v:rect id="_x0000_s46898" style="position:absolute;left:2678;top:2706;width:1108;height:302" stroked="f"/>
              <v:rect id="_x0000_s46899" style="position:absolute;left:3368;top:2735;width:201;height:207;mso-wrap-style:none" filled="f" stroked="f">
                <v:textbox style="mso-next-textbox:#_x0000_s46899;mso-fit-shape-to-text:t" inset="0,0,0,0">
                  <w:txbxContent>
                    <w:p w:rsidR="00CB6FAE" w:rsidRDefault="00CB6FAE">
                      <w:r>
                        <w:rPr>
                          <w:rFonts w:ascii="Arial" w:hAnsi="Arial" w:cs="Arial"/>
                          <w:color w:val="000000"/>
                          <w:sz w:val="18"/>
                          <w:szCs w:val="18"/>
                        </w:rPr>
                        <w:t>13</w:t>
                      </w:r>
                    </w:p>
                  </w:txbxContent>
                </v:textbox>
              </v:rect>
              <v:rect id="_x0000_s46900" style="position:absolute;left:3757;top:2706;width:1109;height:302" stroked="f"/>
              <v:rect id="_x0000_s46901" style="position:absolute;left:4448;top:2735;width:201;height:207;mso-wrap-style:none" filled="f" stroked="f">
                <v:textbox style="mso-next-textbox:#_x0000_s46901;mso-fit-shape-to-text:t" inset="0,0,0,0">
                  <w:txbxContent>
                    <w:p w:rsidR="00CB6FAE" w:rsidRDefault="00CB6FAE">
                      <w:r>
                        <w:rPr>
                          <w:rFonts w:ascii="Arial" w:hAnsi="Arial" w:cs="Arial"/>
                          <w:color w:val="000000"/>
                          <w:sz w:val="18"/>
                          <w:szCs w:val="18"/>
                        </w:rPr>
                        <w:t>13</w:t>
                      </w:r>
                    </w:p>
                  </w:txbxContent>
                </v:textbox>
              </v:rect>
              <v:rect id="_x0000_s46902" style="position:absolute;left:4837;top:2706;width:1108;height:302" stroked="f"/>
              <v:rect id="_x0000_s46903" style="position:absolute;left:5527;top:2735;width:201;height:207;mso-wrap-style:none" filled="f" stroked="f">
                <v:textbox style="mso-next-textbox:#_x0000_s46903;mso-fit-shape-to-text:t" inset="0,0,0,0">
                  <w:txbxContent>
                    <w:p w:rsidR="00CB6FAE" w:rsidRDefault="00CB6FAE">
                      <w:r>
                        <w:rPr>
                          <w:rFonts w:ascii="Arial" w:hAnsi="Arial" w:cs="Arial"/>
                          <w:color w:val="000000"/>
                          <w:sz w:val="18"/>
                          <w:szCs w:val="18"/>
                        </w:rPr>
                        <w:t>13</w:t>
                      </w:r>
                    </w:p>
                  </w:txbxContent>
                </v:textbox>
              </v:rect>
              <v:rect id="_x0000_s46904" style="position:absolute;left:5916;top:2706;width:1109;height:302" stroked="f"/>
              <v:rect id="_x0000_s46905" style="position:absolute;left:6607;top:2735;width:201;height:207;mso-wrap-style:none" filled="f" stroked="f">
                <v:textbox style="mso-next-textbox:#_x0000_s46905;mso-fit-shape-to-text:t" inset="0,0,0,0">
                  <w:txbxContent>
                    <w:p w:rsidR="00CB6FAE" w:rsidRDefault="00CB6FAE">
                      <w:r>
                        <w:rPr>
                          <w:rFonts w:ascii="Arial" w:hAnsi="Arial" w:cs="Arial"/>
                          <w:color w:val="000000"/>
                          <w:sz w:val="18"/>
                          <w:szCs w:val="18"/>
                        </w:rPr>
                        <w:t>13</w:t>
                      </w:r>
                    </w:p>
                  </w:txbxContent>
                </v:textbox>
              </v:rect>
              <v:rect id="_x0000_s46906" style="position:absolute;left:2678;top:2979;width:1108;height:303" stroked="f"/>
              <v:rect id="_x0000_s46907" style="position:absolute;left:2980;top:3008;width:651;height:207;mso-wrap-style:none" filled="f" stroked="f">
                <v:textbox style="mso-next-textbox:#_x0000_s46907;mso-fit-shape-to-text:t" inset="0,0,0,0">
                  <w:txbxContent>
                    <w:p w:rsidR="00CB6FAE" w:rsidRDefault="00CB6FAE">
                      <w:r>
                        <w:rPr>
                          <w:rFonts w:ascii="Arial" w:hAnsi="Arial" w:cs="Arial"/>
                          <w:color w:val="000000"/>
                          <w:sz w:val="18"/>
                          <w:szCs w:val="18"/>
                        </w:rPr>
                        <w:t>.886450</w:t>
                      </w:r>
                    </w:p>
                  </w:txbxContent>
                </v:textbox>
              </v:rect>
              <v:rect id="_x0000_s46908" style="position:absolute;left:3757;top:2979;width:1109;height:303" stroked="f"/>
              <v:rect id="_x0000_s46909" style="position:absolute;left:4060;top:3008;width:651;height:207;mso-wrap-style:none" filled="f" stroked="f">
                <v:textbox style="mso-next-textbox:#_x0000_s46909;mso-fit-shape-to-text:t" inset="0,0,0,0">
                  <w:txbxContent>
                    <w:p w:rsidR="00CB6FAE" w:rsidRDefault="00CB6FAE">
                      <w:r>
                        <w:rPr>
                          <w:rFonts w:ascii="Arial" w:hAnsi="Arial" w:cs="Arial"/>
                          <w:color w:val="000000"/>
                          <w:sz w:val="18"/>
                          <w:szCs w:val="18"/>
                        </w:rPr>
                        <w:t>.550510</w:t>
                      </w:r>
                    </w:p>
                  </w:txbxContent>
                </v:textbox>
              </v:rect>
              <v:rect id="_x0000_s46910" style="position:absolute;left:4837;top:2979;width:1108;height:303" stroked="f"/>
              <v:rect id="_x0000_s46911" style="position:absolute;left:5139;top:3008;width:651;height:207;mso-wrap-style:none" filled="f" stroked="f">
                <v:textbox style="mso-next-textbox:#_x0000_s46911;mso-fit-shape-to-text:t" inset="0,0,0,0">
                  <w:txbxContent>
                    <w:p w:rsidR="00CB6FAE" w:rsidRDefault="00CB6FAE">
                      <w:r>
                        <w:rPr>
                          <w:rFonts w:ascii="Arial" w:hAnsi="Arial" w:cs="Arial"/>
                          <w:color w:val="000000"/>
                          <w:sz w:val="18"/>
                          <w:szCs w:val="18"/>
                        </w:rPr>
                        <w:t>.338340</w:t>
                      </w:r>
                    </w:p>
                  </w:txbxContent>
                </v:textbox>
              </v:rect>
              <v:rect id="_x0000_s46912" style="position:absolute;left:5916;top:2979;width:1109;height:303" stroked="f"/>
              <v:rect id="_x0000_s46913" style="position:absolute;left:6219;top:3008;width:651;height:207;mso-wrap-style:none" filled="f" stroked="f">
                <v:textbox style="mso-next-textbox:#_x0000_s46913;mso-fit-shape-to-text:t" inset="0,0,0,0">
                  <w:txbxContent>
                    <w:p w:rsidR="00CB6FAE" w:rsidRDefault="00CB6FAE">
                      <w:r>
                        <w:rPr>
                          <w:rFonts w:ascii="Arial" w:hAnsi="Arial" w:cs="Arial"/>
                          <w:color w:val="000000"/>
                          <w:sz w:val="18"/>
                          <w:szCs w:val="18"/>
                        </w:rPr>
                        <w:t>.591750</w:t>
                      </w:r>
                    </w:p>
                  </w:txbxContent>
                </v:textbox>
              </v:rect>
              <v:rect id="_x0000_s46914" style="position:absolute;left:2678;top:3253;width:1108;height:302" stroked="f"/>
              <v:rect id="_x0000_s46915" style="position:absolute;left:3368;top:3282;width:201;height:207;mso-wrap-style:none" filled="f" stroked="f">
                <v:textbox style="mso-next-textbox:#_x0000_s46915;mso-fit-shape-to-text:t" inset="0,0,0,0">
                  <w:txbxContent>
                    <w:p w:rsidR="00CB6FAE" w:rsidRDefault="00CB6FAE">
                      <w:r>
                        <w:rPr>
                          <w:rFonts w:ascii="Arial" w:hAnsi="Arial" w:cs="Arial"/>
                          <w:color w:val="000000"/>
                          <w:sz w:val="18"/>
                          <w:szCs w:val="18"/>
                        </w:rPr>
                        <w:t>10</w:t>
                      </w:r>
                    </w:p>
                  </w:txbxContent>
                </v:textbox>
              </v:rect>
              <v:rect id="_x0000_s46916" style="position:absolute;left:3757;top:3253;width:1109;height:302" stroked="f"/>
              <v:rect id="_x0000_s46917" style="position:absolute;left:4448;top:3282;width:201;height:207;mso-wrap-style:none" filled="f" stroked="f">
                <v:textbox style="mso-next-textbox:#_x0000_s46917;mso-fit-shape-to-text:t" inset="0,0,0,0">
                  <w:txbxContent>
                    <w:p w:rsidR="00CB6FAE" w:rsidRDefault="00CB6FAE">
                      <w:r>
                        <w:rPr>
                          <w:rFonts w:ascii="Arial" w:hAnsi="Arial" w:cs="Arial"/>
                          <w:color w:val="000000"/>
                          <w:sz w:val="18"/>
                          <w:szCs w:val="18"/>
                        </w:rPr>
                        <w:t>10</w:t>
                      </w:r>
                    </w:p>
                  </w:txbxContent>
                </v:textbox>
              </v:rect>
              <v:rect id="_x0000_s46918" style="position:absolute;left:4837;top:3253;width:1108;height:302" stroked="f"/>
              <v:rect id="_x0000_s46919" style="position:absolute;left:5527;top:3282;width:201;height:207;mso-wrap-style:none" filled="f" stroked="f">
                <v:textbox style="mso-next-textbox:#_x0000_s46919;mso-fit-shape-to-text:t" inset="0,0,0,0">
                  <w:txbxContent>
                    <w:p w:rsidR="00CB6FAE" w:rsidRDefault="00CB6FAE">
                      <w:r>
                        <w:rPr>
                          <w:rFonts w:ascii="Arial" w:hAnsi="Arial" w:cs="Arial"/>
                          <w:color w:val="000000"/>
                          <w:sz w:val="18"/>
                          <w:szCs w:val="18"/>
                        </w:rPr>
                        <w:t>10</w:t>
                      </w:r>
                    </w:p>
                  </w:txbxContent>
                </v:textbox>
              </v:rect>
              <v:rect id="_x0000_s46920" style="position:absolute;left:5916;top:3253;width:1109;height:302" stroked="f"/>
              <v:rect id="_x0000_s46921" style="position:absolute;left:6607;top:3282;width:201;height:207;mso-wrap-style:none" filled="f" stroked="f">
                <v:textbox style="mso-next-textbox:#_x0000_s46921;mso-fit-shape-to-text:t" inset="0,0,0,0">
                  <w:txbxContent>
                    <w:p w:rsidR="00CB6FAE" w:rsidRDefault="00CB6FAE">
                      <w:r>
                        <w:rPr>
                          <w:rFonts w:ascii="Arial" w:hAnsi="Arial" w:cs="Arial"/>
                          <w:color w:val="000000"/>
                          <w:sz w:val="18"/>
                          <w:szCs w:val="18"/>
                        </w:rPr>
                        <w:t>10</w:t>
                      </w:r>
                    </w:p>
                  </w:txbxContent>
                </v:textbox>
              </v:rect>
              <v:rect id="_x0000_s46922" style="position:absolute;left:2678;top:3526;width:1108;height:303" stroked="f"/>
              <v:rect id="_x0000_s46923" style="position:absolute;left:2980;top:3555;width:651;height:207;mso-wrap-style:none" filled="f" stroked="f">
                <v:textbox style="mso-next-textbox:#_x0000_s46923;mso-fit-shape-to-text:t" inset="0,0,0,0">
                  <w:txbxContent>
                    <w:p w:rsidR="00CB6FAE" w:rsidRDefault="00CB6FAE">
                      <w:r>
                        <w:rPr>
                          <w:rFonts w:ascii="Arial" w:hAnsi="Arial" w:cs="Arial"/>
                          <w:color w:val="000000"/>
                          <w:sz w:val="18"/>
                          <w:szCs w:val="18"/>
                        </w:rPr>
                        <w:t>.817500</w:t>
                      </w:r>
                    </w:p>
                  </w:txbxContent>
                </v:textbox>
              </v:rect>
              <v:rect id="_x0000_s46924" style="position:absolute;left:3757;top:3526;width:1109;height:303" stroked="f"/>
              <v:rect id="_x0000_s46925" style="position:absolute;left:4060;top:3555;width:651;height:207;mso-wrap-style:none" filled="f" stroked="f">
                <v:textbox style="mso-next-textbox:#_x0000_s46925;mso-fit-shape-to-text:t" inset="0,0,0,0">
                  <w:txbxContent>
                    <w:p w:rsidR="00CB6FAE" w:rsidRDefault="00CB6FAE">
                      <w:r>
                        <w:rPr>
                          <w:rFonts w:ascii="Arial" w:hAnsi="Arial" w:cs="Arial"/>
                          <w:color w:val="000000"/>
                          <w:sz w:val="18"/>
                          <w:szCs w:val="18"/>
                        </w:rPr>
                        <w:t>.460367</w:t>
                      </w:r>
                    </w:p>
                  </w:txbxContent>
                </v:textbox>
              </v:rect>
              <v:rect id="_x0000_s46926" style="position:absolute;left:4837;top:3526;width:1108;height:303" stroked="f"/>
              <v:rect id="_x0000_s46927" style="position:absolute;left:5139;top:3555;width:651;height:207;mso-wrap-style:none" filled="f" stroked="f">
                <v:textbox style="mso-next-textbox:#_x0000_s46927;mso-fit-shape-to-text:t" inset="0,0,0,0">
                  <w:txbxContent>
                    <w:p w:rsidR="00CB6FAE" w:rsidRDefault="00CB6FAE">
                      <w:r>
                        <w:rPr>
                          <w:rFonts w:ascii="Arial" w:hAnsi="Arial" w:cs="Arial"/>
                          <w:color w:val="000000"/>
                          <w:sz w:val="18"/>
                          <w:szCs w:val="18"/>
                        </w:rPr>
                        <w:t>.215733</w:t>
                      </w:r>
                    </w:p>
                  </w:txbxContent>
                </v:textbox>
              </v:rect>
              <v:rect id="_x0000_s46928" style="position:absolute;left:5916;top:3526;width:1109;height:303" stroked="f"/>
              <v:rect id="_x0000_s46929" style="position:absolute;left:6219;top:3555;width:651;height:207;mso-wrap-style:none" filled="f" stroked="f">
                <v:textbox style="mso-next-textbox:#_x0000_s46929;mso-fit-shape-to-text:t" inset="0,0,0,0">
                  <w:txbxContent>
                    <w:p w:rsidR="00CB6FAE" w:rsidRDefault="00CB6FAE">
                      <w:r>
                        <w:rPr>
                          <w:rFonts w:ascii="Arial" w:hAnsi="Arial" w:cs="Arial"/>
                          <w:color w:val="000000"/>
                          <w:sz w:val="18"/>
                          <w:szCs w:val="18"/>
                        </w:rPr>
                        <w:t>.497867</w:t>
                      </w:r>
                    </w:p>
                  </w:txbxContent>
                </v:textbox>
              </v:rect>
              <v:rect id="_x0000_s46930" style="position:absolute;left:2678;top:3800;width:1108;height:302" stroked="f"/>
              <v:rect id="_x0000_s46931" style="position:absolute;left:3455;top:3829;width:101;height:207;mso-wrap-style:none" filled="f" stroked="f">
                <v:textbox style="mso-next-textbox:#_x0000_s46931;mso-fit-shape-to-text:t" inset="0,0,0,0">
                  <w:txbxContent>
                    <w:p w:rsidR="00CB6FAE" w:rsidRDefault="00CB6FAE">
                      <w:r>
                        <w:rPr>
                          <w:rFonts w:ascii="Arial" w:hAnsi="Arial" w:cs="Arial"/>
                          <w:color w:val="000000"/>
                          <w:sz w:val="18"/>
                          <w:szCs w:val="18"/>
                        </w:rPr>
                        <w:t>6</w:t>
                      </w:r>
                    </w:p>
                  </w:txbxContent>
                </v:textbox>
              </v:rect>
              <v:rect id="_x0000_s46932" style="position:absolute;left:3757;top:3800;width:1109;height:302" stroked="f"/>
              <v:rect id="_x0000_s46933" style="position:absolute;left:4535;top:3829;width:101;height:207;mso-wrap-style:none" filled="f" stroked="f">
                <v:textbox style="mso-next-textbox:#_x0000_s46933;mso-fit-shape-to-text:t" inset="0,0,0,0">
                  <w:txbxContent>
                    <w:p w:rsidR="00CB6FAE" w:rsidRDefault="00CB6FAE">
                      <w:r>
                        <w:rPr>
                          <w:rFonts w:ascii="Arial" w:hAnsi="Arial" w:cs="Arial"/>
                          <w:color w:val="000000"/>
                          <w:sz w:val="18"/>
                          <w:szCs w:val="18"/>
                        </w:rPr>
                        <w:t>6</w:t>
                      </w:r>
                    </w:p>
                  </w:txbxContent>
                </v:textbox>
              </v:rect>
              <v:rect id="_x0000_s46934" style="position:absolute;left:4837;top:3800;width:1108;height:302" stroked="f"/>
              <v:rect id="_x0000_s46935" style="position:absolute;left:5614;top:3829;width:101;height:207;mso-wrap-style:none" filled="f" stroked="f">
                <v:textbox style="mso-next-textbox:#_x0000_s46935;mso-fit-shape-to-text:t" inset="0,0,0,0">
                  <w:txbxContent>
                    <w:p w:rsidR="00CB6FAE" w:rsidRDefault="00CB6FAE">
                      <w:r>
                        <w:rPr>
                          <w:rFonts w:ascii="Arial" w:hAnsi="Arial" w:cs="Arial"/>
                          <w:color w:val="000000"/>
                          <w:sz w:val="18"/>
                          <w:szCs w:val="18"/>
                        </w:rPr>
                        <w:t>6</w:t>
                      </w:r>
                    </w:p>
                  </w:txbxContent>
                </v:textbox>
              </v:rect>
              <v:rect id="_x0000_s46936" style="position:absolute;left:5916;top:3800;width:1109;height:302" stroked="f"/>
              <v:rect id="_x0000_s46937" style="position:absolute;left:6694;top:3829;width:101;height:207;mso-wrap-style:none" filled="f" stroked="f">
                <v:textbox style="mso-next-textbox:#_x0000_s46937;mso-fit-shape-to-text:t" inset="0,0,0,0">
                  <w:txbxContent>
                    <w:p w:rsidR="00CB6FAE" w:rsidRDefault="00CB6FAE">
                      <w:r>
                        <w:rPr>
                          <w:rFonts w:ascii="Arial" w:hAnsi="Arial" w:cs="Arial"/>
                          <w:color w:val="000000"/>
                          <w:sz w:val="18"/>
                          <w:szCs w:val="18"/>
                        </w:rPr>
                        <w:t>6</w:t>
                      </w:r>
                    </w:p>
                  </w:txbxContent>
                </v:textbox>
              </v:rect>
              <v:rect id="_x0000_s46938" style="position:absolute;left:2678;top:4073;width:1108;height:303" stroked="f"/>
              <v:rect id="_x0000_s46939" style="position:absolute;left:2980;top:4102;width:651;height:207;mso-wrap-style:none" filled="f" stroked="f">
                <v:textbox style="mso-next-textbox:#_x0000_s46939;mso-fit-shape-to-text:t" inset="0,0,0,0">
                  <w:txbxContent>
                    <w:p w:rsidR="00CB6FAE" w:rsidRDefault="00CB6FAE">
                      <w:r>
                        <w:rPr>
                          <w:rFonts w:ascii="Arial" w:hAnsi="Arial" w:cs="Arial"/>
                          <w:color w:val="000000"/>
                          <w:sz w:val="18"/>
                          <w:szCs w:val="18"/>
                        </w:rPr>
                        <w:t>.845100</w:t>
                      </w:r>
                    </w:p>
                  </w:txbxContent>
                </v:textbox>
              </v:rect>
              <v:rect id="_x0000_s46940" style="position:absolute;left:3757;top:4073;width:1109;height:303" stroked="f"/>
              <v:rect id="_x0000_s46941" style="position:absolute;left:4060;top:4102;width:651;height:207;mso-wrap-style:none" filled="f" stroked="f">
                <v:textbox style="mso-next-textbox:#_x0000_s46941;mso-fit-shape-to-text:t" inset="0,0,0,0">
                  <w:txbxContent>
                    <w:p w:rsidR="00CB6FAE" w:rsidRDefault="00CB6FAE">
                      <w:r>
                        <w:rPr>
                          <w:rFonts w:ascii="Arial" w:hAnsi="Arial" w:cs="Arial"/>
                          <w:color w:val="000000"/>
                          <w:sz w:val="18"/>
                          <w:szCs w:val="18"/>
                        </w:rPr>
                        <w:t>.525586</w:t>
                      </w:r>
                    </w:p>
                  </w:txbxContent>
                </v:textbox>
              </v:rect>
              <v:rect id="_x0000_s46942" style="position:absolute;left:4837;top:4073;width:1108;height:303" stroked="f"/>
              <v:rect id="_x0000_s46943" style="position:absolute;left:5139;top:4102;width:651;height:207;mso-wrap-style:none" filled="f" stroked="f">
                <v:textbox style="mso-next-textbox:#_x0000_s46943;mso-fit-shape-to-text:t" inset="0,0,0,0">
                  <w:txbxContent>
                    <w:p w:rsidR="00CB6FAE" w:rsidRDefault="00CB6FAE">
                      <w:r>
                        <w:rPr>
                          <w:rFonts w:ascii="Arial" w:hAnsi="Arial" w:cs="Arial"/>
                          <w:color w:val="000000"/>
                          <w:sz w:val="18"/>
                          <w:szCs w:val="18"/>
                        </w:rPr>
                        <w:t>.419843</w:t>
                      </w:r>
                    </w:p>
                  </w:txbxContent>
                </v:textbox>
              </v:rect>
              <v:rect id="_x0000_s46944" style="position:absolute;left:5916;top:4073;width:1109;height:303" stroked="f"/>
              <v:rect id="_x0000_s46945" style="position:absolute;left:6219;top:4102;width:651;height:207;mso-wrap-style:none" filled="f" stroked="f">
                <v:textbox style="mso-next-textbox:#_x0000_s46945;mso-fit-shape-to-text:t" inset="0,0,0,0">
                  <w:txbxContent>
                    <w:p w:rsidR="00CB6FAE" w:rsidRDefault="00CB6FAE">
                      <w:r>
                        <w:rPr>
                          <w:rFonts w:ascii="Arial" w:hAnsi="Arial" w:cs="Arial"/>
                          <w:color w:val="000000"/>
                          <w:sz w:val="18"/>
                          <w:szCs w:val="18"/>
                        </w:rPr>
                        <w:t>.596843</w:t>
                      </w:r>
                    </w:p>
                  </w:txbxContent>
                </v:textbox>
              </v:rect>
              <v:rect id="_x0000_s46946" style="position:absolute;left:2678;top:4347;width:1108;height:302" stroked="f"/>
              <v:rect id="_x0000_s46947" style="position:absolute;left:3455;top:4376;width:101;height:207;mso-wrap-style:none" filled="f" stroked="f">
                <v:textbox style="mso-next-textbox:#_x0000_s46947;mso-fit-shape-to-text:t" inset="0,0,0,0">
                  <w:txbxContent>
                    <w:p w:rsidR="00CB6FAE" w:rsidRDefault="00CB6FAE">
                      <w:r>
                        <w:rPr>
                          <w:rFonts w:ascii="Arial" w:hAnsi="Arial" w:cs="Arial"/>
                          <w:color w:val="000000"/>
                          <w:sz w:val="18"/>
                          <w:szCs w:val="18"/>
                        </w:rPr>
                        <w:t>7</w:t>
                      </w:r>
                    </w:p>
                  </w:txbxContent>
                </v:textbox>
              </v:rect>
              <v:rect id="_x0000_s46948" style="position:absolute;left:3757;top:4347;width:1109;height:302" stroked="f"/>
              <v:rect id="_x0000_s46949" style="position:absolute;left:4535;top:4376;width:101;height:207;mso-wrap-style:none" filled="f" stroked="f">
                <v:textbox style="mso-next-textbox:#_x0000_s46949;mso-fit-shape-to-text:t" inset="0,0,0,0">
                  <w:txbxContent>
                    <w:p w:rsidR="00CB6FAE" w:rsidRDefault="00CB6FAE">
                      <w:r>
                        <w:rPr>
                          <w:rFonts w:ascii="Arial" w:hAnsi="Arial" w:cs="Arial"/>
                          <w:color w:val="000000"/>
                          <w:sz w:val="18"/>
                          <w:szCs w:val="18"/>
                        </w:rPr>
                        <w:t>7</w:t>
                      </w:r>
                    </w:p>
                  </w:txbxContent>
                </v:textbox>
              </v:rect>
              <v:rect id="_x0000_s46950" style="position:absolute;left:4837;top:4347;width:1108;height:302" stroked="f"/>
              <v:rect id="_x0000_s46951" style="position:absolute;left:5614;top:4376;width:101;height:207;mso-wrap-style:none" filled="f" stroked="f">
                <v:textbox style="mso-next-textbox:#_x0000_s46951;mso-fit-shape-to-text:t" inset="0,0,0,0">
                  <w:txbxContent>
                    <w:p w:rsidR="00CB6FAE" w:rsidRDefault="00CB6FAE">
                      <w:r>
                        <w:rPr>
                          <w:rFonts w:ascii="Arial" w:hAnsi="Arial" w:cs="Arial"/>
                          <w:color w:val="000000"/>
                          <w:sz w:val="18"/>
                          <w:szCs w:val="18"/>
                        </w:rPr>
                        <w:t>7</w:t>
                      </w:r>
                    </w:p>
                  </w:txbxContent>
                </v:textbox>
              </v:rect>
              <v:rect id="_x0000_s46952" style="position:absolute;left:5916;top:4347;width:1109;height:302" stroked="f"/>
              <v:rect id="_x0000_s46953" style="position:absolute;left:6694;top:4376;width:101;height:207;mso-wrap-style:none" filled="f" stroked="f">
                <v:textbox style="mso-next-textbox:#_x0000_s46953;mso-fit-shape-to-text:t" inset="0,0,0,0">
                  <w:txbxContent>
                    <w:p w:rsidR="00CB6FAE" w:rsidRDefault="00CB6FAE">
                      <w:r>
                        <w:rPr>
                          <w:rFonts w:ascii="Arial" w:hAnsi="Arial" w:cs="Arial"/>
                          <w:color w:val="000000"/>
                          <w:sz w:val="18"/>
                          <w:szCs w:val="18"/>
                        </w:rPr>
                        <w:t>7</w:t>
                      </w:r>
                    </w:p>
                  </w:txbxContent>
                </v:textbox>
              </v:rect>
              <v:rect id="_x0000_s46954" style="position:absolute;left:2678;top:4620;width:1108;height:302" stroked="f"/>
              <v:rect id="_x0000_s46955" style="position:absolute;left:2980;top:4649;width:651;height:207;mso-wrap-style:none" filled="f" stroked="f">
                <v:textbox style="mso-next-textbox:#_x0000_s46955;mso-fit-shape-to-text:t" inset="0,0,0,0">
                  <w:txbxContent>
                    <w:p w:rsidR="00CB6FAE" w:rsidRDefault="00CB6FAE">
                      <w:r>
                        <w:rPr>
                          <w:rFonts w:ascii="Arial" w:hAnsi="Arial" w:cs="Arial"/>
                          <w:color w:val="000000"/>
                          <w:sz w:val="18"/>
                          <w:szCs w:val="18"/>
                        </w:rPr>
                        <w:t>.921914</w:t>
                      </w:r>
                    </w:p>
                  </w:txbxContent>
                </v:textbox>
              </v:rect>
              <v:rect id="_x0000_s46956" style="position:absolute;left:3757;top:4620;width:1109;height:302" stroked="f"/>
              <v:rect id="_x0000_s46957" style="position:absolute;left:4060;top:4649;width:651;height:207;mso-wrap-style:none" filled="f" stroked="f">
                <v:textbox style="mso-next-textbox:#_x0000_s46957;mso-fit-shape-to-text:t" inset="0,0,0,0">
                  <w:txbxContent>
                    <w:p w:rsidR="00CB6FAE" w:rsidRDefault="00CB6FAE">
                      <w:r>
                        <w:rPr>
                          <w:rFonts w:ascii="Arial" w:hAnsi="Arial" w:cs="Arial"/>
                          <w:color w:val="000000"/>
                          <w:sz w:val="18"/>
                          <w:szCs w:val="18"/>
                        </w:rPr>
                        <w:t>.667171</w:t>
                      </w:r>
                    </w:p>
                  </w:txbxContent>
                </v:textbox>
              </v:rect>
              <v:rect id="_x0000_s46958" style="position:absolute;left:4837;top:4620;width:1108;height:302" stroked="f"/>
              <v:rect id="_x0000_s46959" style="position:absolute;left:5139;top:4649;width:651;height:207;mso-wrap-style:none" filled="f" stroked="f">
                <v:textbox style="mso-next-textbox:#_x0000_s46959;mso-fit-shape-to-text:t" inset="0,0,0,0">
                  <w:txbxContent>
                    <w:p w:rsidR="00CB6FAE" w:rsidRDefault="00CB6FAE">
                      <w:r>
                        <w:rPr>
                          <w:rFonts w:ascii="Arial" w:hAnsi="Arial" w:cs="Arial"/>
                          <w:color w:val="000000"/>
                          <w:sz w:val="18"/>
                          <w:szCs w:val="18"/>
                        </w:rPr>
                        <w:t>.337300</w:t>
                      </w:r>
                    </w:p>
                  </w:txbxContent>
                </v:textbox>
              </v:rect>
              <v:rect id="_x0000_s46960" style="position:absolute;left:5916;top:4620;width:1109;height:302" stroked="f"/>
              <v:rect id="_x0000_s46961" style="position:absolute;left:6219;top:4649;width:651;height:207;mso-wrap-style:none" filled="f" stroked="f">
                <v:textbox style="mso-next-textbox:#_x0000_s46961;mso-fit-shape-to-text:t" inset="0,0,0,0">
                  <w:txbxContent>
                    <w:p w:rsidR="00CB6FAE" w:rsidRDefault="00CB6FAE">
                      <w:r>
                        <w:rPr>
                          <w:rFonts w:ascii="Arial" w:hAnsi="Arial" w:cs="Arial"/>
                          <w:color w:val="000000"/>
                          <w:sz w:val="18"/>
                          <w:szCs w:val="18"/>
                        </w:rPr>
                        <w:t>.642100</w:t>
                      </w:r>
                    </w:p>
                  </w:txbxContent>
                </v:textbox>
              </v:rect>
              <v:rect id="_x0000_s46962" style="position:absolute;left:2678;top:4894;width:1108;height:302" stroked="f"/>
              <v:rect id="_x0000_s46963" style="position:absolute;left:3455;top:4922;width:101;height:207;mso-wrap-style:none" filled="f" stroked="f">
                <v:textbox style="mso-next-textbox:#_x0000_s46963;mso-fit-shape-to-text:t" inset="0,0,0,0">
                  <w:txbxContent>
                    <w:p w:rsidR="00CB6FAE" w:rsidRDefault="00CB6FAE">
                      <w:r>
                        <w:rPr>
                          <w:rFonts w:ascii="Arial" w:hAnsi="Arial" w:cs="Arial"/>
                          <w:color w:val="000000"/>
                          <w:sz w:val="18"/>
                          <w:szCs w:val="18"/>
                        </w:rPr>
                        <w:t>7</w:t>
                      </w:r>
                    </w:p>
                  </w:txbxContent>
                </v:textbox>
              </v:rect>
              <v:rect id="_x0000_s46964" style="position:absolute;left:3757;top:4894;width:1109;height:302" stroked="f"/>
              <v:rect id="_x0000_s46965" style="position:absolute;left:4535;top:4922;width:101;height:207;mso-wrap-style:none" filled="f" stroked="f">
                <v:textbox style="mso-next-textbox:#_x0000_s46965;mso-fit-shape-to-text:t" inset="0,0,0,0">
                  <w:txbxContent>
                    <w:p w:rsidR="00CB6FAE" w:rsidRDefault="00CB6FAE">
                      <w:r>
                        <w:rPr>
                          <w:rFonts w:ascii="Arial" w:hAnsi="Arial" w:cs="Arial"/>
                          <w:color w:val="000000"/>
                          <w:sz w:val="18"/>
                          <w:szCs w:val="18"/>
                        </w:rPr>
                        <w:t>7</w:t>
                      </w:r>
                    </w:p>
                  </w:txbxContent>
                </v:textbox>
              </v:rect>
              <v:rect id="_x0000_s46966" style="position:absolute;left:4837;top:4894;width:1108;height:302" stroked="f"/>
              <v:rect id="_x0000_s46967" style="position:absolute;left:5614;top:4922;width:101;height:207;mso-wrap-style:none" filled="f" stroked="f">
                <v:textbox style="mso-next-textbox:#_x0000_s46967;mso-fit-shape-to-text:t" inset="0,0,0,0">
                  <w:txbxContent>
                    <w:p w:rsidR="00CB6FAE" w:rsidRDefault="00CB6FAE">
                      <w:r>
                        <w:rPr>
                          <w:rFonts w:ascii="Arial" w:hAnsi="Arial" w:cs="Arial"/>
                          <w:color w:val="000000"/>
                          <w:sz w:val="18"/>
                          <w:szCs w:val="18"/>
                        </w:rPr>
                        <w:t>7</w:t>
                      </w:r>
                    </w:p>
                  </w:txbxContent>
                </v:textbox>
              </v:rect>
              <v:rect id="_x0000_s46968" style="position:absolute;left:5916;top:4894;width:1109;height:302" stroked="f"/>
              <v:rect id="_x0000_s46969" style="position:absolute;left:6694;top:4922;width:101;height:207;mso-wrap-style:none" filled="f" stroked="f">
                <v:textbox style="mso-next-textbox:#_x0000_s46969;mso-fit-shape-to-text:t" inset="0,0,0,0">
                  <w:txbxContent>
                    <w:p w:rsidR="00CB6FAE" w:rsidRDefault="00CB6FAE">
                      <w:r>
                        <w:rPr>
                          <w:rFonts w:ascii="Arial" w:hAnsi="Arial" w:cs="Arial"/>
                          <w:color w:val="000000"/>
                          <w:sz w:val="18"/>
                          <w:szCs w:val="18"/>
                        </w:rPr>
                        <w:t>7</w:t>
                      </w:r>
                    </w:p>
                  </w:txbxContent>
                </v:textbox>
              </v:rect>
              <v:rect id="_x0000_s46970" style="position:absolute;left:2678;top:5167;width:1108;height:302" stroked="f"/>
              <v:rect id="_x0000_s46971" style="position:absolute;left:2980;top:5196;width:651;height:207;mso-wrap-style:none" filled="f" stroked="f">
                <v:textbox style="mso-next-textbox:#_x0000_s46971;mso-fit-shape-to-text:t" inset="0,0,0,0">
                  <w:txbxContent>
                    <w:p w:rsidR="00CB6FAE" w:rsidRDefault="00CB6FAE">
                      <w:r>
                        <w:rPr>
                          <w:rFonts w:ascii="Arial" w:hAnsi="Arial" w:cs="Arial"/>
                          <w:color w:val="000000"/>
                          <w:sz w:val="18"/>
                          <w:szCs w:val="18"/>
                        </w:rPr>
                        <w:t>.862533</w:t>
                      </w:r>
                    </w:p>
                  </w:txbxContent>
                </v:textbox>
              </v:rect>
              <v:rect id="_x0000_s46972" style="position:absolute;left:3757;top:5167;width:1109;height:302" stroked="f"/>
              <v:rect id="_x0000_s46973" style="position:absolute;left:4060;top:5196;width:651;height:207;mso-wrap-style:none" filled="f" stroked="f">
                <v:textbox style="mso-next-textbox:#_x0000_s46973;mso-fit-shape-to-text:t" inset="0,0,0,0">
                  <w:txbxContent>
                    <w:p w:rsidR="00CB6FAE" w:rsidRDefault="00CB6FAE">
                      <w:r>
                        <w:rPr>
                          <w:rFonts w:ascii="Arial" w:hAnsi="Arial" w:cs="Arial"/>
                          <w:color w:val="000000"/>
                          <w:sz w:val="18"/>
                          <w:szCs w:val="18"/>
                        </w:rPr>
                        <w:t>.434983</w:t>
                      </w:r>
                    </w:p>
                  </w:txbxContent>
                </v:textbox>
              </v:rect>
              <v:rect id="_x0000_s46974" style="position:absolute;left:4837;top:5167;width:1108;height:302" stroked="f"/>
              <v:rect id="_x0000_s46975" style="position:absolute;left:5139;top:5196;width:651;height:207;mso-wrap-style:none" filled="f" stroked="f">
                <v:textbox style="mso-next-textbox:#_x0000_s46975;mso-fit-shape-to-text:t" inset="0,0,0,0">
                  <w:txbxContent>
                    <w:p w:rsidR="00CB6FAE" w:rsidRDefault="00CB6FAE">
                      <w:r>
                        <w:rPr>
                          <w:rFonts w:ascii="Arial" w:hAnsi="Arial" w:cs="Arial"/>
                          <w:color w:val="000000"/>
                          <w:sz w:val="18"/>
                          <w:szCs w:val="18"/>
                        </w:rPr>
                        <w:t>.320833</w:t>
                      </w:r>
                    </w:p>
                  </w:txbxContent>
                </v:textbox>
              </v:rect>
              <v:rect id="_x0000_s46976" style="position:absolute;left:5916;top:5167;width:1109;height:302" stroked="f"/>
              <v:rect id="_x0000_s46977" style="position:absolute;left:6219;top:5196;width:651;height:207;mso-wrap-style:none" filled="f" stroked="f">
                <v:textbox style="mso-next-textbox:#_x0000_s46977;mso-fit-shape-to-text:t" inset="0,0,0,0">
                  <w:txbxContent>
                    <w:p w:rsidR="00CB6FAE" w:rsidRDefault="00CB6FAE">
                      <w:r>
                        <w:rPr>
                          <w:rFonts w:ascii="Arial" w:hAnsi="Arial" w:cs="Arial"/>
                          <w:color w:val="000000"/>
                          <w:sz w:val="18"/>
                          <w:szCs w:val="18"/>
                        </w:rPr>
                        <w:t>.539450</w:t>
                      </w:r>
                    </w:p>
                  </w:txbxContent>
                </v:textbox>
              </v:rect>
              <v:rect id="_x0000_s46978" style="position:absolute;left:2678;top:5441;width:1108;height:302" stroked="f"/>
              <v:rect id="_x0000_s46979" style="position:absolute;left:3368;top:5469;width:201;height:207;mso-wrap-style:none" filled="f" stroked="f">
                <v:textbox style="mso-next-textbox:#_x0000_s46979;mso-fit-shape-to-text:t" inset="0,0,0,0">
                  <w:txbxContent>
                    <w:p w:rsidR="00CB6FAE" w:rsidRDefault="00CB6FAE">
                      <w:r>
                        <w:rPr>
                          <w:rFonts w:ascii="Arial" w:hAnsi="Arial" w:cs="Arial"/>
                          <w:color w:val="000000"/>
                          <w:sz w:val="18"/>
                          <w:szCs w:val="18"/>
                        </w:rPr>
                        <w:t>12</w:t>
                      </w:r>
                    </w:p>
                  </w:txbxContent>
                </v:textbox>
              </v:rect>
              <v:rect id="_x0000_s46980" style="position:absolute;left:3757;top:5441;width:1109;height:302" stroked="f"/>
              <v:rect id="_x0000_s46981" style="position:absolute;left:4448;top:5469;width:201;height:207;mso-wrap-style:none" filled="f" stroked="f">
                <v:textbox style="mso-next-textbox:#_x0000_s46981;mso-fit-shape-to-text:t" inset="0,0,0,0">
                  <w:txbxContent>
                    <w:p w:rsidR="00CB6FAE" w:rsidRDefault="00CB6FAE">
                      <w:r>
                        <w:rPr>
                          <w:rFonts w:ascii="Arial" w:hAnsi="Arial" w:cs="Arial"/>
                          <w:color w:val="000000"/>
                          <w:sz w:val="18"/>
                          <w:szCs w:val="18"/>
                        </w:rPr>
                        <w:t>12</w:t>
                      </w:r>
                    </w:p>
                  </w:txbxContent>
                </v:textbox>
              </v:rect>
              <v:rect id="_x0000_s46982" style="position:absolute;left:4837;top:5441;width:1108;height:302" stroked="f"/>
              <v:rect id="_x0000_s46983" style="position:absolute;left:5527;top:5469;width:201;height:207;mso-wrap-style:none" filled="f" stroked="f">
                <v:textbox style="mso-next-textbox:#_x0000_s46983;mso-fit-shape-to-text:t" inset="0,0,0,0">
                  <w:txbxContent>
                    <w:p w:rsidR="00CB6FAE" w:rsidRDefault="00CB6FAE">
                      <w:r>
                        <w:rPr>
                          <w:rFonts w:ascii="Arial" w:hAnsi="Arial" w:cs="Arial"/>
                          <w:color w:val="000000"/>
                          <w:sz w:val="18"/>
                          <w:szCs w:val="18"/>
                        </w:rPr>
                        <w:t>12</w:t>
                      </w:r>
                    </w:p>
                  </w:txbxContent>
                </v:textbox>
              </v:rect>
              <v:rect id="_x0000_s46984" style="position:absolute;left:5916;top:5441;width:1109;height:302" stroked="f"/>
              <v:rect id="_x0000_s46985" style="position:absolute;left:6607;top:5469;width:201;height:207;mso-wrap-style:none" filled="f" stroked="f">
                <v:textbox style="mso-next-textbox:#_x0000_s46985;mso-fit-shape-to-text:t" inset="0,0,0,0">
                  <w:txbxContent>
                    <w:p w:rsidR="00CB6FAE" w:rsidRDefault="00CB6FAE">
                      <w:r>
                        <w:rPr>
                          <w:rFonts w:ascii="Arial" w:hAnsi="Arial" w:cs="Arial"/>
                          <w:color w:val="000000"/>
                          <w:sz w:val="18"/>
                          <w:szCs w:val="18"/>
                        </w:rPr>
                        <w:t>12</w:t>
                      </w:r>
                    </w:p>
                  </w:txbxContent>
                </v:textbox>
              </v:rect>
              <v:rect id="_x0000_s46986" style="position:absolute;left:2678;top:5714;width:1108;height:302" stroked="f"/>
              <v:rect id="_x0000_s46987" style="position:absolute;left:2980;top:5743;width:651;height:207;mso-wrap-style:none" filled="f" stroked="f">
                <v:textbox style="mso-next-textbox:#_x0000_s46987;mso-fit-shape-to-text:t" inset="0,0,0,0">
                  <w:txbxContent>
                    <w:p w:rsidR="00CB6FAE" w:rsidRDefault="00CB6FAE">
                      <w:r>
                        <w:rPr>
                          <w:rFonts w:ascii="Arial" w:hAnsi="Arial" w:cs="Arial"/>
                          <w:color w:val="000000"/>
                          <w:sz w:val="18"/>
                          <w:szCs w:val="18"/>
                        </w:rPr>
                        <w:t>.883511</w:t>
                      </w:r>
                    </w:p>
                  </w:txbxContent>
                </v:textbox>
              </v:rect>
              <v:rect id="_x0000_s46988" style="position:absolute;left:3757;top:5714;width:1109;height:302" stroked="f"/>
              <v:rect id="_x0000_s46989" style="position:absolute;left:4060;top:5743;width:651;height:207;mso-wrap-style:none" filled="f" stroked="f">
                <v:textbox style="mso-next-textbox:#_x0000_s46989;mso-fit-shape-to-text:t" inset="0,0,0,0">
                  <w:txbxContent>
                    <w:p w:rsidR="00CB6FAE" w:rsidRDefault="00CB6FAE">
                      <w:r>
                        <w:rPr>
                          <w:rFonts w:ascii="Arial" w:hAnsi="Arial" w:cs="Arial"/>
                          <w:color w:val="000000"/>
                          <w:sz w:val="18"/>
                          <w:szCs w:val="18"/>
                        </w:rPr>
                        <w:t>.550631</w:t>
                      </w:r>
                    </w:p>
                  </w:txbxContent>
                </v:textbox>
              </v:rect>
              <v:rect id="_x0000_s46990" style="position:absolute;left:4837;top:5714;width:1108;height:302" stroked="f"/>
              <v:rect id="_x0000_s46991" style="position:absolute;left:5139;top:5743;width:651;height:207;mso-wrap-style:none" filled="f" stroked="f">
                <v:textbox style="mso-next-textbox:#_x0000_s46991;mso-fit-shape-to-text:t" inset="0,0,0,0">
                  <w:txbxContent>
                    <w:p w:rsidR="00CB6FAE" w:rsidRDefault="00CB6FAE">
                      <w:r>
                        <w:rPr>
                          <w:rFonts w:ascii="Arial" w:hAnsi="Arial" w:cs="Arial"/>
                          <w:color w:val="000000"/>
                          <w:sz w:val="18"/>
                          <w:szCs w:val="18"/>
                        </w:rPr>
                        <w:t>.374013</w:t>
                      </w:r>
                    </w:p>
                  </w:txbxContent>
                </v:textbox>
              </v:rect>
              <v:rect id="_x0000_s46992" style="position:absolute;left:5916;top:5714;width:1109;height:302" stroked="f"/>
              <v:rect id="_x0000_s46993" style="position:absolute;left:6219;top:5743;width:651;height:207;mso-wrap-style:none" filled="f" stroked="f">
                <v:textbox style="mso-next-textbox:#_x0000_s46993;mso-fit-shape-to-text:t" inset="0,0,0,0">
                  <w:txbxContent>
                    <w:p w:rsidR="00CB6FAE" w:rsidRDefault="00CB6FAE">
                      <w:r>
                        <w:rPr>
                          <w:rFonts w:ascii="Arial" w:hAnsi="Arial" w:cs="Arial"/>
                          <w:color w:val="000000"/>
                          <w:sz w:val="18"/>
                          <w:szCs w:val="18"/>
                        </w:rPr>
                        <w:t>.602714</w:t>
                      </w:r>
                    </w:p>
                  </w:txbxContent>
                </v:textbox>
              </v:rect>
              <v:rect id="_x0000_s46994" style="position:absolute;left:2678;top:5988;width:1108;height:302" stroked="f"/>
              <v:rect id="_x0000_s46995" style="position:absolute;left:3368;top:6016;width:201;height:207;mso-wrap-style:none" filled="f" stroked="f">
                <v:textbox style="mso-next-textbox:#_x0000_s46995;mso-fit-shape-to-text:t" inset="0,0,0,0">
                  <w:txbxContent>
                    <w:p w:rsidR="00CB6FAE" w:rsidRDefault="00CB6FAE">
                      <w:r>
                        <w:rPr>
                          <w:rFonts w:ascii="Arial" w:hAnsi="Arial" w:cs="Arial"/>
                          <w:color w:val="000000"/>
                          <w:sz w:val="18"/>
                          <w:szCs w:val="18"/>
                        </w:rPr>
                        <w:t>90</w:t>
                      </w:r>
                    </w:p>
                  </w:txbxContent>
                </v:textbox>
              </v:rect>
              <v:rect id="_x0000_s46996" style="position:absolute;left:3757;top:5988;width:1109;height:302" stroked="f"/>
              <v:rect id="_x0000_s46997" style="position:absolute;left:4448;top:6016;width:201;height:207;mso-wrap-style:none" filled="f" stroked="f">
                <v:textbox style="mso-next-textbox:#_x0000_s46997;mso-fit-shape-to-text:t" inset="0,0,0,0">
                  <w:txbxContent>
                    <w:p w:rsidR="00CB6FAE" w:rsidRDefault="00CB6FAE">
                      <w:r>
                        <w:rPr>
                          <w:rFonts w:ascii="Arial" w:hAnsi="Arial" w:cs="Arial"/>
                          <w:color w:val="000000"/>
                          <w:sz w:val="18"/>
                          <w:szCs w:val="18"/>
                        </w:rPr>
                        <w:t>90</w:t>
                      </w:r>
                    </w:p>
                  </w:txbxContent>
                </v:textbox>
              </v:rect>
              <v:rect id="_x0000_s46998" style="position:absolute;left:4837;top:5988;width:1108;height:302" stroked="f"/>
              <v:rect id="_x0000_s46999" style="position:absolute;left:5527;top:6016;width:201;height:207;mso-wrap-style:none" filled="f" stroked="f">
                <v:textbox style="mso-next-textbox:#_x0000_s46999;mso-fit-shape-to-text:t" inset="0,0,0,0">
                  <w:txbxContent>
                    <w:p w:rsidR="00CB6FAE" w:rsidRDefault="00CB6FAE">
                      <w:r>
                        <w:rPr>
                          <w:rFonts w:ascii="Arial" w:hAnsi="Arial" w:cs="Arial"/>
                          <w:color w:val="000000"/>
                          <w:sz w:val="18"/>
                          <w:szCs w:val="18"/>
                        </w:rPr>
                        <w:t>90</w:t>
                      </w:r>
                    </w:p>
                  </w:txbxContent>
                </v:textbox>
              </v:rect>
              <v:rect id="_x0000_s47000" style="position:absolute;left:5916;top:5988;width:1109;height:302" stroked="f"/>
              <v:rect id="_x0000_s47001" style="position:absolute;left:6607;top:6016;width:201;height:207;mso-wrap-style:none" filled="f" stroked="f">
                <v:textbox style="mso-next-textbox:#_x0000_s47001;mso-fit-shape-to-text:t" inset="0,0,0,0">
                  <w:txbxContent>
                    <w:p w:rsidR="00CB6FAE" w:rsidRDefault="00CB6FAE">
                      <w:r>
                        <w:rPr>
                          <w:rFonts w:ascii="Arial" w:hAnsi="Arial" w:cs="Arial"/>
                          <w:color w:val="000000"/>
                          <w:sz w:val="18"/>
                          <w:szCs w:val="18"/>
                        </w:rPr>
                        <w:t>90</w:t>
                      </w:r>
                    </w:p>
                  </w:txbxContent>
                </v:textbox>
              </v:rect>
              <v:rect id="_x0000_s47002" style="position:absolute;left:1958;top:518;width:748;height:302" stroked="f"/>
              <v:rect id="_x0000_s47003" style="position:absolute;left:1958;top:792;width:748;height:302" stroked="f"/>
              <v:rect id="_x0000_s47004" style="position:absolute;left:2073;top:806;width:451;height:207;mso-wrap-style:none" filled="f" stroked="f">
                <v:textbox style="mso-next-textbox:#_x0000_s47004;mso-fit-shape-to-text:t" inset="0,0,0,0">
                  <w:txbxContent>
                    <w:p w:rsidR="00CB6FAE" w:rsidRDefault="00CB6FAE">
                      <w:r>
                        <w:rPr>
                          <w:rFonts w:ascii="Arial" w:hAnsi="Arial" w:cs="Arial"/>
                          <w:color w:val="000000"/>
                          <w:sz w:val="18"/>
                          <w:szCs w:val="18"/>
                        </w:rPr>
                        <w:t>Mean</w:t>
                      </w:r>
                    </w:p>
                  </w:txbxContent>
                </v:textbox>
              </v:rect>
              <v:rect id="_x0000_s47005" style="position:absolute;left:1958;top:1065;width:748;height:302" stroked="f"/>
              <v:rect id="_x0000_s47006" style="position:absolute;left:2073;top:1079;width:130;height:207;mso-wrap-style:none" filled="f" stroked="f">
                <v:textbox style="mso-next-textbox:#_x0000_s47006;mso-fit-shape-to-text:t" inset="0,0,0,0">
                  <w:txbxContent>
                    <w:p w:rsidR="00CB6FAE" w:rsidRDefault="00CB6FAE">
                      <w:r>
                        <w:rPr>
                          <w:rFonts w:ascii="Arial" w:hAnsi="Arial" w:cs="Arial"/>
                          <w:color w:val="000000"/>
                          <w:sz w:val="18"/>
                          <w:szCs w:val="18"/>
                        </w:rPr>
                        <w:t>N</w:t>
                      </w:r>
                    </w:p>
                  </w:txbxContent>
                </v:textbox>
              </v:rect>
              <v:rect id="_x0000_s47007" style="position:absolute;left:1958;top:1339;width:748;height:302" stroked="f"/>
              <v:rect id="_x0000_s47008" style="position:absolute;left:2073;top:1353;width:451;height:207;mso-wrap-style:none" filled="f" stroked="f">
                <v:textbox style="mso-next-textbox:#_x0000_s47008;mso-fit-shape-to-text:t" inset="0,0,0,0">
                  <w:txbxContent>
                    <w:p w:rsidR="00CB6FAE" w:rsidRDefault="00CB6FAE">
                      <w:r>
                        <w:rPr>
                          <w:rFonts w:ascii="Arial" w:hAnsi="Arial" w:cs="Arial"/>
                          <w:color w:val="000000"/>
                          <w:sz w:val="18"/>
                          <w:szCs w:val="18"/>
                        </w:rPr>
                        <w:t>Mean</w:t>
                      </w:r>
                    </w:p>
                  </w:txbxContent>
                </v:textbox>
              </v:rect>
              <v:rect id="_x0000_s47009" style="position:absolute;left:1958;top:1612;width:748;height:302" stroked="f"/>
              <v:rect id="_x0000_s47010" style="position:absolute;left:2073;top:1626;width:130;height:207;mso-wrap-style:none" filled="f" stroked="f">
                <v:textbox style="mso-next-textbox:#_x0000_s47010;mso-fit-shape-to-text:t" inset="0,0,0,0">
                  <w:txbxContent>
                    <w:p w:rsidR="00CB6FAE" w:rsidRDefault="00CB6FAE">
                      <w:r>
                        <w:rPr>
                          <w:rFonts w:ascii="Arial" w:hAnsi="Arial" w:cs="Arial"/>
                          <w:color w:val="000000"/>
                          <w:sz w:val="18"/>
                          <w:szCs w:val="18"/>
                        </w:rPr>
                        <w:t>N</w:t>
                      </w:r>
                    </w:p>
                  </w:txbxContent>
                </v:textbox>
              </v:rect>
              <v:rect id="_x0000_s47011" style="position:absolute;left:1958;top:1886;width:748;height:302" stroked="f"/>
              <v:rect id="_x0000_s47012" style="position:absolute;left:2073;top:1900;width:451;height:207;mso-wrap-style:none" filled="f" stroked="f">
                <v:textbox style="mso-next-textbox:#_x0000_s47012;mso-fit-shape-to-text:t" inset="0,0,0,0">
                  <w:txbxContent>
                    <w:p w:rsidR="00CB6FAE" w:rsidRDefault="00CB6FAE">
                      <w:r>
                        <w:rPr>
                          <w:rFonts w:ascii="Arial" w:hAnsi="Arial" w:cs="Arial"/>
                          <w:color w:val="000000"/>
                          <w:sz w:val="18"/>
                          <w:szCs w:val="18"/>
                        </w:rPr>
                        <w:t>Mean</w:t>
                      </w:r>
                    </w:p>
                  </w:txbxContent>
                </v:textbox>
              </v:rect>
              <v:rect id="_x0000_s47013" style="position:absolute;left:1958;top:2159;width:748;height:302" stroked="f"/>
              <v:rect id="_x0000_s47014" style="position:absolute;left:2073;top:2173;width:130;height:207;mso-wrap-style:none" filled="f" stroked="f">
                <v:textbox style="mso-next-textbox:#_x0000_s47014;mso-fit-shape-to-text:t" inset="0,0,0,0">
                  <w:txbxContent>
                    <w:p w:rsidR="00CB6FAE" w:rsidRDefault="00CB6FAE">
                      <w:r>
                        <w:rPr>
                          <w:rFonts w:ascii="Arial" w:hAnsi="Arial" w:cs="Arial"/>
                          <w:color w:val="000000"/>
                          <w:sz w:val="18"/>
                          <w:szCs w:val="18"/>
                        </w:rPr>
                        <w:t>N</w:t>
                      </w:r>
                    </w:p>
                  </w:txbxContent>
                </v:textbox>
              </v:rect>
              <v:rect id="_x0000_s47015" style="position:absolute;left:1958;top:2432;width:748;height:303" stroked="f"/>
              <v:rect id="_x0000_s47016" style="position:absolute;left:2073;top:2447;width:451;height:207;mso-wrap-style:none" filled="f" stroked="f">
                <v:textbox style="mso-next-textbox:#_x0000_s47016;mso-fit-shape-to-text:t" inset="0,0,0,0">
                  <w:txbxContent>
                    <w:p w:rsidR="00CB6FAE" w:rsidRDefault="00CB6FAE">
                      <w:r>
                        <w:rPr>
                          <w:rFonts w:ascii="Arial" w:hAnsi="Arial" w:cs="Arial"/>
                          <w:color w:val="000000"/>
                          <w:sz w:val="18"/>
                          <w:szCs w:val="18"/>
                        </w:rPr>
                        <w:t>Mean</w:t>
                      </w:r>
                    </w:p>
                  </w:txbxContent>
                </v:textbox>
              </v:rect>
              <v:rect id="_x0000_s47017" style="position:absolute;left:1958;top:2706;width:748;height:302" stroked="f"/>
              <v:rect id="_x0000_s47018" style="position:absolute;left:2073;top:2720;width:130;height:207;mso-wrap-style:none" filled="f" stroked="f">
                <v:textbox style="mso-next-textbox:#_x0000_s47018;mso-fit-shape-to-text:t" inset="0,0,0,0">
                  <w:txbxContent>
                    <w:p w:rsidR="00CB6FAE" w:rsidRDefault="00CB6FAE">
                      <w:r>
                        <w:rPr>
                          <w:rFonts w:ascii="Arial" w:hAnsi="Arial" w:cs="Arial"/>
                          <w:color w:val="000000"/>
                          <w:sz w:val="18"/>
                          <w:szCs w:val="18"/>
                        </w:rPr>
                        <w:t>N</w:t>
                      </w:r>
                    </w:p>
                  </w:txbxContent>
                </v:textbox>
              </v:rect>
              <v:rect id="_x0000_s47019" style="position:absolute;left:1958;top:2979;width:748;height:303" stroked="f"/>
              <v:rect id="_x0000_s47020" style="position:absolute;left:2073;top:2994;width:451;height:207;mso-wrap-style:none" filled="f" stroked="f">
                <v:textbox style="mso-next-textbox:#_x0000_s47020;mso-fit-shape-to-text:t" inset="0,0,0,0">
                  <w:txbxContent>
                    <w:p w:rsidR="00CB6FAE" w:rsidRDefault="00CB6FAE">
                      <w:r>
                        <w:rPr>
                          <w:rFonts w:ascii="Arial" w:hAnsi="Arial" w:cs="Arial"/>
                          <w:color w:val="000000"/>
                          <w:sz w:val="18"/>
                          <w:szCs w:val="18"/>
                        </w:rPr>
                        <w:t>Mean</w:t>
                      </w:r>
                    </w:p>
                  </w:txbxContent>
                </v:textbox>
              </v:rect>
              <v:rect id="_x0000_s47021" style="position:absolute;left:1958;top:3253;width:748;height:302" stroked="f"/>
              <v:rect id="_x0000_s47022" style="position:absolute;left:2073;top:3267;width:130;height:207;mso-wrap-style:none" filled="f" stroked="f">
                <v:textbox style="mso-next-textbox:#_x0000_s47022;mso-fit-shape-to-text:t" inset="0,0,0,0">
                  <w:txbxContent>
                    <w:p w:rsidR="00CB6FAE" w:rsidRDefault="00CB6FAE">
                      <w:r>
                        <w:rPr>
                          <w:rFonts w:ascii="Arial" w:hAnsi="Arial" w:cs="Arial"/>
                          <w:color w:val="000000"/>
                          <w:sz w:val="18"/>
                          <w:szCs w:val="18"/>
                        </w:rPr>
                        <w:t>N</w:t>
                      </w:r>
                    </w:p>
                  </w:txbxContent>
                </v:textbox>
              </v:rect>
              <v:rect id="_x0000_s47023" style="position:absolute;left:1958;top:3526;width:748;height:303" stroked="f"/>
              <v:rect id="_x0000_s47024" style="position:absolute;left:2073;top:3541;width:451;height:207;mso-wrap-style:none" filled="f" stroked="f">
                <v:textbox style="mso-next-textbox:#_x0000_s47024;mso-fit-shape-to-text:t" inset="0,0,0,0">
                  <w:txbxContent>
                    <w:p w:rsidR="00CB6FAE" w:rsidRDefault="00CB6FAE">
                      <w:r>
                        <w:rPr>
                          <w:rFonts w:ascii="Arial" w:hAnsi="Arial" w:cs="Arial"/>
                          <w:color w:val="000000"/>
                          <w:sz w:val="18"/>
                          <w:szCs w:val="18"/>
                        </w:rPr>
                        <w:t>Mean</w:t>
                      </w:r>
                    </w:p>
                  </w:txbxContent>
                </v:textbox>
              </v:rect>
              <v:rect id="_x0000_s47025" style="position:absolute;left:1958;top:3800;width:748;height:302" stroked="f"/>
              <v:rect id="_x0000_s47026" style="position:absolute;left:2073;top:3814;width:130;height:207;mso-wrap-style:none" filled="f" stroked="f">
                <v:textbox style="mso-next-textbox:#_x0000_s47026;mso-fit-shape-to-text:t" inset="0,0,0,0">
                  <w:txbxContent>
                    <w:p w:rsidR="00CB6FAE" w:rsidRDefault="00CB6FAE">
                      <w:r>
                        <w:rPr>
                          <w:rFonts w:ascii="Arial" w:hAnsi="Arial" w:cs="Arial"/>
                          <w:color w:val="000000"/>
                          <w:sz w:val="18"/>
                          <w:szCs w:val="18"/>
                        </w:rPr>
                        <w:t>N</w:t>
                      </w:r>
                    </w:p>
                  </w:txbxContent>
                </v:textbox>
              </v:rect>
              <v:rect id="_x0000_s47027" style="position:absolute;left:1958;top:4073;width:748;height:303" stroked="f"/>
              <v:rect id="_x0000_s47028" style="position:absolute;left:2073;top:4088;width:451;height:207;mso-wrap-style:none" filled="f" stroked="f">
                <v:textbox style="mso-next-textbox:#_x0000_s47028;mso-fit-shape-to-text:t" inset="0,0,0,0">
                  <w:txbxContent>
                    <w:p w:rsidR="00CB6FAE" w:rsidRDefault="00CB6FAE">
                      <w:r>
                        <w:rPr>
                          <w:rFonts w:ascii="Arial" w:hAnsi="Arial" w:cs="Arial"/>
                          <w:color w:val="000000"/>
                          <w:sz w:val="18"/>
                          <w:szCs w:val="18"/>
                        </w:rPr>
                        <w:t>Mean</w:t>
                      </w:r>
                    </w:p>
                  </w:txbxContent>
                </v:textbox>
              </v:rect>
              <v:rect id="_x0000_s47029" style="position:absolute;left:1958;top:4347;width:748;height:302" stroked="f"/>
              <v:rect id="_x0000_s47030" style="position:absolute;left:2073;top:4361;width:130;height:207;mso-wrap-style:none" filled="f" stroked="f">
                <v:textbox style="mso-next-textbox:#_x0000_s47030;mso-fit-shape-to-text:t" inset="0,0,0,0">
                  <w:txbxContent>
                    <w:p w:rsidR="00CB6FAE" w:rsidRDefault="00CB6FAE">
                      <w:r>
                        <w:rPr>
                          <w:rFonts w:ascii="Arial" w:hAnsi="Arial" w:cs="Arial"/>
                          <w:color w:val="000000"/>
                          <w:sz w:val="18"/>
                          <w:szCs w:val="18"/>
                        </w:rPr>
                        <w:t>N</w:t>
                      </w:r>
                    </w:p>
                  </w:txbxContent>
                </v:textbox>
              </v:rect>
              <v:rect id="_x0000_s47031" style="position:absolute;left:1958;top:4620;width:748;height:302" stroked="f"/>
              <v:rect id="_x0000_s47032" style="position:absolute;left:2073;top:4635;width:451;height:207;mso-wrap-style:none" filled="f" stroked="f">
                <v:textbox style="mso-next-textbox:#_x0000_s47032;mso-fit-shape-to-text:t" inset="0,0,0,0">
                  <w:txbxContent>
                    <w:p w:rsidR="00CB6FAE" w:rsidRDefault="00CB6FAE">
                      <w:r>
                        <w:rPr>
                          <w:rFonts w:ascii="Arial" w:hAnsi="Arial" w:cs="Arial"/>
                          <w:color w:val="000000"/>
                          <w:sz w:val="18"/>
                          <w:szCs w:val="18"/>
                        </w:rPr>
                        <w:t>Mean</w:t>
                      </w:r>
                    </w:p>
                  </w:txbxContent>
                </v:textbox>
              </v:rect>
              <v:rect id="_x0000_s47033" style="position:absolute;left:1958;top:4894;width:748;height:302" stroked="f"/>
              <v:rect id="_x0000_s47034" style="position:absolute;left:2073;top:4908;width:130;height:207;mso-wrap-style:none" filled="f" stroked="f">
                <v:textbox style="mso-next-textbox:#_x0000_s47034;mso-fit-shape-to-text:t" inset="0,0,0,0">
                  <w:txbxContent>
                    <w:p w:rsidR="00CB6FAE" w:rsidRDefault="00CB6FAE">
                      <w:r>
                        <w:rPr>
                          <w:rFonts w:ascii="Arial" w:hAnsi="Arial" w:cs="Arial"/>
                          <w:color w:val="000000"/>
                          <w:sz w:val="18"/>
                          <w:szCs w:val="18"/>
                        </w:rPr>
                        <w:t>N</w:t>
                      </w:r>
                    </w:p>
                  </w:txbxContent>
                </v:textbox>
              </v:rect>
              <v:rect id="_x0000_s47035" style="position:absolute;left:1958;top:5167;width:748;height:302" stroked="f"/>
              <v:rect id="_x0000_s47036" style="position:absolute;left:2073;top:5182;width:451;height:207;mso-wrap-style:none" filled="f" stroked="f">
                <v:textbox style="mso-next-textbox:#_x0000_s47036;mso-fit-shape-to-text:t" inset="0,0,0,0">
                  <w:txbxContent>
                    <w:p w:rsidR="00CB6FAE" w:rsidRDefault="00CB6FAE">
                      <w:r>
                        <w:rPr>
                          <w:rFonts w:ascii="Arial" w:hAnsi="Arial" w:cs="Arial"/>
                          <w:color w:val="000000"/>
                          <w:sz w:val="18"/>
                          <w:szCs w:val="18"/>
                        </w:rPr>
                        <w:t>Mean</w:t>
                      </w:r>
                    </w:p>
                  </w:txbxContent>
                </v:textbox>
              </v:rect>
              <v:rect id="_x0000_s47037" style="position:absolute;left:1958;top:5441;width:748;height:302" stroked="f"/>
              <v:rect id="_x0000_s47038" style="position:absolute;left:2073;top:5455;width:130;height:207;mso-wrap-style:none" filled="f" stroked="f">
                <v:textbox style="mso-next-textbox:#_x0000_s47038;mso-fit-shape-to-text:t" inset="0,0,0,0">
                  <w:txbxContent>
                    <w:p w:rsidR="00CB6FAE" w:rsidRDefault="00CB6FAE">
                      <w:r>
                        <w:rPr>
                          <w:rFonts w:ascii="Arial" w:hAnsi="Arial" w:cs="Arial"/>
                          <w:color w:val="000000"/>
                          <w:sz w:val="18"/>
                          <w:szCs w:val="18"/>
                        </w:rPr>
                        <w:t>N</w:t>
                      </w:r>
                    </w:p>
                  </w:txbxContent>
                </v:textbox>
              </v:rect>
              <v:rect id="_x0000_s47039" style="position:absolute;left:1958;top:5714;width:748;height:302" stroked="f"/>
            </v:group>
            <v:rect id="_x0000_s47041" style="position:absolute;left:2073;top:5729;width:451;height:207;mso-wrap-style:none" filled="f" stroked="f">
              <v:textbox style="mso-next-textbox:#_x0000_s47041;mso-fit-shape-to-text:t" inset="0,0,0,0">
                <w:txbxContent>
                  <w:p w:rsidR="00CB6FAE" w:rsidRDefault="00CB6FAE">
                    <w:r>
                      <w:rPr>
                        <w:rFonts w:ascii="Arial" w:hAnsi="Arial" w:cs="Arial"/>
                        <w:color w:val="000000"/>
                        <w:sz w:val="18"/>
                        <w:szCs w:val="18"/>
                      </w:rPr>
                      <w:t>Mean</w:t>
                    </w:r>
                  </w:p>
                </w:txbxContent>
              </v:textbox>
            </v:rect>
            <v:rect id="_x0000_s47042" style="position:absolute;left:1958;top:5988;width:748;height:302" stroked="f"/>
            <v:rect id="_x0000_s47043" style="position:absolute;left:2073;top:6002;width:130;height:207;mso-wrap-style:none" filled="f" stroked="f">
              <v:textbox style="mso-next-textbox:#_x0000_s47043;mso-fit-shape-to-text:t" inset="0,0,0,0">
                <w:txbxContent>
                  <w:p w:rsidR="00CB6FAE" w:rsidRDefault="00CB6FAE">
                    <w:r>
                      <w:rPr>
                        <w:rFonts w:ascii="Arial" w:hAnsi="Arial" w:cs="Arial"/>
                        <w:color w:val="000000"/>
                        <w:sz w:val="18"/>
                        <w:szCs w:val="18"/>
                      </w:rPr>
                      <w:t>N</w:t>
                    </w:r>
                  </w:p>
                </w:txbxContent>
              </v:textbox>
            </v:rect>
            <v:rect id="_x0000_s47044" style="position:absolute;left:144;top:518;width:1843;height:302" stroked="f"/>
            <v:rect id="_x0000_s47045" style="position:absolute;left:259;top:562;width:521;height:207;mso-wrap-style:none" filled="f" stroked="f">
              <v:textbox style="mso-next-textbox:#_x0000_s47045;mso-fit-shape-to-text:t" inset="0,0,0,0">
                <w:txbxContent>
                  <w:p w:rsidR="00CB6FAE" w:rsidRDefault="00CB6FAE">
                    <w:r>
                      <w:rPr>
                        <w:rFonts w:ascii="Arial" w:hAnsi="Arial" w:cs="Arial"/>
                        <w:color w:val="000000"/>
                        <w:sz w:val="18"/>
                        <w:szCs w:val="18"/>
                      </w:rPr>
                      <w:t>Sector</w:t>
                    </w:r>
                  </w:p>
                </w:txbxContent>
              </v:textbox>
            </v:rect>
            <v:rect id="_x0000_s47046" style="position:absolute;left:144;top:792;width:1843;height:575" stroked="f"/>
            <v:rect id="_x0000_s47047" style="position:absolute;left:259;top:806;width:1291;height:207;mso-wrap-style:none" filled="f" stroked="f">
              <v:textbox style="mso-next-textbox:#_x0000_s47047;mso-fit-shape-to-text:t" inset="0,0,0,0">
                <w:txbxContent>
                  <w:p w:rsidR="00CB6FAE" w:rsidRDefault="00CB6FAE">
                    <w:r>
                      <w:rPr>
                        <w:rFonts w:ascii="Arial" w:hAnsi="Arial" w:cs="Arial"/>
                        <w:color w:val="000000"/>
                        <w:sz w:val="18"/>
                        <w:szCs w:val="18"/>
                      </w:rPr>
                      <w:t>AGRICULTURE</w:t>
                    </w:r>
                  </w:p>
                </w:txbxContent>
              </v:textbox>
            </v:rect>
            <v:rect id="_x0000_s47048" style="position:absolute;left:144;top:1339;width:1843;height:575" stroked="f"/>
            <v:rect id="_x0000_s47049" style="position:absolute;left:259;top:1353;width:1580;height:207;mso-wrap-style:none" filled="f" stroked="f">
              <v:textbox style="mso-next-textbox:#_x0000_s47049;mso-fit-shape-to-text:t" inset="0,0,0,0">
                <w:txbxContent>
                  <w:p w:rsidR="00CB6FAE" w:rsidRDefault="00CB6FAE">
                    <w:r>
                      <w:rPr>
                        <w:rFonts w:ascii="Arial" w:hAnsi="Arial" w:cs="Arial"/>
                        <w:color w:val="000000"/>
                        <w:sz w:val="18"/>
                        <w:szCs w:val="18"/>
                      </w:rPr>
                      <w:t>MANUFACTURING</w:t>
                    </w:r>
                  </w:p>
                </w:txbxContent>
              </v:textbox>
            </v:rect>
            <v:rect id="_x0000_s47050" style="position:absolute;left:144;top:1886;width:1843;height:575" stroked="f"/>
            <v:rect id="_x0000_s47051" style="position:absolute;left:259;top:1900;width:811;height:207;mso-wrap-style:none" filled="f" stroked="f">
              <v:textbox style="mso-next-textbox:#_x0000_s47051;mso-fit-shape-to-text:t" inset="0,0,0,0">
                <w:txbxContent>
                  <w:p w:rsidR="00CB6FAE" w:rsidRDefault="00CB6FAE">
                    <w:r>
                      <w:rPr>
                        <w:rFonts w:ascii="Arial" w:hAnsi="Arial" w:cs="Arial"/>
                        <w:color w:val="000000"/>
                        <w:sz w:val="18"/>
                        <w:szCs w:val="18"/>
                      </w:rPr>
                      <w:t>BANKING</w:t>
                    </w:r>
                  </w:p>
                </w:txbxContent>
              </v:textbox>
            </v:rect>
            <v:rect id="_x0000_s47052" style="position:absolute;left:144;top:2432;width:1843;height:576" stroked="f"/>
            <v:rect id="_x0000_s47053" style="position:absolute;left:259;top:2447;width:1451;height:207;mso-wrap-style:none" filled="f" stroked="f">
              <v:textbox style="mso-next-textbox:#_x0000_s47053;mso-fit-shape-to-text:t" inset="0,0,0,0">
                <w:txbxContent>
                  <w:p w:rsidR="00CB6FAE" w:rsidRDefault="00CB6FAE">
                    <w:r>
                      <w:rPr>
                        <w:rFonts w:ascii="Arial" w:hAnsi="Arial" w:cs="Arial"/>
                        <w:color w:val="000000"/>
                        <w:sz w:val="18"/>
                        <w:szCs w:val="18"/>
                      </w:rPr>
                      <w:t>FOOD &amp; HEALTH</w:t>
                    </w:r>
                  </w:p>
                </w:txbxContent>
              </v:textbox>
            </v:rect>
            <v:rect id="_x0000_s47054" style="position:absolute;left:144;top:2979;width:1843;height:576" stroked="f"/>
            <v:rect id="_x0000_s47055" style="position:absolute;left:259;top:2994;width:1281;height:207;mso-wrap-style:none" filled="f" stroked="f">
              <v:textbox style="mso-next-textbox:#_x0000_s47055;mso-fit-shape-to-text:t" inset="0,0,0,0">
                <w:txbxContent>
                  <w:p w:rsidR="00CB6FAE" w:rsidRDefault="00CB6FAE">
                    <w:r>
                      <w:rPr>
                        <w:rFonts w:ascii="Arial" w:hAnsi="Arial" w:cs="Arial"/>
                        <w:color w:val="000000"/>
                        <w:sz w:val="18"/>
                        <w:szCs w:val="18"/>
                      </w:rPr>
                      <w:t>BUILDING AND</w:t>
                    </w:r>
                  </w:p>
                </w:txbxContent>
              </v:textbox>
            </v:rect>
            <v:rect id="_x0000_s47056" style="position:absolute;left:259;top:3224;width:1450;height:207;mso-wrap-style:none" filled="f" stroked="f">
              <v:textbox style="mso-next-textbox:#_x0000_s47056;mso-fit-shape-to-text:t" inset="0,0,0,0">
                <w:txbxContent>
                  <w:p w:rsidR="00CB6FAE" w:rsidRDefault="00CB6FAE">
                    <w:r>
                      <w:rPr>
                        <w:rFonts w:ascii="Arial" w:hAnsi="Arial" w:cs="Arial"/>
                        <w:color w:val="000000"/>
                        <w:sz w:val="18"/>
                        <w:szCs w:val="18"/>
                      </w:rPr>
                      <w:t>CONSTRUCTION</w:t>
                    </w:r>
                  </w:p>
                </w:txbxContent>
              </v:textbox>
            </v:rect>
            <v:rect id="_x0000_s47057" style="position:absolute;left:144;top:3526;width:1843;height:576" stroked="f"/>
            <v:rect id="_x0000_s47058" style="position:absolute;left:259;top:3541;width:791;height:207;mso-wrap-style:none" filled="f" stroked="f">
              <v:textbox style="mso-next-textbox:#_x0000_s47058;mso-fit-shape-to-text:t" inset="0,0,0,0">
                <w:txbxContent>
                  <w:p w:rsidR="00CB6FAE" w:rsidRDefault="00CB6FAE">
                    <w:r>
                      <w:rPr>
                        <w:rFonts w:ascii="Arial" w:hAnsi="Arial" w:cs="Arial"/>
                        <w:color w:val="000000"/>
                        <w:sz w:val="18"/>
                        <w:szCs w:val="18"/>
                      </w:rPr>
                      <w:t>SERVICE</w:t>
                    </w:r>
                  </w:p>
                </w:txbxContent>
              </v:textbox>
            </v:rect>
            <v:rect id="_x0000_s47059" style="position:absolute;left:144;top:4073;width:1843;height:576" stroked="f"/>
            <v:rect id="_x0000_s47060" style="position:absolute;left:259;top:4088;width:1531;height:207;mso-wrap-style:none" filled="f" stroked="f">
              <v:textbox style="mso-next-textbox:#_x0000_s47060;mso-fit-shape-to-text:t" inset="0,0,0,0">
                <w:txbxContent>
                  <w:p w:rsidR="00CB6FAE" w:rsidRDefault="00CB6FAE">
                    <w:r>
                      <w:rPr>
                        <w:rFonts w:ascii="Arial" w:hAnsi="Arial" w:cs="Arial"/>
                        <w:color w:val="000000"/>
                        <w:sz w:val="18"/>
                        <w:szCs w:val="18"/>
                      </w:rPr>
                      <w:t>CONGLOMERATE</w:t>
                    </w:r>
                  </w:p>
                </w:txbxContent>
              </v:textbox>
            </v:rect>
            <v:rect id="_x0000_s47061" style="position:absolute;left:144;top:4620;width:1843;height:576" stroked="f"/>
            <v:rect id="_x0000_s47062" style="position:absolute;left:259;top:4635;width:1121;height:207;mso-wrap-style:none" filled="f" stroked="f">
              <v:textbox style="mso-next-textbox:#_x0000_s47062;mso-fit-shape-to-text:t" inset="0,0,0,0">
                <w:txbxContent>
                  <w:p w:rsidR="00CB6FAE" w:rsidRDefault="00CB6FAE">
                    <w:r>
                      <w:rPr>
                        <w:rFonts w:ascii="Arial" w:hAnsi="Arial" w:cs="Arial"/>
                        <w:color w:val="000000"/>
                        <w:sz w:val="18"/>
                        <w:szCs w:val="18"/>
                      </w:rPr>
                      <w:t>PETROLEUM</w:t>
                    </w:r>
                  </w:p>
                </w:txbxContent>
              </v:textbox>
            </v:rect>
            <v:rect id="_x0000_s47063" style="position:absolute;left:259;top:4865;width:1071;height:207;mso-wrap-style:none" filled="f" stroked="f">
              <v:textbox style="mso-next-textbox:#_x0000_s47063;mso-fit-shape-to-text:t" inset="0,0,0,0">
                <w:txbxContent>
                  <w:p w:rsidR="00CB6FAE" w:rsidRDefault="00CB6FAE">
                    <w:r>
                      <w:rPr>
                        <w:rFonts w:ascii="Arial" w:hAnsi="Arial" w:cs="Arial"/>
                        <w:color w:val="000000"/>
                        <w:sz w:val="18"/>
                        <w:szCs w:val="18"/>
                      </w:rPr>
                      <w:t>MARKETING</w:t>
                    </w:r>
                  </w:p>
                </w:txbxContent>
              </v:textbox>
            </v:rect>
            <v:rect id="_x0000_s47064" style="position:absolute;left:144;top:5167;width:1843;height:576" stroked="f"/>
            <v:rect id="_x0000_s47065" style="position:absolute;left:259;top:5182;width:1491;height:207;mso-wrap-style:none" filled="f" stroked="f">
              <v:textbox style="mso-next-textbox:#_x0000_s47065;mso-fit-shape-to-text:t" inset="0,0,0,0">
                <w:txbxContent>
                  <w:p w:rsidR="00CB6FAE" w:rsidRDefault="00CB6FAE">
                    <w:r>
                      <w:rPr>
                        <w:rFonts w:ascii="Arial" w:hAnsi="Arial" w:cs="Arial"/>
                        <w:color w:val="000000"/>
                        <w:sz w:val="18"/>
                        <w:szCs w:val="18"/>
                      </w:rPr>
                      <w:t>INSURANCE AND</w:t>
                    </w:r>
                  </w:p>
                </w:txbxContent>
              </v:textbox>
            </v:rect>
            <v:rect id="_x0000_s47066" style="position:absolute;left:259;top:5412;width:1051;height:207;mso-wrap-style:none" filled="f" stroked="f">
              <v:textbox style="mso-next-textbox:#_x0000_s47066;mso-fit-shape-to-text:t" inset="0,0,0,0">
                <w:txbxContent>
                  <w:p w:rsidR="00CB6FAE" w:rsidRDefault="00CB6FAE">
                    <w:r>
                      <w:rPr>
                        <w:rFonts w:ascii="Arial" w:hAnsi="Arial" w:cs="Arial"/>
                        <w:color w:val="000000"/>
                        <w:sz w:val="18"/>
                        <w:szCs w:val="18"/>
                      </w:rPr>
                      <w:t>MORTGAGE</w:t>
                    </w:r>
                  </w:p>
                </w:txbxContent>
              </v:textbox>
            </v:rect>
            <v:rect id="_x0000_s47067" style="position:absolute;left:144;top:5714;width:1843;height:576" stroked="f"/>
            <v:rect id="_x0000_s47068" style="position:absolute;left:259;top:5729;width:401;height:207;mso-wrap-style:none" filled="f" stroked="f">
              <v:textbox style="mso-next-textbox:#_x0000_s47068;mso-fit-shape-to-text:t" inset="0,0,0,0">
                <w:txbxContent>
                  <w:p w:rsidR="00CB6FAE" w:rsidRDefault="00CB6FAE">
                    <w:r>
                      <w:rPr>
                        <w:rFonts w:ascii="Arial" w:hAnsi="Arial" w:cs="Arial"/>
                        <w:color w:val="000000"/>
                        <w:sz w:val="18"/>
                        <w:szCs w:val="18"/>
                      </w:rPr>
                      <w:t>Total</w:t>
                    </w:r>
                  </w:p>
                </w:txbxContent>
              </v:textbox>
            </v:rect>
            <v:rect id="_x0000_s47069" style="position:absolute;left:2678;top:518;width:1108;height:302" stroked="f"/>
            <v:rect id="_x0000_s47070" style="position:absolute;left:2937;top:562;width:541;height:207;mso-wrap-style:none" filled="f" stroked="f">
              <v:textbox style="mso-next-textbox:#_x0000_s47070;mso-fit-shape-to-text:t" inset="0,0,0,0">
                <w:txbxContent>
                  <w:p w:rsidR="00CB6FAE" w:rsidRDefault="00CB6FAE">
                    <w:r>
                      <w:rPr>
                        <w:rFonts w:ascii="Arial" w:hAnsi="Arial" w:cs="Arial"/>
                        <w:color w:val="000000"/>
                        <w:sz w:val="18"/>
                        <w:szCs w:val="18"/>
                      </w:rPr>
                      <w:t>DISAS</w:t>
                    </w:r>
                  </w:p>
                </w:txbxContent>
              </v:textbox>
            </v:rect>
            <v:rect id="_x0000_s47071" style="position:absolute;left:3757;top:518;width:1109;height:302" stroked="f"/>
            <v:rect id="_x0000_s47072" style="position:absolute;left:4016;top:562;width:591;height:207;mso-wrap-style:none" filled="f" stroked="f">
              <v:textbox style="mso-next-textbox:#_x0000_s47072;mso-fit-shape-to-text:t" inset="0,0,0,0">
                <w:txbxContent>
                  <w:p w:rsidR="00CB6FAE" w:rsidRDefault="00CB6FAE">
                    <w:r>
                      <w:rPr>
                        <w:rFonts w:ascii="Arial" w:hAnsi="Arial" w:cs="Arial"/>
                        <w:color w:val="000000"/>
                        <w:sz w:val="18"/>
                        <w:szCs w:val="18"/>
                      </w:rPr>
                      <w:t>DIIFRS</w:t>
                    </w:r>
                  </w:p>
                </w:txbxContent>
              </v:textbox>
            </v:rect>
            <v:rect id="_x0000_s47073" style="position:absolute;left:4837;top:518;width:1108;height:302" stroked="f"/>
            <v:rect id="_x0000_s47074" style="position:absolute;left:5096;top:562;width:541;height:207;mso-wrap-style:none" filled="f" stroked="f">
              <v:textbox style="mso-next-textbox:#_x0000_s47074;mso-fit-shape-to-text:t" inset="0,0,0,0">
                <w:txbxContent>
                  <w:p w:rsidR="00CB6FAE" w:rsidRDefault="00CB6FAE">
                    <w:r>
                      <w:rPr>
                        <w:rFonts w:ascii="Arial" w:hAnsi="Arial" w:cs="Arial"/>
                        <w:color w:val="000000"/>
                        <w:sz w:val="18"/>
                        <w:szCs w:val="18"/>
                      </w:rPr>
                      <w:t>DIVOL</w:t>
                    </w:r>
                  </w:p>
                </w:txbxContent>
              </v:textbox>
            </v:rect>
            <v:rect id="_x0000_s47075" style="position:absolute;left:5916;top:518;width:1109;height:302" stroked="f"/>
            <v:rect id="_x0000_s47076" style="position:absolute;left:6277;top:562;width:321;height:207;mso-wrap-style:none" filled="f" stroked="f">
              <v:textbox style="mso-next-textbox:#_x0000_s47076;mso-fit-shape-to-text:t" inset="0,0,0,0">
                <w:txbxContent>
                  <w:p w:rsidR="00CB6FAE" w:rsidRDefault="00CB6FAE">
                    <w:r>
                      <w:rPr>
                        <w:rFonts w:ascii="Arial" w:hAnsi="Arial" w:cs="Arial"/>
                        <w:color w:val="000000"/>
                        <w:sz w:val="18"/>
                        <w:szCs w:val="18"/>
                      </w:rPr>
                      <w:t>ODI</w:t>
                    </w:r>
                  </w:p>
                </w:txbxContent>
              </v:textbox>
            </v:rect>
            <v:line id="_x0000_s47077" style="position:absolute" from="1958,1339" to="6996,1340" strokeweight="39e-5mm"/>
            <v:line id="_x0000_s47078" style="position:absolute" from="1958,1886" to="6996,1887" strokeweight="39e-5mm"/>
            <v:line id="_x0000_s47079" style="position:absolute" from="1958,2432" to="6996,2433" strokeweight="39e-5mm"/>
            <v:line id="_x0000_s47080" style="position:absolute" from="1958,2979" to="6996,2980" strokeweight="39e-5mm"/>
            <v:line id="_x0000_s47081" style="position:absolute" from="1958,3526" to="6996,3527" strokeweight="39e-5mm"/>
            <v:line id="_x0000_s47082" style="position:absolute" from="1958,4073" to="6996,4074" strokeweight="39e-5mm"/>
            <v:line id="_x0000_s47083" style="position:absolute" from="1958,4620" to="6996,4621" strokeweight="39e-5mm"/>
            <v:line id="_x0000_s47084" style="position:absolute" from="1958,5167" to="6996,5168" strokeweight="39e-5mm"/>
            <v:line id="_x0000_s47085" style="position:absolute" from="1958,5714" to="6996,5715" strokeweight="39e-5mm"/>
            <v:line id="_x0000_s47086" style="position:absolute" from="144,1339" to="6996,1340" strokeweight="39e-5mm"/>
            <v:line id="_x0000_s47087" style="position:absolute" from="144,1886" to="6996,1887" strokeweight="39e-5mm"/>
            <v:line id="_x0000_s47088" style="position:absolute" from="144,2432" to="6996,2433" strokeweight="39e-5mm"/>
            <v:line id="_x0000_s47089" style="position:absolute" from="144,2979" to="6996,2980" strokeweight="39e-5mm"/>
            <v:line id="_x0000_s47090" style="position:absolute" from="144,3526" to="6996,3527" strokeweight="39e-5mm"/>
            <v:line id="_x0000_s47091" style="position:absolute" from="144,4073" to="6996,4074" strokeweight="39e-5mm"/>
            <v:line id="_x0000_s47092" style="position:absolute" from="144,4620" to="6996,4621" strokeweight="39e-5mm"/>
            <v:line id="_x0000_s47093" style="position:absolute" from="144,5167" to="6996,5168" strokeweight="39e-5mm"/>
            <v:line id="_x0000_s47094" style="position:absolute" from="144,5714" to="6996,5715" strokeweight="39e-5mm"/>
            <v:line id="_x0000_s47095" style="position:absolute" from="3757,518" to="3758,6261" strokeweight="39e-5mm"/>
            <v:line id="_x0000_s47096" style="position:absolute" from="4837,518" to="4838,6261" strokeweight="39e-5mm"/>
            <v:line id="_x0000_s47097" style="position:absolute" from="5916,518" to="5917,6261" strokeweight="39e-5mm"/>
            <v:rect id="_x0000_s47098" style="position:absolute;left:6852;top:504;width:14;height:5656" stroked="f"/>
            <v:rect id="_x0000_s47099" style="position:absolute;left:144;top:489;width:6722;height:44" stroked="f"/>
            <v:rect id="_x0000_s47100" style="position:absolute;width:7140;height:144" stroked="f"/>
            <v:rect id="_x0000_s47101" style="position:absolute;width:144;height:6405" stroked="f"/>
            <v:rect id="_x0000_s47102" style="position:absolute;left:6996;width:158;height:6405" stroked="f"/>
            <v:rect id="_x0000_s47103" style="position:absolute;top:6261;width:7140;height:158" stroked="f"/>
            <v:line id="_x0000_s62464" style="position:absolute" from="158,533" to="159,6247" strokeweight="81e-5mm"/>
            <v:line id="_x0000_s62465" style="position:absolute" from="6982,533" to="6983,6247" strokeweight="81e-5mm"/>
            <v:line id="_x0000_s62466" style="position:absolute" from="158,533" to="6982,534" strokeweight="81e-5mm"/>
            <v:line id="_x0000_s62467" style="position:absolute" from="158,6247" to="6982,6248" strokeweight="81e-5mm"/>
            <v:line id="_x0000_s62468" style="position:absolute" from="158,806" to="6982,807" strokeweight="81e-5mm"/>
            <v:line id="_x0000_s62469" style="position:absolute" from="2692,533" to="2693,6247" strokeweight="81e-5mm"/>
            <w10:wrap type="none"/>
            <w10:anchorlock/>
          </v:group>
        </w:pict>
      </w:r>
    </w:p>
    <w:p w:rsidR="00FF5EDF" w:rsidRPr="008573C5" w:rsidRDefault="00BF4515" w:rsidP="00BF4515">
      <w:pPr>
        <w:autoSpaceDE w:val="0"/>
        <w:autoSpaceDN w:val="0"/>
        <w:adjustRightInd w:val="0"/>
        <w:jc w:val="center"/>
        <w:rPr>
          <w:rFonts w:eastAsia="Calibri"/>
          <w:b/>
          <w:bCs/>
        </w:rPr>
      </w:pPr>
      <w:r w:rsidRPr="008573C5">
        <w:rPr>
          <w:rFonts w:eastAsia="Calibri"/>
          <w:b/>
          <w:bCs/>
        </w:rPr>
        <w:t>Source: Field Study (2009)</w:t>
      </w:r>
    </w:p>
    <w:p w:rsidR="00FB1D8E" w:rsidRPr="008573C5" w:rsidRDefault="00FF5EDF" w:rsidP="00674DFB">
      <w:pPr>
        <w:spacing w:before="100" w:beforeAutospacing="1" w:after="100" w:afterAutospacing="1" w:line="480" w:lineRule="auto"/>
        <w:jc w:val="both"/>
      </w:pPr>
      <w:r w:rsidRPr="008573C5">
        <w:t>Table</w:t>
      </w:r>
      <w:r w:rsidR="00BF4515" w:rsidRPr="008573C5">
        <w:t>s 4.03 and 4.04 reveal</w:t>
      </w:r>
      <w:r w:rsidRPr="008573C5">
        <w:t xml:space="preserve"> the analysis</w:t>
      </w:r>
      <w:r w:rsidR="00BB30E3" w:rsidRPr="008573C5">
        <w:t xml:space="preserve"> of compliance with the accounting standards, in turn.</w:t>
      </w:r>
    </w:p>
    <w:p w:rsidR="001056D9" w:rsidRPr="008573C5" w:rsidRDefault="001056D9" w:rsidP="00674DFB">
      <w:pPr>
        <w:spacing w:line="480" w:lineRule="auto"/>
        <w:jc w:val="center"/>
        <w:rPr>
          <w:rFonts w:ascii="Times" w:hAnsi="Times" w:cs="Times"/>
          <w:b/>
          <w:sz w:val="28"/>
          <w:szCs w:val="28"/>
        </w:rPr>
      </w:pPr>
    </w:p>
    <w:p w:rsidR="001056D9" w:rsidRPr="008573C5" w:rsidRDefault="001056D9" w:rsidP="00674DFB">
      <w:pPr>
        <w:spacing w:line="480" w:lineRule="auto"/>
        <w:jc w:val="center"/>
        <w:rPr>
          <w:rFonts w:ascii="Times" w:hAnsi="Times" w:cs="Times"/>
          <w:b/>
          <w:sz w:val="28"/>
          <w:szCs w:val="28"/>
        </w:rPr>
      </w:pPr>
    </w:p>
    <w:p w:rsidR="001056D9" w:rsidRPr="008573C5" w:rsidRDefault="001056D9" w:rsidP="00674DFB">
      <w:pPr>
        <w:spacing w:line="480" w:lineRule="auto"/>
        <w:jc w:val="center"/>
        <w:rPr>
          <w:rFonts w:ascii="Times" w:hAnsi="Times" w:cs="Times"/>
          <w:b/>
          <w:sz w:val="28"/>
          <w:szCs w:val="28"/>
        </w:rPr>
      </w:pPr>
    </w:p>
    <w:p w:rsidR="00FB1D8E" w:rsidRPr="008573C5" w:rsidRDefault="00FB1D8E" w:rsidP="00A51076">
      <w:pPr>
        <w:jc w:val="center"/>
        <w:rPr>
          <w:rFonts w:ascii="Times" w:hAnsi="Times" w:cs="Times"/>
          <w:b/>
          <w:sz w:val="28"/>
          <w:szCs w:val="28"/>
        </w:rPr>
      </w:pPr>
      <w:r w:rsidRPr="008573C5">
        <w:rPr>
          <w:rFonts w:ascii="Times" w:hAnsi="Times" w:cs="Times"/>
          <w:b/>
          <w:sz w:val="28"/>
          <w:szCs w:val="28"/>
        </w:rPr>
        <w:t>Table 4.0</w:t>
      </w:r>
      <w:r w:rsidR="00FF5EDF" w:rsidRPr="008573C5">
        <w:rPr>
          <w:rFonts w:ascii="Times" w:hAnsi="Times" w:cs="Times"/>
          <w:b/>
          <w:sz w:val="28"/>
          <w:szCs w:val="28"/>
        </w:rPr>
        <w:t>3: Descriptive Statistics of Compliance with</w:t>
      </w:r>
      <w:r w:rsidRPr="008573C5">
        <w:rPr>
          <w:rFonts w:ascii="Times" w:hAnsi="Times" w:cs="Times"/>
          <w:b/>
          <w:sz w:val="28"/>
          <w:szCs w:val="28"/>
        </w:rPr>
        <w:t xml:space="preserve"> SAS</w:t>
      </w:r>
    </w:p>
    <w:p w:rsidR="00674DFB" w:rsidRPr="008573C5" w:rsidRDefault="00FB1D8E" w:rsidP="00A51076">
      <w:pPr>
        <w:jc w:val="center"/>
        <w:rPr>
          <w:rFonts w:ascii="Times" w:hAnsi="Times" w:cs="Times"/>
          <w:b/>
          <w:sz w:val="28"/>
          <w:szCs w:val="28"/>
        </w:rPr>
      </w:pPr>
      <w:r w:rsidRPr="008573C5">
        <w:rPr>
          <w:rFonts w:ascii="Times" w:hAnsi="Times" w:cs="Times"/>
          <w:b/>
        </w:rPr>
        <w:t xml:space="preserve"> </w:t>
      </w:r>
      <w:r w:rsidR="006E22C9">
        <w:rPr>
          <w:rFonts w:ascii="Times" w:hAnsi="Times" w:cs="Times"/>
          <w:b/>
          <w:sz w:val="28"/>
          <w:szCs w:val="28"/>
        </w:rPr>
      </w:r>
      <w:r w:rsidR="006E22C9" w:rsidRPr="006E22C9">
        <w:rPr>
          <w:rFonts w:ascii="Times" w:hAnsi="Times" w:cs="Times"/>
          <w:b/>
          <w:sz w:val="28"/>
          <w:szCs w:val="28"/>
        </w:rPr>
        <w:pict>
          <v:group id="_x0000_s62472" editas="canvas" style="width:369pt;height:263.95pt;mso-position-horizontal-relative:char;mso-position-vertical-relative:line" coordsize="7380,5279">
            <o:lock v:ext="edit" aspectratio="t"/>
            <v:shape id="_x0000_s62471" type="#_x0000_t75" style="position:absolute;width:7380;height:5279" o:preferrelative="f">
              <v:fill o:detectmouseclick="t"/>
              <v:path o:extrusionok="t" o:connecttype="none"/>
              <o:lock v:ext="edit" text="t"/>
            </v:shape>
            <v:group id="_x0000_s62673" style="position:absolute;width:7380;height:5279" coordsize="7380,5279">
              <v:rect id="_x0000_s62473" style="position:absolute;left:129;top:129;width:7122;height:403" stroked="f"/>
              <v:rect id="_x0000_s62474" style="position:absolute;left:2784;top:158;width:109;height:276;mso-wrap-style:none" filled="f" stroked="f">
                <v:textbox style="mso-next-textbox:#_x0000_s62474;mso-fit-shape-to-text:t" inset="0,0,0,0">
                  <w:txbxContent>
                    <w:p w:rsidR="00CB6FAE" w:rsidRDefault="00CB6FAE"/>
                  </w:txbxContent>
                </v:textbox>
              </v:rect>
              <v:rect id="_x0000_s62475" style="position:absolute;left:1798;top:1021;width:1108;height:302" stroked="f"/>
              <v:rect id="_x0000_s62476" style="position:absolute;left:2488;top:1050;width:201;height:207;mso-wrap-style:none" filled="f" stroked="f">
                <v:textbox style="mso-next-textbox:#_x0000_s62476;mso-fit-shape-to-text:t" inset="0,0,0,0">
                  <w:txbxContent>
                    <w:p w:rsidR="00CB6FAE" w:rsidRDefault="00CB6FAE">
                      <w:r>
                        <w:rPr>
                          <w:rFonts w:ascii="Arial" w:hAnsi="Arial" w:cs="Arial"/>
                          <w:color w:val="000000"/>
                          <w:sz w:val="18"/>
                          <w:szCs w:val="18"/>
                        </w:rPr>
                        <w:t>90</w:t>
                      </w:r>
                    </w:p>
                  </w:txbxContent>
                </v:textbox>
              </v:rect>
              <v:rect id="_x0000_s62477" style="position:absolute;left:2877;top:1021;width:1108;height:302" stroked="f"/>
              <v:rect id="_x0000_s62478" style="position:absolute;left:3352;top:1050;width:451;height:207;mso-wrap-style:none" filled="f" stroked="f">
                <v:textbox style="mso-next-textbox:#_x0000_s62478;mso-fit-shape-to-text:t" inset="0,0,0,0">
                  <w:txbxContent>
                    <w:p w:rsidR="00CB6FAE" w:rsidRDefault="00CB6FAE">
                      <w:r>
                        <w:rPr>
                          <w:rFonts w:ascii="Arial" w:hAnsi="Arial" w:cs="Arial"/>
                          <w:color w:val="000000"/>
                          <w:sz w:val="18"/>
                          <w:szCs w:val="18"/>
                        </w:rPr>
                        <w:t>.5000</w:t>
                      </w:r>
                    </w:p>
                  </w:txbxContent>
                </v:textbox>
              </v:rect>
              <v:rect id="_x0000_s62479" style="position:absolute;left:3956;top:1021;width:1108;height:302" stroked="f"/>
              <v:rect id="_x0000_s62480" style="position:absolute;left:4431;top:1050;width:451;height:207;mso-wrap-style:none" filled="f" stroked="f">
                <v:textbox style="mso-next-textbox:#_x0000_s62480;mso-fit-shape-to-text:t" inset="0,0,0,0">
                  <w:txbxContent>
                    <w:p w:rsidR="00CB6FAE" w:rsidRDefault="00CB6FAE">
                      <w:r>
                        <w:rPr>
                          <w:rFonts w:ascii="Arial" w:hAnsi="Arial" w:cs="Arial"/>
                          <w:color w:val="000000"/>
                          <w:sz w:val="18"/>
                          <w:szCs w:val="18"/>
                        </w:rPr>
                        <w:t>.9796</w:t>
                      </w:r>
                    </w:p>
                  </w:txbxContent>
                </v:textbox>
              </v:rect>
              <v:rect id="_x0000_s62481" style="position:absolute;left:5035;top:1021;width:1108;height:302" stroked="f"/>
              <v:rect id="_x0000_s62482" style="position:absolute;left:5337;top:1050;width:651;height:207;mso-wrap-style:none" filled="f" stroked="f">
                <v:textbox style="mso-next-textbox:#_x0000_s62482;mso-fit-shape-to-text:t" inset="0,0,0,0">
                  <w:txbxContent>
                    <w:p w:rsidR="00CB6FAE" w:rsidRDefault="00CB6FAE">
                      <w:r>
                        <w:rPr>
                          <w:rFonts w:ascii="Arial" w:hAnsi="Arial" w:cs="Arial"/>
                          <w:color w:val="000000"/>
                          <w:sz w:val="18"/>
                          <w:szCs w:val="18"/>
                        </w:rPr>
                        <w:t>.883511</w:t>
                      </w:r>
                    </w:p>
                  </w:txbxContent>
                </v:textbox>
              </v:rect>
              <v:rect id="_x0000_s62483" style="position:absolute;left:6114;top:1021;width:1137;height:302" stroked="f"/>
              <v:rect id="_x0000_s62484" style="position:absolute;left:6301;top:1050;width:831;height:207;mso-wrap-style:none" filled="f" stroked="f">
                <v:textbox style="mso-next-textbox:#_x0000_s62484;mso-fit-shape-to-text:t" inset="0,0,0,0">
                  <w:txbxContent>
                    <w:p w:rsidR="00CB6FAE" w:rsidRDefault="00CB6FAE">
                      <w:r>
                        <w:rPr>
                          <w:rFonts w:eastAsia="Calibri"/>
                          <w:vanish/>
                          <w:color w:val="000000"/>
                          <w:sz w:val="22"/>
                          <w:szCs w:val="22"/>
                        </w:rPr>
                        <w:t>value iss disclosures were atsure</w:t>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eastAsia="Calibri"/>
                          <w:vanish/>
                          <w:color w:val="000000"/>
                          <w:sz w:val="22"/>
                          <w:szCs w:val="22"/>
                        </w:rPr>
                        <w:pgNum/>
                      </w:r>
                      <w:r>
                        <w:rPr>
                          <w:rFonts w:ascii="Arial" w:hAnsi="Arial" w:cs="Arial"/>
                          <w:color w:val="000000"/>
                          <w:sz w:val="18"/>
                          <w:szCs w:val="18"/>
                        </w:rPr>
                        <w:t>7.183E-02</w:t>
                      </w:r>
                    </w:p>
                  </w:txbxContent>
                </v:textbox>
              </v:rect>
              <v:rect id="_x0000_s62485" style="position:absolute;left:1798;top:1295;width:1108;height:302" stroked="f"/>
              <v:rect id="_x0000_s62486" style="position:absolute;left:2488;top:1323;width:201;height:207;mso-wrap-style:none" filled="f" stroked="f">
                <v:textbox style="mso-next-textbox:#_x0000_s62486;mso-fit-shape-to-text:t" inset="0,0,0,0">
                  <w:txbxContent>
                    <w:p w:rsidR="00CB6FAE" w:rsidRDefault="00CB6FAE">
                      <w:r>
                        <w:rPr>
                          <w:rFonts w:ascii="Arial" w:hAnsi="Arial" w:cs="Arial"/>
                          <w:color w:val="000000"/>
                          <w:sz w:val="18"/>
                          <w:szCs w:val="18"/>
                        </w:rPr>
                        <w:t>90</w:t>
                      </w:r>
                    </w:p>
                  </w:txbxContent>
                </v:textbox>
              </v:rect>
              <v:rect id="_x0000_s62487" style="position:absolute;left:2877;top:1295;width:1108;height:302" stroked="f"/>
              <v:rect id="_x0000_s62488" style="position:absolute;left:3352;top:1323;width:451;height:207;mso-wrap-style:none" filled="f" stroked="f">
                <v:textbox style="mso-next-textbox:#_x0000_s62488;mso-fit-shape-to-text:t" inset="0,0,0,0">
                  <w:txbxContent>
                    <w:p w:rsidR="00CB6FAE" w:rsidRDefault="00CB6FAE">
                      <w:r>
                        <w:rPr>
                          <w:rFonts w:ascii="Arial" w:hAnsi="Arial" w:cs="Arial"/>
                          <w:color w:val="000000"/>
                          <w:sz w:val="18"/>
                          <w:szCs w:val="18"/>
                        </w:rPr>
                        <w:t>.5833</w:t>
                      </w:r>
                    </w:p>
                  </w:txbxContent>
                </v:textbox>
              </v:rect>
              <v:rect id="_x0000_s62489" style="position:absolute;left:3956;top:1295;width:1108;height:302" stroked="f"/>
              <v:rect id="_x0000_s62490" style="position:absolute;left:4344;top:1323;width:551;height:207;mso-wrap-style:none" filled="f" stroked="f">
                <v:textbox style="mso-next-textbox:#_x0000_s62490;mso-fit-shape-to-text:t" inset="0,0,0,0">
                  <w:txbxContent>
                    <w:p w:rsidR="00CB6FAE" w:rsidRDefault="00CB6FAE">
                      <w:r>
                        <w:rPr>
                          <w:rFonts w:ascii="Arial" w:hAnsi="Arial" w:cs="Arial"/>
                          <w:color w:val="000000"/>
                          <w:sz w:val="18"/>
                          <w:szCs w:val="18"/>
                        </w:rPr>
                        <w:t>1.0000</w:t>
                      </w:r>
                    </w:p>
                  </w:txbxContent>
                </v:textbox>
              </v:rect>
              <v:rect id="_x0000_s62491" style="position:absolute;left:5035;top:1295;width:1108;height:302" stroked="f"/>
              <v:rect id="_x0000_s62492" style="position:absolute;left:5337;top:1323;width:651;height:207;mso-wrap-style:none" filled="f" stroked="f">
                <v:textbox style="mso-next-textbox:#_x0000_s62492;mso-fit-shape-to-text:t" inset="0,0,0,0">
                  <w:txbxContent>
                    <w:p w:rsidR="00CB6FAE" w:rsidRDefault="00CB6FAE">
                      <w:r>
                        <w:rPr>
                          <w:rFonts w:ascii="Arial" w:hAnsi="Arial" w:cs="Arial"/>
                          <w:color w:val="000000"/>
                          <w:sz w:val="18"/>
                          <w:szCs w:val="18"/>
                        </w:rPr>
                        <w:t>.892656</w:t>
                      </w:r>
                    </w:p>
                  </w:txbxContent>
                </v:textbox>
              </v:rect>
              <v:rect id="_x0000_s62493" style="position:absolute;left:6114;top:1295;width:1137;height:302" stroked="f"/>
              <v:rect id="_x0000_s62494" style="position:absolute;left:6301;top:1323;width:831;height:207;mso-wrap-style:none" filled="f" stroked="f">
                <v:textbox style="mso-next-textbox:#_x0000_s62494;mso-fit-shape-to-text:t" inset="0,0,0,0">
                  <w:txbxContent>
                    <w:p w:rsidR="00CB6FAE" w:rsidRDefault="00CB6FAE">
                      <w:r>
                        <w:rPr>
                          <w:rFonts w:ascii="Arial" w:hAnsi="Arial" w:cs="Arial"/>
                          <w:color w:val="000000"/>
                          <w:sz w:val="18"/>
                          <w:szCs w:val="18"/>
                        </w:rPr>
                        <w:t>9.099E-02</w:t>
                      </w:r>
                    </w:p>
                  </w:txbxContent>
                </v:textbox>
              </v:rect>
              <v:rect id="_x0000_s62495" style="position:absolute;left:1798;top:1568;width:1108;height:302" stroked="f"/>
              <v:rect id="_x0000_s62496" style="position:absolute;left:2488;top:1597;width:201;height:207;mso-wrap-style:none" filled="f" stroked="f">
                <v:textbox style="mso-next-textbox:#_x0000_s62496;mso-fit-shape-to-text:t" inset="0,0,0,0">
                  <w:txbxContent>
                    <w:p w:rsidR="00CB6FAE" w:rsidRDefault="00CB6FAE">
                      <w:r>
                        <w:rPr>
                          <w:rFonts w:ascii="Arial" w:hAnsi="Arial" w:cs="Arial"/>
                          <w:color w:val="000000"/>
                          <w:sz w:val="18"/>
                          <w:szCs w:val="18"/>
                        </w:rPr>
                        <w:t>90</w:t>
                      </w:r>
                    </w:p>
                  </w:txbxContent>
                </v:textbox>
              </v:rect>
              <v:rect id="_x0000_s62497" style="position:absolute;left:2877;top:1568;width:1108;height:302" stroked="f"/>
              <v:rect id="_x0000_s62498" style="position:absolute;left:3352;top:1597;width:451;height:207;mso-wrap-style:none" filled="f" stroked="f">
                <v:textbox style="mso-next-textbox:#_x0000_s62498;mso-fit-shape-to-text:t" inset="0,0,0,0">
                  <w:txbxContent>
                    <w:p w:rsidR="00CB6FAE" w:rsidRDefault="00CB6FAE">
                      <w:r>
                        <w:rPr>
                          <w:rFonts w:ascii="Arial" w:hAnsi="Arial" w:cs="Arial"/>
                          <w:color w:val="000000"/>
                          <w:sz w:val="18"/>
                          <w:szCs w:val="18"/>
                        </w:rPr>
                        <w:t>.7692</w:t>
                      </w:r>
                    </w:p>
                  </w:txbxContent>
                </v:textbox>
              </v:rect>
              <v:rect id="_x0000_s62499" style="position:absolute;left:3956;top:1568;width:1108;height:302" stroked="f"/>
              <v:rect id="_x0000_s62500" style="position:absolute;left:4344;top:1597;width:551;height:207;mso-wrap-style:none" filled="f" stroked="f">
                <v:textbox style="mso-next-textbox:#_x0000_s62500;mso-fit-shape-to-text:t" inset="0,0,0,0">
                  <w:txbxContent>
                    <w:p w:rsidR="00CB6FAE" w:rsidRDefault="00CB6FAE">
                      <w:r>
                        <w:rPr>
                          <w:rFonts w:ascii="Arial" w:hAnsi="Arial" w:cs="Arial"/>
                          <w:color w:val="000000"/>
                          <w:sz w:val="18"/>
                          <w:szCs w:val="18"/>
                        </w:rPr>
                        <w:t>1.0000</w:t>
                      </w:r>
                    </w:p>
                  </w:txbxContent>
                </v:textbox>
              </v:rect>
              <v:rect id="_x0000_s62501" style="position:absolute;left:5035;top:1568;width:1108;height:302" stroked="f"/>
              <v:rect id="_x0000_s62502" style="position:absolute;left:5337;top:1597;width:651;height:207;mso-wrap-style:none" filled="f" stroked="f">
                <v:textbox style="mso-next-textbox:#_x0000_s62502;mso-fit-shape-to-text:t" inset="0,0,0,0">
                  <w:txbxContent>
                    <w:p w:rsidR="00CB6FAE" w:rsidRDefault="00CB6FAE">
                      <w:r>
                        <w:rPr>
                          <w:rFonts w:ascii="Arial" w:hAnsi="Arial" w:cs="Arial"/>
                          <w:color w:val="000000"/>
                          <w:sz w:val="18"/>
                          <w:szCs w:val="18"/>
                        </w:rPr>
                        <w:t>.958230</w:t>
                      </w:r>
                    </w:p>
                  </w:txbxContent>
                </v:textbox>
              </v:rect>
              <v:rect id="_x0000_s62503" style="position:absolute;left:6114;top:1568;width:1137;height:302" stroked="f"/>
              <v:rect id="_x0000_s62504" style="position:absolute;left:6301;top:1597;width:831;height:207;mso-wrap-style:none" filled="f" stroked="f">
                <v:textbox style="mso-next-textbox:#_x0000_s62504;mso-fit-shape-to-text:t" inset="0,0,0,0">
                  <w:txbxContent>
                    <w:p w:rsidR="00CB6FAE" w:rsidRDefault="00CB6FAE">
                      <w:r>
                        <w:rPr>
                          <w:rFonts w:ascii="Arial" w:hAnsi="Arial" w:cs="Arial"/>
                          <w:color w:val="000000"/>
                          <w:sz w:val="18"/>
                          <w:szCs w:val="18"/>
                        </w:rPr>
                        <w:t>5.888E-02</w:t>
                      </w:r>
                    </w:p>
                  </w:txbxContent>
                </v:textbox>
              </v:rect>
              <v:rect id="_x0000_s62505" style="position:absolute;left:1798;top:1841;width:1108;height:302" stroked="f"/>
              <v:rect id="_x0000_s62506" style="position:absolute;left:2488;top:1870;width:201;height:207;mso-wrap-style:none" filled="f" stroked="f">
                <v:textbox style="mso-next-textbox:#_x0000_s62506;mso-fit-shape-to-text:t" inset="0,0,0,0">
                  <w:txbxContent>
                    <w:p w:rsidR="00CB6FAE" w:rsidRDefault="00CB6FAE">
                      <w:r>
                        <w:rPr>
                          <w:rFonts w:ascii="Arial" w:hAnsi="Arial" w:cs="Arial"/>
                          <w:color w:val="000000"/>
                          <w:sz w:val="18"/>
                          <w:szCs w:val="18"/>
                        </w:rPr>
                        <w:t>90</w:t>
                      </w:r>
                    </w:p>
                  </w:txbxContent>
                </v:textbox>
              </v:rect>
              <v:rect id="_x0000_s62507" style="position:absolute;left:2877;top:1841;width:1108;height:302" stroked="f"/>
              <v:rect id="_x0000_s62508" style="position:absolute;left:3352;top:1870;width:451;height:207;mso-wrap-style:none" filled="f" stroked="f">
                <v:textbox style="mso-next-textbox:#_x0000_s62508;mso-fit-shape-to-text:t" inset="0,0,0,0">
                  <w:txbxContent>
                    <w:p w:rsidR="00CB6FAE" w:rsidRDefault="00CB6FAE">
                      <w:r>
                        <w:rPr>
                          <w:rFonts w:ascii="Arial" w:hAnsi="Arial" w:cs="Arial"/>
                          <w:color w:val="000000"/>
                          <w:sz w:val="18"/>
                          <w:szCs w:val="18"/>
                        </w:rPr>
                        <w:t>.0000</w:t>
                      </w:r>
                    </w:p>
                  </w:txbxContent>
                </v:textbox>
              </v:rect>
              <v:rect id="_x0000_s62509" style="position:absolute;left:3956;top:1841;width:1108;height:302" stroked="f"/>
              <v:rect id="_x0000_s62510" style="position:absolute;left:4344;top:1870;width:551;height:207;mso-wrap-style:none" filled="f" stroked="f">
                <v:textbox style="mso-next-textbox:#_x0000_s62510;mso-fit-shape-to-text:t" inset="0,0,0,0">
                  <w:txbxContent>
                    <w:p w:rsidR="00CB6FAE" w:rsidRDefault="00CB6FAE">
                      <w:r>
                        <w:rPr>
                          <w:rFonts w:ascii="Arial" w:hAnsi="Arial" w:cs="Arial"/>
                          <w:color w:val="000000"/>
                          <w:sz w:val="18"/>
                          <w:szCs w:val="18"/>
                        </w:rPr>
                        <w:t>1.0000</w:t>
                      </w:r>
                    </w:p>
                  </w:txbxContent>
                </v:textbox>
              </v:rect>
              <v:rect id="_x0000_s62511" style="position:absolute;left:5035;top:1841;width:1108;height:302" stroked="f"/>
              <v:rect id="_x0000_s62512" style="position:absolute;left:5337;top:1870;width:651;height:207;mso-wrap-style:none" filled="f" stroked="f">
                <v:textbox style="mso-next-textbox:#_x0000_s62512;mso-fit-shape-to-text:t" inset="0,0,0,0">
                  <w:txbxContent>
                    <w:p w:rsidR="00CB6FAE" w:rsidRDefault="00CB6FAE">
                      <w:r>
                        <w:rPr>
                          <w:rFonts w:ascii="Arial" w:hAnsi="Arial" w:cs="Arial"/>
                          <w:color w:val="000000"/>
                          <w:sz w:val="18"/>
                          <w:szCs w:val="18"/>
                        </w:rPr>
                        <w:t>.827029</w:t>
                      </w:r>
                    </w:p>
                  </w:txbxContent>
                </v:textbox>
              </v:rect>
              <v:rect id="_x0000_s62513" style="position:absolute;left:6114;top:1841;width:1137;height:302" stroked="f"/>
              <v:rect id="_x0000_s62514" style="position:absolute;left:6445;top:1870;width:651;height:207;mso-wrap-style:none" filled="f" stroked="f">
                <v:textbox style="mso-next-textbox:#_x0000_s62514;mso-fit-shape-to-text:t" inset="0,0,0,0">
                  <w:txbxContent>
                    <w:p w:rsidR="00CB6FAE" w:rsidRDefault="00CB6FAE">
                      <w:r>
                        <w:rPr>
                          <w:rFonts w:ascii="Arial" w:hAnsi="Arial" w:cs="Arial"/>
                          <w:color w:val="000000"/>
                          <w:sz w:val="18"/>
                          <w:szCs w:val="18"/>
                        </w:rPr>
                        <w:t>.221332</w:t>
                      </w:r>
                    </w:p>
                  </w:txbxContent>
                </v:textbox>
              </v:rect>
              <v:rect id="_x0000_s62515" style="position:absolute;left:1798;top:2115;width:1108;height:302" stroked="f"/>
              <v:rect id="_x0000_s62516" style="position:absolute;left:2488;top:2143;width:201;height:207;mso-wrap-style:none" filled="f" stroked="f">
                <v:textbox style="mso-next-textbox:#_x0000_s62516;mso-fit-shape-to-text:t" inset="0,0,0,0">
                  <w:txbxContent>
                    <w:p w:rsidR="00CB6FAE" w:rsidRDefault="00CB6FAE">
                      <w:r>
                        <w:rPr>
                          <w:rFonts w:ascii="Arial" w:hAnsi="Arial" w:cs="Arial"/>
                          <w:color w:val="000000"/>
                          <w:sz w:val="18"/>
                          <w:szCs w:val="18"/>
                        </w:rPr>
                        <w:t>59</w:t>
                      </w:r>
                    </w:p>
                  </w:txbxContent>
                </v:textbox>
              </v:rect>
              <v:rect id="_x0000_s62517" style="position:absolute;left:2877;top:2115;width:1108;height:302" stroked="f"/>
              <v:rect id="_x0000_s62518" style="position:absolute;left:3352;top:2143;width:451;height:207;mso-wrap-style:none" filled="f" stroked="f">
                <v:textbox style="mso-next-textbox:#_x0000_s62518;mso-fit-shape-to-text:t" inset="0,0,0,0">
                  <w:txbxContent>
                    <w:p w:rsidR="00CB6FAE" w:rsidRDefault="00CB6FAE">
                      <w:r>
                        <w:rPr>
                          <w:rFonts w:ascii="Arial" w:hAnsi="Arial" w:cs="Arial"/>
                          <w:color w:val="000000"/>
                          <w:sz w:val="18"/>
                          <w:szCs w:val="18"/>
                        </w:rPr>
                        <w:t>.3333</w:t>
                      </w:r>
                    </w:p>
                  </w:txbxContent>
                </v:textbox>
              </v:rect>
              <v:rect id="_x0000_s62519" style="position:absolute;left:3956;top:2115;width:1108;height:302" stroked="f"/>
              <v:rect id="_x0000_s62520" style="position:absolute;left:4344;top:2143;width:551;height:207;mso-wrap-style:none" filled="f" stroked="f">
                <v:textbox style="mso-next-textbox:#_x0000_s62520;mso-fit-shape-to-text:t" inset="0,0,0,0">
                  <w:txbxContent>
                    <w:p w:rsidR="00CB6FAE" w:rsidRDefault="00CB6FAE">
                      <w:r>
                        <w:rPr>
                          <w:rFonts w:ascii="Arial" w:hAnsi="Arial" w:cs="Arial"/>
                          <w:color w:val="000000"/>
                          <w:sz w:val="18"/>
                          <w:szCs w:val="18"/>
                        </w:rPr>
                        <w:t>1.0000</w:t>
                      </w:r>
                    </w:p>
                  </w:txbxContent>
                </v:textbox>
              </v:rect>
              <v:rect id="_x0000_s62521" style="position:absolute;left:5035;top:2115;width:1108;height:302" stroked="f"/>
              <v:rect id="_x0000_s62522" style="position:absolute;left:5337;top:2143;width:651;height:207;mso-wrap-style:none" filled="f" stroked="f">
                <v:textbox style="mso-next-textbox:#_x0000_s62522;mso-fit-shape-to-text:t" inset="0,0,0,0">
                  <w:txbxContent>
                    <w:p w:rsidR="00CB6FAE" w:rsidRDefault="00CB6FAE">
                      <w:r>
                        <w:rPr>
                          <w:rFonts w:ascii="Arial" w:hAnsi="Arial" w:cs="Arial"/>
                          <w:color w:val="000000"/>
                          <w:sz w:val="18"/>
                          <w:szCs w:val="18"/>
                        </w:rPr>
                        <w:t>.977400</w:t>
                      </w:r>
                    </w:p>
                  </w:txbxContent>
                </v:textbox>
              </v:rect>
              <v:rect id="_x0000_s62523" style="position:absolute;left:6114;top:2115;width:1137;height:302" stroked="f"/>
              <v:rect id="_x0000_s62524" style="position:absolute;left:6445;top:2143;width:651;height:207;mso-wrap-style:none" filled="f" stroked="f">
                <v:textbox style="mso-next-textbox:#_x0000_s62524;mso-fit-shape-to-text:t" inset="0,0,0,0">
                  <w:txbxContent>
                    <w:p w:rsidR="00CB6FAE" w:rsidRDefault="00CB6FAE">
                      <w:r>
                        <w:rPr>
                          <w:rFonts w:ascii="Arial" w:hAnsi="Arial" w:cs="Arial"/>
                          <w:color w:val="000000"/>
                          <w:sz w:val="18"/>
                          <w:szCs w:val="18"/>
                        </w:rPr>
                        <w:t>.121687</w:t>
                      </w:r>
                    </w:p>
                  </w:txbxContent>
                </v:textbox>
              </v:rect>
              <v:rect id="_x0000_s62525" style="position:absolute;left:1798;top:2388;width:1108;height:302" stroked="f"/>
              <v:rect id="_x0000_s62526" style="position:absolute;left:2488;top:2417;width:201;height:207;mso-wrap-style:none" filled="f" stroked="f">
                <v:textbox style="mso-next-textbox:#_x0000_s62526;mso-fit-shape-to-text:t" inset="0,0,0,0">
                  <w:txbxContent>
                    <w:p w:rsidR="00CB6FAE" w:rsidRDefault="00CB6FAE">
                      <w:r>
                        <w:rPr>
                          <w:rFonts w:ascii="Arial" w:hAnsi="Arial" w:cs="Arial"/>
                          <w:color w:val="000000"/>
                          <w:sz w:val="18"/>
                          <w:szCs w:val="18"/>
                        </w:rPr>
                        <w:t>56</w:t>
                      </w:r>
                    </w:p>
                  </w:txbxContent>
                </v:textbox>
              </v:rect>
              <v:rect id="_x0000_s62527" style="position:absolute;left:2877;top:2388;width:1108;height:302" stroked="f"/>
              <v:rect id="_x0000_s62528" style="position:absolute;left:3352;top:2417;width:451;height:207;mso-wrap-style:none" filled="f" stroked="f">
                <v:textbox style="mso-next-textbox:#_x0000_s62528;mso-fit-shape-to-text:t" inset="0,0,0,0">
                  <w:txbxContent>
                    <w:p w:rsidR="00CB6FAE" w:rsidRDefault="00CB6FAE">
                      <w:r>
                        <w:rPr>
                          <w:rFonts w:ascii="Arial" w:hAnsi="Arial" w:cs="Arial"/>
                          <w:color w:val="000000"/>
                          <w:sz w:val="18"/>
                          <w:szCs w:val="18"/>
                        </w:rPr>
                        <w:t>.0000</w:t>
                      </w:r>
                    </w:p>
                  </w:txbxContent>
                </v:textbox>
              </v:rect>
              <v:rect id="_x0000_s62529" style="position:absolute;left:3956;top:2388;width:1108;height:302" stroked="f"/>
              <v:rect id="_x0000_s62530" style="position:absolute;left:4344;top:2417;width:551;height:207;mso-wrap-style:none" filled="f" stroked="f">
                <v:textbox style="mso-next-textbox:#_x0000_s62530;mso-fit-shape-to-text:t" inset="0,0,0,0">
                  <w:txbxContent>
                    <w:p w:rsidR="00CB6FAE" w:rsidRDefault="00CB6FAE">
                      <w:r>
                        <w:rPr>
                          <w:rFonts w:ascii="Arial" w:hAnsi="Arial" w:cs="Arial"/>
                          <w:color w:val="000000"/>
                          <w:sz w:val="18"/>
                          <w:szCs w:val="18"/>
                        </w:rPr>
                        <w:t>1.0000</w:t>
                      </w:r>
                    </w:p>
                  </w:txbxContent>
                </v:textbox>
              </v:rect>
              <v:rect id="_x0000_s62531" style="position:absolute;left:5035;top:2388;width:1108;height:302" stroked="f"/>
              <v:rect id="_x0000_s62532" style="position:absolute;left:5337;top:2417;width:651;height:207;mso-wrap-style:none" filled="f" stroked="f">
                <v:textbox style="mso-next-textbox:#_x0000_s62532;mso-fit-shape-to-text:t" inset="0,0,0,0">
                  <w:txbxContent>
                    <w:p w:rsidR="00CB6FAE" w:rsidRDefault="00CB6FAE">
                      <w:r>
                        <w:rPr>
                          <w:rFonts w:ascii="Arial" w:hAnsi="Arial" w:cs="Arial"/>
                          <w:color w:val="000000"/>
                          <w:sz w:val="18"/>
                          <w:szCs w:val="18"/>
                        </w:rPr>
                        <w:t>.973214</w:t>
                      </w:r>
                    </w:p>
                  </w:txbxContent>
                </v:textbox>
              </v:rect>
              <v:rect id="_x0000_s62533" style="position:absolute;left:6114;top:2388;width:1137;height:302" stroked="f"/>
              <v:rect id="_x0000_s62534" style="position:absolute;left:6445;top:2417;width:651;height:207;mso-wrap-style:none" filled="f" stroked="f">
                <v:textbox style="mso-next-textbox:#_x0000_s62534;mso-fit-shape-to-text:t" inset="0,0,0,0">
                  <w:txbxContent>
                    <w:p w:rsidR="00CB6FAE" w:rsidRDefault="00CB6FAE">
                      <w:r>
                        <w:rPr>
                          <w:rFonts w:ascii="Arial" w:hAnsi="Arial" w:cs="Arial"/>
                          <w:color w:val="000000"/>
                          <w:sz w:val="18"/>
                          <w:szCs w:val="18"/>
                        </w:rPr>
                        <w:t>.148313</w:t>
                      </w:r>
                    </w:p>
                  </w:txbxContent>
                </v:textbox>
              </v:rect>
              <v:rect id="_x0000_s62535" style="position:absolute;left:1798;top:2661;width:1108;height:302" stroked="f"/>
              <v:rect id="_x0000_s62536" style="position:absolute;left:2488;top:2690;width:201;height:207;mso-wrap-style:none" filled="f" stroked="f">
                <v:textbox style="mso-next-textbox:#_x0000_s62536;mso-fit-shape-to-text:t" inset="0,0,0,0">
                  <w:txbxContent>
                    <w:p w:rsidR="00CB6FAE" w:rsidRDefault="00CB6FAE">
                      <w:r>
                        <w:rPr>
                          <w:rFonts w:ascii="Arial" w:hAnsi="Arial" w:cs="Arial"/>
                          <w:color w:val="000000"/>
                          <w:sz w:val="18"/>
                          <w:szCs w:val="18"/>
                        </w:rPr>
                        <w:t>86</w:t>
                      </w:r>
                    </w:p>
                  </w:txbxContent>
                </v:textbox>
              </v:rect>
              <v:rect id="_x0000_s62537" style="position:absolute;left:2877;top:2661;width:1108;height:302" stroked="f"/>
              <v:rect id="_x0000_s62538" style="position:absolute;left:3352;top:2690;width:451;height:207;mso-wrap-style:none" filled="f" stroked="f">
                <v:textbox style="mso-next-textbox:#_x0000_s62538;mso-fit-shape-to-text:t" inset="0,0,0,0">
                  <w:txbxContent>
                    <w:p w:rsidR="00CB6FAE" w:rsidRDefault="00CB6FAE">
                      <w:r>
                        <w:rPr>
                          <w:rFonts w:ascii="Arial" w:hAnsi="Arial" w:cs="Arial"/>
                          <w:color w:val="000000"/>
                          <w:sz w:val="18"/>
                          <w:szCs w:val="18"/>
                        </w:rPr>
                        <w:t>.3333</w:t>
                      </w:r>
                    </w:p>
                  </w:txbxContent>
                </v:textbox>
              </v:rect>
              <v:rect id="_x0000_s62539" style="position:absolute;left:3956;top:2661;width:1108;height:302" stroked="f"/>
              <v:rect id="_x0000_s62540" style="position:absolute;left:4344;top:2690;width:551;height:207;mso-wrap-style:none" filled="f" stroked="f">
                <v:textbox style="mso-next-textbox:#_x0000_s62540;mso-fit-shape-to-text:t" inset="0,0,0,0">
                  <w:txbxContent>
                    <w:p w:rsidR="00CB6FAE" w:rsidRDefault="00CB6FAE">
                      <w:r>
                        <w:rPr>
                          <w:rFonts w:ascii="Arial" w:hAnsi="Arial" w:cs="Arial"/>
                          <w:color w:val="000000"/>
                          <w:sz w:val="18"/>
                          <w:szCs w:val="18"/>
                        </w:rPr>
                        <w:t>1.0000</w:t>
                      </w:r>
                    </w:p>
                  </w:txbxContent>
                </v:textbox>
              </v:rect>
              <v:rect id="_x0000_s62541" style="position:absolute;left:5035;top:2661;width:1108;height:302" stroked="f"/>
              <v:rect id="_x0000_s62542" style="position:absolute;left:5337;top:2690;width:651;height:207;mso-wrap-style:none" filled="f" stroked="f">
                <v:textbox style="mso-next-textbox:#_x0000_s62542;mso-fit-shape-to-text:t" inset="0,0,0,0">
                  <w:txbxContent>
                    <w:p w:rsidR="00CB6FAE" w:rsidRDefault="00CB6FAE">
                      <w:r>
                        <w:rPr>
                          <w:rFonts w:ascii="Arial" w:hAnsi="Arial" w:cs="Arial"/>
                          <w:color w:val="000000"/>
                          <w:sz w:val="18"/>
                          <w:szCs w:val="18"/>
                        </w:rPr>
                        <w:t>.705444</w:t>
                      </w:r>
                    </w:p>
                  </w:txbxContent>
                </v:textbox>
              </v:rect>
              <v:rect id="_x0000_s62543" style="position:absolute;left:6114;top:2661;width:1137;height:302" stroked="f"/>
              <v:rect id="_x0000_s62544" style="position:absolute;left:6445;top:2690;width:651;height:207;mso-wrap-style:none" filled="f" stroked="f">
                <v:textbox style="mso-next-textbox:#_x0000_s62544;mso-fit-shape-to-text:t" inset="0,0,0,0">
                  <w:txbxContent>
                    <w:p w:rsidR="00CB6FAE" w:rsidRDefault="00CB6FAE">
                      <w:r>
                        <w:rPr>
                          <w:rFonts w:ascii="Arial" w:hAnsi="Arial" w:cs="Arial"/>
                          <w:color w:val="000000"/>
                          <w:sz w:val="18"/>
                          <w:szCs w:val="18"/>
                        </w:rPr>
                        <w:t>.194157</w:t>
                      </w:r>
                    </w:p>
                  </w:txbxContent>
                </v:textbox>
              </v:rect>
              <v:rect id="_x0000_s62545" style="position:absolute;left:1798;top:2935;width:1108;height:302" stroked="f"/>
              <v:rect id="_x0000_s62546" style="position:absolute;left:2488;top:2963;width:201;height:207;mso-wrap-style:none" filled="f" stroked="f">
                <v:textbox style="mso-next-textbox:#_x0000_s62546;mso-fit-shape-to-text:t" inset="0,0,0,0">
                  <w:txbxContent>
                    <w:p w:rsidR="00CB6FAE" w:rsidRDefault="00CB6FAE">
                      <w:r>
                        <w:rPr>
                          <w:rFonts w:ascii="Arial" w:hAnsi="Arial" w:cs="Arial"/>
                          <w:color w:val="000000"/>
                          <w:sz w:val="18"/>
                          <w:szCs w:val="18"/>
                        </w:rPr>
                        <w:t>90</w:t>
                      </w:r>
                    </w:p>
                  </w:txbxContent>
                </v:textbox>
              </v:rect>
              <v:rect id="_x0000_s62547" style="position:absolute;left:2877;top:2935;width:1108;height:302" stroked="f"/>
              <v:rect id="_x0000_s62548" style="position:absolute;left:3352;top:2963;width:451;height:207;mso-wrap-style:none" filled="f" stroked="f">
                <v:textbox style="mso-next-textbox:#_x0000_s62548;mso-fit-shape-to-text:t" inset="0,0,0,0">
                  <w:txbxContent>
                    <w:p w:rsidR="00CB6FAE" w:rsidRDefault="00CB6FAE">
                      <w:r>
                        <w:rPr>
                          <w:rFonts w:ascii="Arial" w:hAnsi="Arial" w:cs="Arial"/>
                          <w:color w:val="000000"/>
                          <w:sz w:val="18"/>
                          <w:szCs w:val="18"/>
                        </w:rPr>
                        <w:t>.0000</w:t>
                      </w:r>
                    </w:p>
                  </w:txbxContent>
                </v:textbox>
              </v:rect>
              <v:rect id="_x0000_s62549" style="position:absolute;left:3956;top:2935;width:1108;height:302" stroked="f"/>
              <v:rect id="_x0000_s62550" style="position:absolute;left:4344;top:2963;width:551;height:207;mso-wrap-style:none" filled="f" stroked="f">
                <v:textbox style="mso-next-textbox:#_x0000_s62550;mso-fit-shape-to-text:t" inset="0,0,0,0">
                  <w:txbxContent>
                    <w:p w:rsidR="00CB6FAE" w:rsidRDefault="00CB6FAE">
                      <w:r>
                        <w:rPr>
                          <w:rFonts w:ascii="Arial" w:hAnsi="Arial" w:cs="Arial"/>
                          <w:color w:val="000000"/>
                          <w:sz w:val="18"/>
                          <w:szCs w:val="18"/>
                        </w:rPr>
                        <w:t>1.0000</w:t>
                      </w:r>
                    </w:p>
                  </w:txbxContent>
                </v:textbox>
              </v:rect>
              <v:rect id="_x0000_s62551" style="position:absolute;left:5035;top:2935;width:1108;height:302" stroked="f"/>
              <v:rect id="_x0000_s62552" style="position:absolute;left:5337;top:2963;width:651;height:207;mso-wrap-style:none" filled="f" stroked="f">
                <v:textbox style="mso-next-textbox:#_x0000_s62552;mso-fit-shape-to-text:t" inset="0,0,0,0">
                  <w:txbxContent>
                    <w:p w:rsidR="00CB6FAE" w:rsidRDefault="00CB6FAE">
                      <w:r>
                        <w:rPr>
                          <w:rFonts w:ascii="Arial" w:hAnsi="Arial" w:cs="Arial"/>
                          <w:color w:val="000000"/>
                          <w:sz w:val="18"/>
                          <w:szCs w:val="18"/>
                        </w:rPr>
                        <w:t>.988889</w:t>
                      </w:r>
                    </w:p>
                  </w:txbxContent>
                </v:textbox>
              </v:rect>
              <v:rect id="_x0000_s62553" style="position:absolute;left:6114;top:2935;width:1137;height:302" stroked="f"/>
              <v:rect id="_x0000_s62554" style="position:absolute;left:6445;top:2963;width:651;height:207;mso-wrap-style:none" filled="f" stroked="f">
                <v:textbox style="mso-next-textbox:#_x0000_s62554;mso-fit-shape-to-text:t" inset="0,0,0,0">
                  <w:txbxContent>
                    <w:p w:rsidR="00CB6FAE" w:rsidRDefault="00CB6FAE">
                      <w:r>
                        <w:rPr>
                          <w:rFonts w:ascii="Arial" w:hAnsi="Arial" w:cs="Arial"/>
                          <w:color w:val="000000"/>
                          <w:sz w:val="18"/>
                          <w:szCs w:val="18"/>
                        </w:rPr>
                        <w:t>.105409</w:t>
                      </w:r>
                    </w:p>
                  </w:txbxContent>
                </v:textbox>
              </v:rect>
              <v:rect id="_x0000_s62555" style="position:absolute;left:1798;top:3208;width:1108;height:302" stroked="f"/>
              <v:rect id="_x0000_s62556" style="position:absolute;left:2488;top:3237;width:201;height:207;mso-wrap-style:none" filled="f" stroked="f">
                <v:textbox style="mso-next-textbox:#_x0000_s62556;mso-fit-shape-to-text:t" inset="0,0,0,0">
                  <w:txbxContent>
                    <w:p w:rsidR="00CB6FAE" w:rsidRDefault="00CB6FAE">
                      <w:r>
                        <w:rPr>
                          <w:rFonts w:ascii="Arial" w:hAnsi="Arial" w:cs="Arial"/>
                          <w:color w:val="000000"/>
                          <w:sz w:val="18"/>
                          <w:szCs w:val="18"/>
                        </w:rPr>
                        <w:t>75</w:t>
                      </w:r>
                    </w:p>
                  </w:txbxContent>
                </v:textbox>
              </v:rect>
              <v:rect id="_x0000_s62557" style="position:absolute;left:2877;top:3208;width:1108;height:302" stroked="f"/>
              <v:rect id="_x0000_s62558" style="position:absolute;left:3352;top:3237;width:451;height:207;mso-wrap-style:none" filled="f" stroked="f">
                <v:textbox style="mso-next-textbox:#_x0000_s62558;mso-fit-shape-to-text:t" inset="0,0,0,0">
                  <w:txbxContent>
                    <w:p w:rsidR="00CB6FAE" w:rsidRDefault="00CB6FAE">
                      <w:r>
                        <w:rPr>
                          <w:rFonts w:ascii="Arial" w:hAnsi="Arial" w:cs="Arial"/>
                          <w:color w:val="000000"/>
                          <w:sz w:val="18"/>
                          <w:szCs w:val="18"/>
                        </w:rPr>
                        <w:t>.5000</w:t>
                      </w:r>
                    </w:p>
                  </w:txbxContent>
                </v:textbox>
              </v:rect>
              <v:rect id="_x0000_s62559" style="position:absolute;left:3956;top:3208;width:1108;height:302" stroked="f"/>
              <v:rect id="_x0000_s62560" style="position:absolute;left:4344;top:3237;width:551;height:207;mso-wrap-style:none" filled="f" stroked="f">
                <v:textbox style="mso-next-textbox:#_x0000_s62560;mso-fit-shape-to-text:t" inset="0,0,0,0">
                  <w:txbxContent>
                    <w:p w:rsidR="00CB6FAE" w:rsidRDefault="00CB6FAE">
                      <w:r>
                        <w:rPr>
                          <w:rFonts w:ascii="Arial" w:hAnsi="Arial" w:cs="Arial"/>
                          <w:color w:val="000000"/>
                          <w:sz w:val="18"/>
                          <w:szCs w:val="18"/>
                        </w:rPr>
                        <w:t>1.0000</w:t>
                      </w:r>
                    </w:p>
                  </w:txbxContent>
                </v:textbox>
              </v:rect>
              <v:rect id="_x0000_s62561" style="position:absolute;left:5035;top:3208;width:1108;height:302" stroked="f"/>
              <v:rect id="_x0000_s62562" style="position:absolute;left:5337;top:3237;width:651;height:207;mso-wrap-style:none" filled="f" stroked="f">
                <v:textbox style="mso-next-textbox:#_x0000_s62562;mso-fit-shape-to-text:t" inset="0,0,0,0">
                  <w:txbxContent>
                    <w:p w:rsidR="00CB6FAE" w:rsidRDefault="00CB6FAE">
                      <w:r>
                        <w:rPr>
                          <w:rFonts w:ascii="Arial" w:hAnsi="Arial" w:cs="Arial"/>
                          <w:color w:val="000000"/>
                          <w:sz w:val="18"/>
                          <w:szCs w:val="18"/>
                        </w:rPr>
                        <w:t>.935557</w:t>
                      </w:r>
                    </w:p>
                  </w:txbxContent>
                </v:textbox>
              </v:rect>
              <v:rect id="_x0000_s62563" style="position:absolute;left:6114;top:3208;width:1137;height:302" stroked="f"/>
              <v:rect id="_x0000_s62564" style="position:absolute;left:6445;top:3237;width:651;height:207;mso-wrap-style:none" filled="f" stroked="f">
                <v:textbox style="mso-next-textbox:#_x0000_s62564;mso-fit-shape-to-text:t" inset="0,0,0,0">
                  <w:txbxContent>
                    <w:p w:rsidR="00CB6FAE" w:rsidRDefault="00CB6FAE">
                      <w:r>
                        <w:rPr>
                          <w:rFonts w:ascii="Arial" w:hAnsi="Arial" w:cs="Arial"/>
                          <w:color w:val="000000"/>
                          <w:sz w:val="18"/>
                          <w:szCs w:val="18"/>
                        </w:rPr>
                        <w:t>.154128</w:t>
                      </w:r>
                    </w:p>
                  </w:txbxContent>
                </v:textbox>
              </v:rect>
              <v:rect id="_x0000_s62565" style="position:absolute;left:1798;top:3481;width:1108;height:302" stroked="f"/>
              <v:rect id="_x0000_s62566" style="position:absolute;left:2488;top:3510;width:201;height:207;mso-wrap-style:none" filled="f" stroked="f">
                <v:textbox style="mso-next-textbox:#_x0000_s62566;mso-fit-shape-to-text:t" inset="0,0,0,0">
                  <w:txbxContent>
                    <w:p w:rsidR="00CB6FAE" w:rsidRDefault="00CB6FAE">
                      <w:r>
                        <w:rPr>
                          <w:rFonts w:ascii="Arial" w:hAnsi="Arial" w:cs="Arial"/>
                          <w:color w:val="000000"/>
                          <w:sz w:val="18"/>
                          <w:szCs w:val="18"/>
                        </w:rPr>
                        <w:t>90</w:t>
                      </w:r>
                    </w:p>
                  </w:txbxContent>
                </v:textbox>
              </v:rect>
              <v:rect id="_x0000_s62567" style="position:absolute;left:2877;top:3481;width:1108;height:302" stroked="f"/>
              <v:rect id="_x0000_s62568" style="position:absolute;left:3352;top:3510;width:451;height:207;mso-wrap-style:none" filled="f" stroked="f">
                <v:textbox style="mso-next-textbox:#_x0000_s62568;mso-fit-shape-to-text:t" inset="0,0,0,0">
                  <w:txbxContent>
                    <w:p w:rsidR="00CB6FAE" w:rsidRDefault="00CB6FAE">
                      <w:r>
                        <w:rPr>
                          <w:rFonts w:ascii="Arial" w:hAnsi="Arial" w:cs="Arial"/>
                          <w:color w:val="000000"/>
                          <w:sz w:val="18"/>
                          <w:szCs w:val="18"/>
                        </w:rPr>
                        <w:t>.6000</w:t>
                      </w:r>
                    </w:p>
                  </w:txbxContent>
                </v:textbox>
              </v:rect>
              <v:rect id="_x0000_s62569" style="position:absolute;left:3956;top:3481;width:1108;height:302" stroked="f"/>
              <v:rect id="_x0000_s62570" style="position:absolute;left:4344;top:3510;width:551;height:207;mso-wrap-style:none" filled="f" stroked="f">
                <v:textbox style="mso-next-textbox:#_x0000_s62570;mso-fit-shape-to-text:t" inset="0,0,0,0">
                  <w:txbxContent>
                    <w:p w:rsidR="00CB6FAE" w:rsidRDefault="00CB6FAE">
                      <w:r>
                        <w:rPr>
                          <w:rFonts w:ascii="Arial" w:hAnsi="Arial" w:cs="Arial"/>
                          <w:color w:val="000000"/>
                          <w:sz w:val="18"/>
                          <w:szCs w:val="18"/>
                        </w:rPr>
                        <w:t>1.0000</w:t>
                      </w:r>
                    </w:p>
                  </w:txbxContent>
                </v:textbox>
              </v:rect>
              <v:rect id="_x0000_s62571" style="position:absolute;left:5035;top:3481;width:1108;height:302" stroked="f"/>
              <v:rect id="_x0000_s62572" style="position:absolute;left:5337;top:3510;width:651;height:207;mso-wrap-style:none" filled="f" stroked="f">
                <v:textbox style="mso-next-textbox:#_x0000_s62572;mso-fit-shape-to-text:t" inset="0,0,0,0">
                  <w:txbxContent>
                    <w:p w:rsidR="00CB6FAE" w:rsidRDefault="00CB6FAE">
                      <w:r>
                        <w:rPr>
                          <w:rFonts w:ascii="Arial" w:hAnsi="Arial" w:cs="Arial"/>
                          <w:color w:val="000000"/>
                          <w:sz w:val="18"/>
                          <w:szCs w:val="18"/>
                        </w:rPr>
                        <w:t>.986667</w:t>
                      </w:r>
                    </w:p>
                  </w:txbxContent>
                </v:textbox>
              </v:rect>
              <v:rect id="_x0000_s62573" style="position:absolute;left:6114;top:3481;width:1137;height:302" stroked="f"/>
              <v:rect id="_x0000_s62574" style="position:absolute;left:6301;top:3510;width:831;height:207;mso-wrap-style:none" filled="f" stroked="f">
                <v:textbox style="mso-next-textbox:#_x0000_s62574;mso-fit-shape-to-text:t" inset="0,0,0,0">
                  <w:txbxContent>
                    <w:p w:rsidR="00CB6FAE" w:rsidRDefault="00CB6FAE">
                      <w:r>
                        <w:rPr>
                          <w:rFonts w:ascii="Arial" w:hAnsi="Arial" w:cs="Arial"/>
                          <w:color w:val="000000"/>
                          <w:sz w:val="18"/>
                          <w:szCs w:val="18"/>
                        </w:rPr>
                        <w:t>6.569E-02</w:t>
                      </w:r>
                    </w:p>
                  </w:txbxContent>
                </v:textbox>
              </v:rect>
              <v:rect id="_x0000_s62575" style="position:absolute;left:1798;top:3755;width:1108;height:302" stroked="f"/>
              <v:rect id="_x0000_s62576" style="position:absolute;left:2488;top:3783;width:201;height:207;mso-wrap-style:none" filled="f" stroked="f">
                <v:textbox style="mso-next-textbox:#_x0000_s62576;mso-fit-shape-to-text:t" inset="0,0,0,0">
                  <w:txbxContent>
                    <w:p w:rsidR="00CB6FAE" w:rsidRDefault="00CB6FAE">
                      <w:r>
                        <w:rPr>
                          <w:rFonts w:ascii="Arial" w:hAnsi="Arial" w:cs="Arial"/>
                          <w:color w:val="000000"/>
                          <w:sz w:val="18"/>
                          <w:szCs w:val="18"/>
                        </w:rPr>
                        <w:t>87</w:t>
                      </w:r>
                    </w:p>
                  </w:txbxContent>
                </v:textbox>
              </v:rect>
              <v:rect id="_x0000_s62577" style="position:absolute;left:2877;top:3755;width:1108;height:302" stroked="f"/>
              <v:rect id="_x0000_s62578" style="position:absolute;left:3352;top:3783;width:451;height:207;mso-wrap-style:none" filled="f" stroked="f">
                <v:textbox style="mso-next-textbox:#_x0000_s62578;mso-fit-shape-to-text:t" inset="0,0,0,0">
                  <w:txbxContent>
                    <w:p w:rsidR="00CB6FAE" w:rsidRDefault="00CB6FAE">
                      <w:r>
                        <w:rPr>
                          <w:rFonts w:ascii="Arial" w:hAnsi="Arial" w:cs="Arial"/>
                          <w:color w:val="000000"/>
                          <w:sz w:val="18"/>
                          <w:szCs w:val="18"/>
                        </w:rPr>
                        <w:t>.1667</w:t>
                      </w:r>
                    </w:p>
                  </w:txbxContent>
                </v:textbox>
              </v:rect>
              <v:rect id="_x0000_s62579" style="position:absolute;left:3956;top:3755;width:1108;height:302" stroked="f"/>
              <v:rect id="_x0000_s62580" style="position:absolute;left:4344;top:3783;width:551;height:414;mso-wrap-style:none" filled="f" stroked="f">
                <v:textbox style="mso-next-textbox:#_x0000_s62580;mso-fit-shape-to-text:t" inset="0,0,0,0">
                  <w:txbxContent>
                    <w:p w:rsidR="00CB6FAE" w:rsidRDefault="00CB6FAE">
                      <w:r>
                        <w:rPr>
                          <w:rFonts w:ascii="Arial" w:hAnsi="Arial" w:cs="Arial"/>
                          <w:color w:val="000000"/>
                          <w:sz w:val="18"/>
                          <w:szCs w:val="18"/>
                        </w:rPr>
                        <w:t>1.0000</w:t>
                      </w:r>
                    </w:p>
                    <w:p w:rsidR="00CB6FAE" w:rsidRDefault="00CB6FAE">
                      <w:r>
                        <w:rPr>
                          <w:rFonts w:ascii="Arial" w:hAnsi="Arial" w:cs="Arial"/>
                          <w:color w:val="000000"/>
                          <w:sz w:val="18"/>
                          <w:szCs w:val="18"/>
                        </w:rPr>
                        <w:t>0</w:t>
                      </w:r>
                    </w:p>
                  </w:txbxContent>
                </v:textbox>
              </v:rect>
              <v:rect id="_x0000_s62581" style="position:absolute;left:5035;top:3755;width:1108;height:302" stroked="f"/>
              <v:rect id="_x0000_s62582" style="position:absolute;left:5337;top:3783;width:651;height:207;mso-wrap-style:none" filled="f" stroked="f">
                <v:textbox style="mso-next-textbox:#_x0000_s62582;mso-fit-shape-to-text:t" inset="0,0,0,0">
                  <w:txbxContent>
                    <w:p w:rsidR="00CB6FAE" w:rsidRDefault="00CB6FAE">
                      <w:r>
                        <w:rPr>
                          <w:rFonts w:ascii="Arial" w:hAnsi="Arial" w:cs="Arial"/>
                          <w:color w:val="000000"/>
                          <w:sz w:val="18"/>
                          <w:szCs w:val="18"/>
                        </w:rPr>
                        <w:t>.988779</w:t>
                      </w:r>
                    </w:p>
                  </w:txbxContent>
                </v:textbox>
              </v:rect>
              <v:rect id="_x0000_s62583" style="position:absolute;left:6114;top:3755;width:1137;height:302" stroked="f"/>
              <v:rect id="_x0000_s62584" style="position:absolute;left:6301;top:3783;width:831;height:207;mso-wrap-style:none" filled="f" stroked="f">
                <v:textbox style="mso-next-textbox:#_x0000_s62584;mso-fit-shape-to-text:t" inset="0,0,0,0">
                  <w:txbxContent>
                    <w:p w:rsidR="00CB6FAE" w:rsidRDefault="00CB6FAE">
                      <w:r>
                        <w:rPr>
                          <w:rFonts w:ascii="Arial" w:hAnsi="Arial" w:cs="Arial"/>
                          <w:color w:val="000000"/>
                          <w:sz w:val="18"/>
                          <w:szCs w:val="18"/>
                        </w:rPr>
                        <w:t>9.047E-02</w:t>
                      </w:r>
                    </w:p>
                  </w:txbxContent>
                </v:textbox>
              </v:rect>
              <v:rect id="_x0000_s62585" style="position:absolute;left:1798;top:4028;width:1108;height:302" stroked="f"/>
              <v:rect id="_x0000_s62586" style="position:absolute;left:2488;top:4057;width:201;height:207;mso-wrap-style:none" filled="f" stroked="f">
                <v:textbox style="mso-next-textbox:#_x0000_s62586;mso-fit-shape-to-text:t" inset="0,0,0,0">
                  <w:txbxContent>
                    <w:p w:rsidR="00CB6FAE" w:rsidRDefault="00CB6FAE">
                      <w:r>
                        <w:rPr>
                          <w:rFonts w:ascii="Arial" w:hAnsi="Arial" w:cs="Arial"/>
                          <w:color w:val="000000"/>
                          <w:sz w:val="18"/>
                          <w:szCs w:val="18"/>
                        </w:rPr>
                        <w:t>85</w:t>
                      </w:r>
                    </w:p>
                  </w:txbxContent>
                </v:textbox>
              </v:rect>
              <v:rect id="_x0000_s62587" style="position:absolute;left:2877;top:4028;width:1108;height:302" stroked="f"/>
              <v:rect id="_x0000_s62588" style="position:absolute;left:3352;top:4057;width:451;height:207;mso-wrap-style:none" filled="f" stroked="f">
                <v:textbox style="mso-next-textbox:#_x0000_s62588;mso-fit-shape-to-text:t" inset="0,0,0,0">
                  <w:txbxContent>
                    <w:p w:rsidR="00CB6FAE" w:rsidRDefault="00CB6FAE">
                      <w:r>
                        <w:rPr>
                          <w:rFonts w:ascii="Arial" w:hAnsi="Arial" w:cs="Arial"/>
                          <w:color w:val="000000"/>
                          <w:sz w:val="18"/>
                          <w:szCs w:val="18"/>
                        </w:rPr>
                        <w:t>.2500</w:t>
                      </w:r>
                    </w:p>
                  </w:txbxContent>
                </v:textbox>
              </v:rect>
              <v:rect id="_x0000_s62589" style="position:absolute;left:3956;top:4028;width:1108;height:302" stroked="f"/>
              <v:rect id="_x0000_s62590" style="position:absolute;left:4344;top:4057;width:551;height:207;mso-wrap-style:none" filled="f" stroked="f">
                <v:textbox style="mso-next-textbox:#_x0000_s62590;mso-fit-shape-to-text:t" inset="0,0,0,0">
                  <w:txbxContent>
                    <w:p w:rsidR="00CB6FAE" w:rsidRDefault="00CB6FAE">
                      <w:r>
                        <w:rPr>
                          <w:rFonts w:ascii="Arial" w:hAnsi="Arial" w:cs="Arial"/>
                          <w:color w:val="000000"/>
                          <w:sz w:val="18"/>
                          <w:szCs w:val="18"/>
                        </w:rPr>
                        <w:t>1.0000</w:t>
                      </w:r>
                    </w:p>
                  </w:txbxContent>
                </v:textbox>
              </v:rect>
              <v:rect id="_x0000_s62591" style="position:absolute;left:5035;top:4028;width:1108;height:302" stroked="f"/>
              <v:rect id="_x0000_s62592" style="position:absolute;left:5337;top:4057;width:651;height:207;mso-wrap-style:none" filled="f" stroked="f">
                <v:textbox style="mso-next-textbox:#_x0000_s62592;mso-fit-shape-to-text:t" inset="0,0,0,0">
                  <w:txbxContent>
                    <w:p w:rsidR="00CB6FAE" w:rsidRDefault="00CB6FAE">
                      <w:r>
                        <w:rPr>
                          <w:rFonts w:ascii="Arial" w:hAnsi="Arial" w:cs="Arial"/>
                          <w:color w:val="000000"/>
                          <w:sz w:val="18"/>
                          <w:szCs w:val="18"/>
                        </w:rPr>
                        <w:t>.519608</w:t>
                      </w:r>
                    </w:p>
                  </w:txbxContent>
                </v:textbox>
              </v:rect>
              <v:rect id="_x0000_s62593" style="position:absolute;left:6114;top:4028;width:1137;height:302" stroked="f"/>
              <v:rect id="_x0000_s62594" style="position:absolute;left:6445;top:4057;width:651;height:207;mso-wrap-style:none" filled="f" stroked="f">
                <v:textbox style="mso-next-textbox:#_x0000_s62594;mso-fit-shape-to-text:t" inset="0,0,0,0">
                  <w:txbxContent>
                    <w:p w:rsidR="00CB6FAE" w:rsidRDefault="00CB6FAE">
                      <w:r>
                        <w:rPr>
                          <w:rFonts w:ascii="Arial" w:hAnsi="Arial" w:cs="Arial"/>
                          <w:color w:val="000000"/>
                          <w:sz w:val="18"/>
                          <w:szCs w:val="18"/>
                        </w:rPr>
                        <w:t>.163485</w:t>
                      </w:r>
                    </w:p>
                  </w:txbxContent>
                </v:textbox>
              </v:rect>
              <v:rect id="_x0000_s62595" style="position:absolute;left:1798;top:4301;width:1108;height:302" stroked="f"/>
              <v:rect id="_x0000_s62596" style="position:absolute;left:2575;top:4330;width:101;height:207;mso-wrap-style:none" filled="f" stroked="f">
                <v:textbox style="mso-next-textbox:#_x0000_s62596;mso-fit-shape-to-text:t" inset="0,0,0,0">
                  <w:txbxContent>
                    <w:p w:rsidR="00CB6FAE" w:rsidRDefault="00CB6FAE">
                      <w:r>
                        <w:rPr>
                          <w:rFonts w:ascii="Arial" w:hAnsi="Arial" w:cs="Arial"/>
                          <w:color w:val="000000"/>
                          <w:sz w:val="18"/>
                          <w:szCs w:val="18"/>
                        </w:rPr>
                        <w:t>5</w:t>
                      </w:r>
                    </w:p>
                  </w:txbxContent>
                </v:textbox>
              </v:rect>
              <v:rect id="_x0000_s62597" style="position:absolute;left:2877;top:4301;width:1108;height:302" stroked="f"/>
              <v:rect id="_x0000_s62598" style="position:absolute;left:3524;top:4330;width:251;height:207;mso-wrap-style:none" filled="f" stroked="f">
                <v:textbox style="mso-next-textbox:#_x0000_s62598;mso-fit-shape-to-text:t" inset="0,0,0,0">
                  <w:txbxContent>
                    <w:p w:rsidR="00CB6FAE" w:rsidRDefault="00CB6FAE">
                      <w:r>
                        <w:rPr>
                          <w:rFonts w:ascii="Arial" w:hAnsi="Arial" w:cs="Arial"/>
                          <w:color w:val="000000"/>
                          <w:sz w:val="18"/>
                          <w:szCs w:val="18"/>
                        </w:rPr>
                        <w:t>.50</w:t>
                      </w:r>
                    </w:p>
                  </w:txbxContent>
                </v:textbox>
              </v:rect>
              <v:rect id="_x0000_s62599" style="position:absolute;left:3956;top:4301;width:1108;height:302" stroked="f"/>
              <v:rect id="_x0000_s62600" style="position:absolute;left:4517;top:4330;width:351;height:207;mso-wrap-style:none" filled="f" stroked="f">
                <v:textbox style="mso-next-textbox:#_x0000_s62600;mso-fit-shape-to-text:t" inset="0,0,0,0">
                  <w:txbxContent>
                    <w:p w:rsidR="00CB6FAE" w:rsidRDefault="00CB6FAE">
                      <w:r>
                        <w:rPr>
                          <w:rFonts w:ascii="Arial" w:hAnsi="Arial" w:cs="Arial"/>
                          <w:color w:val="000000"/>
                          <w:sz w:val="18"/>
                          <w:szCs w:val="18"/>
                        </w:rPr>
                        <w:t>1.00</w:t>
                      </w:r>
                    </w:p>
                  </w:txbxContent>
                </v:textbox>
              </v:rect>
              <v:rect id="_x0000_s62601" style="position:absolute;left:5035;top:4301;width:1108;height:302" stroked="f"/>
              <v:rect id="_x0000_s62602" style="position:absolute;left:5510;top:4330;width:451;height:207;mso-wrap-style:none" filled="f" stroked="f">
                <v:textbox style="mso-next-textbox:#_x0000_s62602;mso-fit-shape-to-text:t" inset="0,0,0,0">
                  <w:txbxContent>
                    <w:p w:rsidR="00CB6FAE" w:rsidRDefault="00CB6FAE">
                      <w:r>
                        <w:rPr>
                          <w:rFonts w:ascii="Arial" w:hAnsi="Arial" w:cs="Arial"/>
                          <w:color w:val="000000"/>
                          <w:sz w:val="18"/>
                          <w:szCs w:val="18"/>
                        </w:rPr>
                        <w:t>.9000</w:t>
                      </w:r>
                    </w:p>
                  </w:txbxContent>
                </v:textbox>
              </v:rect>
              <v:rect id="_x0000_s62603" style="position:absolute;left:6114;top:4301;width:1137;height:302" stroked="f"/>
              <v:rect id="_x0000_s62604" style="position:absolute;left:6618;top:4330;width:451;height:207;mso-wrap-style:none" filled="f" stroked="f">
                <v:textbox style="mso-next-textbox:#_x0000_s62604;mso-fit-shape-to-text:t" inset="0,0,0,0">
                  <w:txbxContent>
                    <w:p w:rsidR="00CB6FAE" w:rsidRDefault="00CB6FAE">
                      <w:r>
                        <w:rPr>
                          <w:rFonts w:ascii="Arial" w:hAnsi="Arial" w:cs="Arial"/>
                          <w:color w:val="000000"/>
                          <w:sz w:val="18"/>
                          <w:szCs w:val="18"/>
                        </w:rPr>
                        <w:t>.2236</w:t>
                      </w:r>
                    </w:p>
                  </w:txbxContent>
                </v:textbox>
              </v:rect>
              <v:rect id="_x0000_s62605" style="position:absolute;left:1798;top:4575;width:1108;height:302" stroked="f"/>
              <v:rect id="_x0000_s62606" style="position:absolute;left:2488;top:4603;width:201;height:207;mso-wrap-style:none" filled="f" stroked="f">
                <v:textbox style="mso-next-textbox:#_x0000_s62606;mso-fit-shape-to-text:t" inset="0,0,0,0">
                  <w:txbxContent>
                    <w:p w:rsidR="00CB6FAE" w:rsidRDefault="00CB6FAE">
                      <w:r>
                        <w:rPr>
                          <w:rFonts w:ascii="Arial" w:hAnsi="Arial" w:cs="Arial"/>
                          <w:color w:val="000000"/>
                          <w:sz w:val="18"/>
                          <w:szCs w:val="18"/>
                        </w:rPr>
                        <w:t>37</w:t>
                      </w:r>
                    </w:p>
                  </w:txbxContent>
                </v:textbox>
              </v:rect>
              <v:rect id="_x0000_s62607" style="position:absolute;left:2877;top:4575;width:1108;height:302" stroked="f"/>
              <v:rect id="_x0000_s62608" style="position:absolute;left:3352;top:4603;width:451;height:207;mso-wrap-style:none" filled="f" stroked="f">
                <v:textbox style="mso-next-textbox:#_x0000_s62608;mso-fit-shape-to-text:t" inset="0,0,0,0">
                  <w:txbxContent>
                    <w:p w:rsidR="00CB6FAE" w:rsidRDefault="00CB6FAE">
                      <w:r>
                        <w:rPr>
                          <w:rFonts w:ascii="Arial" w:hAnsi="Arial" w:cs="Arial"/>
                          <w:color w:val="000000"/>
                          <w:sz w:val="18"/>
                          <w:szCs w:val="18"/>
                        </w:rPr>
                        <w:t>.5000</w:t>
                      </w:r>
                    </w:p>
                  </w:txbxContent>
                </v:textbox>
              </v:rect>
              <v:rect id="_x0000_s62609" style="position:absolute;left:3956;top:4575;width:1108;height:302" stroked="f"/>
              <v:rect id="_x0000_s62610" style="position:absolute;left:4344;top:4603;width:551;height:207;mso-wrap-style:none" filled="f" stroked="f">
                <v:textbox style="mso-next-textbox:#_x0000_s62610;mso-fit-shape-to-text:t" inset="0,0,0,0">
                  <w:txbxContent>
                    <w:p w:rsidR="00CB6FAE" w:rsidRDefault="00CB6FAE">
                      <w:r>
                        <w:rPr>
                          <w:rFonts w:ascii="Arial" w:hAnsi="Arial" w:cs="Arial"/>
                          <w:color w:val="000000"/>
                          <w:sz w:val="18"/>
                          <w:szCs w:val="18"/>
                        </w:rPr>
                        <w:t>1.0000</w:t>
                      </w:r>
                    </w:p>
                  </w:txbxContent>
                </v:textbox>
              </v:rect>
              <v:rect id="_x0000_s62611" style="position:absolute;left:5035;top:4575;width:1108;height:302" stroked="f"/>
              <v:rect id="_x0000_s62612" style="position:absolute;left:5337;top:4603;width:651;height:207;mso-wrap-style:none" filled="f" stroked="f">
                <v:textbox style="mso-next-textbox:#_x0000_s62612;mso-fit-shape-to-text:t" inset="0,0,0,0">
                  <w:txbxContent>
                    <w:p w:rsidR="00CB6FAE" w:rsidRDefault="00CB6FAE">
                      <w:r>
                        <w:rPr>
                          <w:rFonts w:ascii="Arial" w:hAnsi="Arial" w:cs="Arial"/>
                          <w:color w:val="000000"/>
                          <w:sz w:val="18"/>
                          <w:szCs w:val="18"/>
                        </w:rPr>
                        <w:t>.986486</w:t>
                      </w:r>
                    </w:p>
                  </w:txbxContent>
                </v:textbox>
              </v:rect>
              <v:rect id="_x0000_s62613" style="position:absolute;left:6114;top:4575;width:1137;height:302" stroked="f"/>
              <v:rect id="_x0000_s62614" style="position:absolute;left:6301;top:4603;width:831;height:207;mso-wrap-style:none" filled="f" stroked="f">
                <v:textbox style="mso-next-textbox:#_x0000_s62614;mso-fit-shape-to-text:t" inset="0,0,0,0">
                  <w:txbxContent>
                    <w:p w:rsidR="00CB6FAE" w:rsidRDefault="00CB6FAE">
                      <w:r>
                        <w:rPr>
                          <w:rFonts w:ascii="Arial" w:hAnsi="Arial" w:cs="Arial"/>
                          <w:color w:val="000000"/>
                          <w:sz w:val="18"/>
                          <w:szCs w:val="18"/>
                        </w:rPr>
                        <w:t>8.220E-02</w:t>
                      </w:r>
                    </w:p>
                  </w:txbxContent>
                </v:textbox>
              </v:rect>
              <v:rect id="_x0000_s62615" style="position:absolute;left:1798;top:4848;width:1108;height:302" stroked="f"/>
              <v:rect id="_x0000_s62616" style="position:absolute;left:2575;top:4877;width:109;height:276;mso-wrap-style:none" filled="f" stroked="f">
                <v:textbox style="mso-next-textbox:#_x0000_s62616;mso-fit-shape-to-text:t" inset="0,0,0,0">
                  <w:txbxContent>
                    <w:p w:rsidR="00CB6FAE" w:rsidRDefault="00CB6FAE"/>
                  </w:txbxContent>
                </v:textbox>
              </v:rect>
              <v:rect id="_x0000_s62617" style="position:absolute;left:2877;top:4848;width:1108;height:302" stroked="f"/>
              <v:rect id="_x0000_s62618" style="position:absolute;left:3956;top:4848;width:1108;height:302" stroked="f"/>
              <v:rect id="_x0000_s62619" style="position:absolute;left:5035;top:4848;width:1108;height:302" stroked="f"/>
              <v:rect id="_x0000_s62620" style="position:absolute;left:6114;top:4848;width:1137;height:302" stroked="f"/>
              <v:rect id="_x0000_s62621" style="position:absolute;left:144;top:518;width:1683;height:532" stroked="f"/>
              <v:rect id="_x0000_s62622" style="position:absolute;left:144;top:1021;width:1683;height:302" stroked="f"/>
              <v:rect id="_x0000_s62623" style="position:absolute;left:259;top:1036;width:841;height:207;mso-wrap-style:none" filled="f" stroked="f">
                <v:textbox style="mso-next-textbox:#_x0000_s62623;mso-fit-shape-to-text:t" inset="0,0,0,0">
                  <w:txbxContent>
                    <w:p w:rsidR="00CB6FAE" w:rsidRDefault="00CB6FAE">
                      <w:r>
                        <w:rPr>
                          <w:rFonts w:ascii="Arial" w:hAnsi="Arial" w:cs="Arial"/>
                          <w:color w:val="000000"/>
                          <w:sz w:val="18"/>
                          <w:szCs w:val="18"/>
                        </w:rPr>
                        <w:t>SAS index</w:t>
                      </w:r>
                    </w:p>
                  </w:txbxContent>
                </v:textbox>
              </v:rect>
              <v:rect id="_x0000_s62624" style="position:absolute;left:144;top:1295;width:1683;height:302" stroked="f"/>
              <v:rect id="_x0000_s62625" style="position:absolute;left:259;top:1309;width:511;height:207;mso-wrap-style:none" filled="f" stroked="f">
                <v:textbox style="mso-next-textbox:#_x0000_s62625;mso-fit-shape-to-text:t" inset="0,0,0,0">
                  <w:txbxContent>
                    <w:p w:rsidR="00CB6FAE" w:rsidRDefault="00CB6FAE">
                      <w:r>
                        <w:rPr>
                          <w:rFonts w:ascii="Arial" w:hAnsi="Arial" w:cs="Arial"/>
                          <w:color w:val="000000"/>
                          <w:sz w:val="18"/>
                          <w:szCs w:val="18"/>
                        </w:rPr>
                        <w:t>SAS 1</w:t>
                      </w:r>
                    </w:p>
                  </w:txbxContent>
                </v:textbox>
              </v:rect>
              <v:rect id="_x0000_s62626" style="position:absolute;left:144;top:1568;width:1683;height:302" stroked="f"/>
              <v:rect id="_x0000_s62627" style="position:absolute;left:259;top:1582;width:511;height:207;mso-wrap-style:none" filled="f" stroked="f">
                <v:textbox style="mso-next-textbox:#_x0000_s62627;mso-fit-shape-to-text:t" inset="0,0,0,0">
                  <w:txbxContent>
                    <w:p w:rsidR="00CB6FAE" w:rsidRDefault="00CB6FAE">
                      <w:r>
                        <w:rPr>
                          <w:rFonts w:ascii="Arial" w:hAnsi="Arial" w:cs="Arial"/>
                          <w:color w:val="000000"/>
                          <w:sz w:val="18"/>
                          <w:szCs w:val="18"/>
                        </w:rPr>
                        <w:t>SAS 2</w:t>
                      </w:r>
                    </w:p>
                  </w:txbxContent>
                </v:textbox>
              </v:rect>
              <v:rect id="_x0000_s62628" style="position:absolute;left:144;top:1841;width:1683;height:302" stroked="f"/>
              <v:rect id="_x0000_s62629" style="position:absolute;left:259;top:1856;width:511;height:207;mso-wrap-style:none" filled="f" stroked="f">
                <v:textbox style="mso-next-textbox:#_x0000_s62629;mso-fit-shape-to-text:t" inset="0,0,0,0">
                  <w:txbxContent>
                    <w:p w:rsidR="00CB6FAE" w:rsidRDefault="00CB6FAE">
                      <w:r>
                        <w:rPr>
                          <w:rFonts w:ascii="Arial" w:hAnsi="Arial" w:cs="Arial"/>
                          <w:color w:val="000000"/>
                          <w:sz w:val="18"/>
                          <w:szCs w:val="18"/>
                        </w:rPr>
                        <w:t>SAS 3</w:t>
                      </w:r>
                    </w:p>
                  </w:txbxContent>
                </v:textbox>
              </v:rect>
              <v:rect id="_x0000_s62630" style="position:absolute;left:144;top:2115;width:1683;height:302" stroked="f"/>
              <v:rect id="_x0000_s62631" style="position:absolute;left:259;top:2129;width:511;height:207;mso-wrap-style:none" filled="f" stroked="f">
                <v:textbox style="mso-next-textbox:#_x0000_s62631;mso-fit-shape-to-text:t" inset="0,0,0,0">
                  <w:txbxContent>
                    <w:p w:rsidR="00CB6FAE" w:rsidRDefault="00CB6FAE">
                      <w:r>
                        <w:rPr>
                          <w:rFonts w:ascii="Arial" w:hAnsi="Arial" w:cs="Arial"/>
                          <w:color w:val="000000"/>
                          <w:sz w:val="18"/>
                          <w:szCs w:val="18"/>
                        </w:rPr>
                        <w:t>SAS 4</w:t>
                      </w:r>
                    </w:p>
                  </w:txbxContent>
                </v:textbox>
              </v:rect>
              <v:rect id="_x0000_s62632" style="position:absolute;left:144;top:2388;width:1683;height:302" stroked="f"/>
              <v:rect id="_x0000_s62633" style="position:absolute;left:259;top:2402;width:511;height:207;mso-wrap-style:none" filled="f" stroked="f">
                <v:textbox style="mso-next-textbox:#_x0000_s62633;mso-fit-shape-to-text:t" inset="0,0,0,0">
                  <w:txbxContent>
                    <w:p w:rsidR="00CB6FAE" w:rsidRDefault="00CB6FAE">
                      <w:r>
                        <w:rPr>
                          <w:rFonts w:ascii="Arial" w:hAnsi="Arial" w:cs="Arial"/>
                          <w:color w:val="000000"/>
                          <w:sz w:val="18"/>
                          <w:szCs w:val="18"/>
                        </w:rPr>
                        <w:t>SAS 7</w:t>
                      </w:r>
                    </w:p>
                  </w:txbxContent>
                </v:textbox>
              </v:rect>
              <v:rect id="_x0000_s62634" style="position:absolute;left:144;top:2661;width:1683;height:302" stroked="f"/>
              <v:rect id="_x0000_s62635" style="position:absolute;left:259;top:2676;width:511;height:207;mso-wrap-style:none" filled="f" stroked="f">
                <v:textbox style="mso-next-textbox:#_x0000_s62635;mso-fit-shape-to-text:t" inset="0,0,0,0">
                  <w:txbxContent>
                    <w:p w:rsidR="00CB6FAE" w:rsidRDefault="00CB6FAE">
                      <w:r>
                        <w:rPr>
                          <w:rFonts w:ascii="Arial" w:hAnsi="Arial" w:cs="Arial"/>
                          <w:color w:val="000000"/>
                          <w:sz w:val="18"/>
                          <w:szCs w:val="18"/>
                        </w:rPr>
                        <w:t>SAS 8</w:t>
                      </w:r>
                    </w:p>
                  </w:txbxContent>
                </v:textbox>
              </v:rect>
              <v:rect id="_x0000_s62636" style="position:absolute;left:144;top:2935;width:1683;height:302" stroked="f"/>
              <v:rect id="_x0000_s62637" style="position:absolute;left:259;top:2949;width:511;height:207;mso-wrap-style:none" filled="f" stroked="f">
                <v:textbox style="mso-next-textbox:#_x0000_s62637;mso-fit-shape-to-text:t" inset="0,0,0,0">
                  <w:txbxContent>
                    <w:p w:rsidR="00CB6FAE" w:rsidRDefault="00CB6FAE">
                      <w:r>
                        <w:rPr>
                          <w:rFonts w:ascii="Arial" w:hAnsi="Arial" w:cs="Arial"/>
                          <w:color w:val="000000"/>
                          <w:sz w:val="18"/>
                          <w:szCs w:val="18"/>
                        </w:rPr>
                        <w:t>SAS 9</w:t>
                      </w:r>
                    </w:p>
                  </w:txbxContent>
                </v:textbox>
              </v:rect>
              <v:rect id="_x0000_s62638" style="position:absolute;left:144;top:3208;width:1683;height:302" stroked="f"/>
              <v:rect id="_x0000_s62639" style="position:absolute;left:259;top:3222;width:611;height:207;mso-wrap-style:none" filled="f" stroked="f">
                <v:textbox style="mso-next-textbox:#_x0000_s62639;mso-fit-shape-to-text:t" inset="0,0,0,0">
                  <w:txbxContent>
                    <w:p w:rsidR="00CB6FAE" w:rsidRDefault="00CB6FAE">
                      <w:r>
                        <w:rPr>
                          <w:rFonts w:ascii="Arial" w:hAnsi="Arial" w:cs="Arial"/>
                          <w:color w:val="000000"/>
                          <w:sz w:val="18"/>
                          <w:szCs w:val="18"/>
                        </w:rPr>
                        <w:t>SAS 13</w:t>
                      </w:r>
                    </w:p>
                  </w:txbxContent>
                </v:textbox>
              </v:rect>
              <v:rect id="_x0000_s62640" style="position:absolute;left:144;top:3481;width:1683;height:302" stroked="f"/>
              <v:rect id="_x0000_s62641" style="position:absolute;left:259;top:3496;width:611;height:207;mso-wrap-style:none" filled="f" stroked="f">
                <v:textbox style="mso-next-textbox:#_x0000_s62641;mso-fit-shape-to-text:t" inset="0,0,0,0">
                  <w:txbxContent>
                    <w:p w:rsidR="00CB6FAE" w:rsidRDefault="00CB6FAE">
                      <w:r>
                        <w:rPr>
                          <w:rFonts w:ascii="Arial" w:hAnsi="Arial" w:cs="Arial"/>
                          <w:color w:val="000000"/>
                          <w:sz w:val="18"/>
                          <w:szCs w:val="18"/>
                        </w:rPr>
                        <w:t>SAS 18</w:t>
                      </w:r>
                    </w:p>
                  </w:txbxContent>
                </v:textbox>
              </v:rect>
              <v:rect id="_x0000_s62642" style="position:absolute;left:144;top:3755;width:1683;height:302" stroked="f"/>
              <v:rect id="_x0000_s62643" style="position:absolute;left:259;top:3769;width:611;height:207;mso-wrap-style:none" filled="f" stroked="f">
                <v:textbox style="mso-next-textbox:#_x0000_s62643;mso-fit-shape-to-text:t" inset="0,0,0,0">
                  <w:txbxContent>
                    <w:p w:rsidR="00CB6FAE" w:rsidRDefault="00CB6FAE">
                      <w:r>
                        <w:rPr>
                          <w:rFonts w:ascii="Arial" w:hAnsi="Arial" w:cs="Arial"/>
                          <w:color w:val="000000"/>
                          <w:sz w:val="18"/>
                          <w:szCs w:val="18"/>
                        </w:rPr>
                        <w:t>SAS 19</w:t>
                      </w:r>
                    </w:p>
                  </w:txbxContent>
                </v:textbox>
              </v:rect>
              <v:rect id="_x0000_s62644" style="position:absolute;left:144;top:4028;width:1683;height:302" stroked="f"/>
              <v:rect id="_x0000_s62645" style="position:absolute;left:259;top:4042;width:611;height:207;mso-wrap-style:none" filled="f" stroked="f">
                <v:textbox style="mso-next-textbox:#_x0000_s62645;mso-fit-shape-to-text:t" inset="0,0,0,0">
                  <w:txbxContent>
                    <w:p w:rsidR="00CB6FAE" w:rsidRDefault="00CB6FAE">
                      <w:r>
                        <w:rPr>
                          <w:rFonts w:ascii="Arial" w:hAnsi="Arial" w:cs="Arial"/>
                          <w:color w:val="000000"/>
                          <w:sz w:val="18"/>
                          <w:szCs w:val="18"/>
                        </w:rPr>
                        <w:t>SAS 21</w:t>
                      </w:r>
                    </w:p>
                  </w:txbxContent>
                </v:textbox>
              </v:rect>
              <v:rect id="_x0000_s62646" style="position:absolute;left:144;top:4301;width:1683;height:302" stroked="f"/>
              <v:rect id="_x0000_s62647" style="position:absolute;left:259;top:4316;width:611;height:207;mso-wrap-style:none" filled="f" stroked="f">
                <v:textbox style="mso-next-textbox:#_x0000_s62647;mso-fit-shape-to-text:t" inset="0,0,0,0">
                  <w:txbxContent>
                    <w:p w:rsidR="00CB6FAE" w:rsidRDefault="00CB6FAE">
                      <w:r>
                        <w:rPr>
                          <w:rFonts w:ascii="Arial" w:hAnsi="Arial" w:cs="Arial"/>
                          <w:color w:val="000000"/>
                          <w:sz w:val="18"/>
                          <w:szCs w:val="18"/>
                        </w:rPr>
                        <w:t>SAS 22</w:t>
                      </w:r>
                    </w:p>
                  </w:txbxContent>
                </v:textbox>
              </v:rect>
              <v:rect id="_x0000_s62648" style="position:absolute;left:144;top:4575;width:1683;height:302" stroked="f"/>
              <v:rect id="_x0000_s62649" style="position:absolute;left:259;top:4589;width:611;height:207;mso-wrap-style:none" filled="f" stroked="f">
                <v:textbox style="mso-next-textbox:#_x0000_s62649;mso-fit-shape-to-text:t" inset="0,0,0,0">
                  <w:txbxContent>
                    <w:p w:rsidR="00CB6FAE" w:rsidRDefault="00CB6FAE">
                      <w:r>
                        <w:rPr>
                          <w:rFonts w:ascii="Arial" w:hAnsi="Arial" w:cs="Arial"/>
                          <w:color w:val="000000"/>
                          <w:sz w:val="18"/>
                          <w:szCs w:val="18"/>
                        </w:rPr>
                        <w:t>SAS 23</w:t>
                      </w:r>
                    </w:p>
                  </w:txbxContent>
                </v:textbox>
              </v:rect>
              <v:rect id="_x0000_s62650" style="position:absolute;left:144;top:4848;width:1683;height:302" stroked="f"/>
              <v:rect id="_x0000_s62651" style="position:absolute;left:259;top:4862;width:109;height:276;mso-wrap-style:none" filled="f" stroked="f">
                <v:textbox style="mso-next-textbox:#_x0000_s62651;mso-fit-shape-to-text:t" inset="0,0,0,0">
                  <w:txbxContent>
                    <w:p w:rsidR="00CB6FAE" w:rsidRDefault="00CB6FAE"/>
                  </w:txbxContent>
                </v:textbox>
              </v:rect>
              <v:rect id="_x0000_s62652" style="position:absolute;left:1798;top:518;width:1108;height:532" stroked="f"/>
              <v:rect id="_x0000_s62653" style="position:absolute;left:2230;top:791;width:130;height:207;mso-wrap-style:none" filled="f" stroked="f">
                <v:textbox style="mso-next-textbox:#_x0000_s62653;mso-fit-shape-to-text:t" inset="0,0,0,0">
                  <w:txbxContent>
                    <w:p w:rsidR="00CB6FAE" w:rsidRDefault="00CB6FAE">
                      <w:r>
                        <w:rPr>
                          <w:rFonts w:ascii="Arial" w:hAnsi="Arial" w:cs="Arial"/>
                          <w:color w:val="000000"/>
                          <w:sz w:val="18"/>
                          <w:szCs w:val="18"/>
                        </w:rPr>
                        <w:t>N</w:t>
                      </w:r>
                    </w:p>
                  </w:txbxContent>
                </v:textbox>
              </v:rect>
              <v:rect id="_x0000_s62654" style="position:absolute;left:2877;top:518;width:1108;height:532" stroked="f"/>
              <v:rect id="_x0000_s62655" style="position:absolute;left:3072;top:791;width:731;height:207;mso-wrap-style:none" filled="f" stroked="f">
                <v:textbox style="mso-next-textbox:#_x0000_s62655;mso-fit-shape-to-text:t" inset="0,0,0,0">
                  <w:txbxContent>
                    <w:p w:rsidR="00CB6FAE" w:rsidRDefault="00CB6FAE">
                      <w:r>
                        <w:rPr>
                          <w:rFonts w:ascii="Arial" w:hAnsi="Arial" w:cs="Arial"/>
                          <w:color w:val="000000"/>
                          <w:sz w:val="18"/>
                          <w:szCs w:val="18"/>
                        </w:rPr>
                        <w:t>Minimum</w:t>
                      </w:r>
                    </w:p>
                  </w:txbxContent>
                </v:textbox>
              </v:rect>
              <v:rect id="_x0000_s62656" style="position:absolute;left:3956;top:518;width:1108;height:532" stroked="f"/>
              <v:rect id="_x0000_s62657" style="position:absolute;left:4122;top:791;width:781;height:207;mso-wrap-style:none" filled="f" stroked="f">
                <v:textbox style="mso-next-textbox:#_x0000_s62657;mso-fit-shape-to-text:t" inset="0,0,0,0">
                  <w:txbxContent>
                    <w:p w:rsidR="00CB6FAE" w:rsidRDefault="00CB6FAE">
                      <w:r>
                        <w:rPr>
                          <w:rFonts w:ascii="Arial" w:hAnsi="Arial" w:cs="Arial"/>
                          <w:color w:val="000000"/>
                          <w:sz w:val="18"/>
                          <w:szCs w:val="18"/>
                        </w:rPr>
                        <w:t>Maximum</w:t>
                      </w:r>
                    </w:p>
                  </w:txbxContent>
                </v:textbox>
              </v:rect>
              <v:rect id="_x0000_s62658" style="position:absolute;left:5035;top:518;width:1108;height:532" stroked="f"/>
              <v:rect id="_x0000_s62659" style="position:absolute;left:5330;top:791;width:451;height:207;mso-wrap-style:none" filled="f" stroked="f">
                <v:textbox style="mso-next-textbox:#_x0000_s62659;mso-fit-shape-to-text:t" inset="0,0,0,0">
                  <w:txbxContent>
                    <w:p w:rsidR="00CB6FAE" w:rsidRDefault="00CB6FAE">
                      <w:r>
                        <w:rPr>
                          <w:rFonts w:ascii="Arial" w:hAnsi="Arial" w:cs="Arial"/>
                          <w:color w:val="000000"/>
                          <w:sz w:val="18"/>
                          <w:szCs w:val="18"/>
                        </w:rPr>
                        <w:t>Mean</w:t>
                      </w:r>
                    </w:p>
                  </w:txbxContent>
                </v:textbox>
              </v:rect>
              <v:rect id="_x0000_s62660" style="position:absolute;left:6114;top:518;width:1137;height:532" stroked="f"/>
              <v:rect id="_x0000_s62661" style="position:absolute;left:6474;top:561;width:321;height:207;mso-wrap-style:none" filled="f" stroked="f">
                <v:textbox style="mso-next-textbox:#_x0000_s62661;mso-fit-shape-to-text:t" inset="0,0,0,0">
                  <w:txbxContent>
                    <w:p w:rsidR="00CB6FAE" w:rsidRDefault="00CB6FAE">
                      <w:r>
                        <w:rPr>
                          <w:rFonts w:ascii="Arial" w:hAnsi="Arial" w:cs="Arial"/>
                          <w:color w:val="000000"/>
                          <w:sz w:val="18"/>
                          <w:szCs w:val="18"/>
                        </w:rPr>
                        <w:t>Std.</w:t>
                      </w:r>
                    </w:p>
                  </w:txbxContent>
                </v:textbox>
              </v:rect>
              <v:rect id="_x0000_s62662" style="position:absolute;left:6294;top:791;width:751;height:207;mso-wrap-style:none" filled="f" stroked="f">
                <v:textbox style="mso-next-textbox:#_x0000_s62662;mso-fit-shape-to-text:t" inset="0,0,0,0">
                  <w:txbxContent>
                    <w:p w:rsidR="00CB6FAE" w:rsidRDefault="00CB6FAE">
                      <w:r>
                        <w:rPr>
                          <w:rFonts w:ascii="Arial" w:hAnsi="Arial" w:cs="Arial"/>
                          <w:color w:val="000000"/>
                          <w:sz w:val="18"/>
                          <w:szCs w:val="18"/>
                        </w:rPr>
                        <w:t>Deviation</w:t>
                      </w:r>
                    </w:p>
                  </w:txbxContent>
                </v:textbox>
              </v:rect>
              <v:line id="_x0000_s62663" style="position:absolute" from="2877,518" to="2878,5121" strokeweight="39e-5mm"/>
              <v:line id="_x0000_s62664" style="position:absolute" from="3956,518" to="3957,5121" strokeweight="39e-5mm"/>
              <v:line id="_x0000_s62665" style="position:absolute" from="5035,518" to="5036,5121" strokeweight="39e-5mm"/>
              <v:line id="_x0000_s62666" style="position:absolute" from="6114,518" to="6115,5121" strokeweight="39e-5mm"/>
              <v:rect id="_x0000_s62667" style="position:absolute;left:7078;top:503;width:14;height:4561" stroked="f"/>
              <v:rect id="_x0000_s62668" style="position:absolute;left:144;top:489;width:6948;height:43" stroked="f"/>
              <v:rect id="_x0000_s62669" style="position:absolute;width:7366;height:144" stroked="f"/>
              <v:rect id="_x0000_s62670" style="position:absolute;width:144;height:5265" stroked="f"/>
              <v:rect id="_x0000_s62671" style="position:absolute;left:7222;width:158;height:5265" stroked="f"/>
              <v:rect id="_x0000_s62672" style="position:absolute;top:5121;width:7366;height:158" stroked="f"/>
            </v:group>
            <v:line id="_x0000_s62674" style="position:absolute" from="158,532" to="159,5107" strokeweight="81e-5mm"/>
            <v:line id="_x0000_s62675" style="position:absolute" from="7207,532" to="7208,5107" strokeweight="81e-5mm"/>
            <v:line id="_x0000_s62676" style="position:absolute" from="158,532" to="7207,533" strokeweight="81e-5mm"/>
            <v:line id="_x0000_s62677" style="position:absolute" from="158,5107" to="7207,5108" strokeweight="81e-5mm"/>
            <v:line id="_x0000_s62678" style="position:absolute" from="158,1036" to="7207,1037" strokeweight="81e-5mm"/>
            <v:line id="_x0000_s62679" style="position:absolute" from="1813,532" to="1814,5107" strokeweight="81e-5mm"/>
            <w10:wrap type="none"/>
            <w10:anchorlock/>
          </v:group>
        </w:pict>
      </w:r>
    </w:p>
    <w:p w:rsidR="00BF4515" w:rsidRPr="008573C5" w:rsidRDefault="00BF4515" w:rsidP="00A51076">
      <w:pPr>
        <w:jc w:val="center"/>
        <w:rPr>
          <w:rFonts w:eastAsia="Calibri"/>
          <w:b/>
          <w:bCs/>
        </w:rPr>
      </w:pPr>
      <w:r w:rsidRPr="008573C5">
        <w:rPr>
          <w:rFonts w:eastAsia="Calibri"/>
          <w:b/>
          <w:bCs/>
        </w:rPr>
        <w:t>Source: Field Study (2009)</w:t>
      </w:r>
    </w:p>
    <w:p w:rsidR="00A51076" w:rsidRPr="008573C5" w:rsidRDefault="00A51076" w:rsidP="00A51076">
      <w:pPr>
        <w:jc w:val="center"/>
        <w:rPr>
          <w:rFonts w:ascii="System" w:eastAsia="Calibri" w:hAnsi="System" w:cs="System"/>
          <w:b/>
          <w:bCs/>
          <w:sz w:val="20"/>
          <w:szCs w:val="20"/>
        </w:rPr>
      </w:pPr>
    </w:p>
    <w:p w:rsidR="00FB6B48" w:rsidRPr="008573C5" w:rsidRDefault="00FB6B48" w:rsidP="00FB6B48">
      <w:pPr>
        <w:spacing w:line="480" w:lineRule="auto"/>
        <w:jc w:val="both"/>
        <w:rPr>
          <w:rFonts w:ascii="Times" w:hAnsi="Times" w:cs="Times"/>
          <w:b/>
        </w:rPr>
      </w:pPr>
      <w:r w:rsidRPr="008573C5">
        <w:rPr>
          <w:rFonts w:ascii="Times" w:hAnsi="Times" w:cs="Times"/>
          <w:b/>
        </w:rPr>
        <w:t>4.1.1.1</w:t>
      </w:r>
      <w:r w:rsidRPr="008573C5">
        <w:rPr>
          <w:rFonts w:ascii="Times" w:hAnsi="Times" w:cs="Times"/>
          <w:b/>
        </w:rPr>
        <w:tab/>
        <w:t xml:space="preserve">Descriptive Statistics of Compliance with SASs </w:t>
      </w:r>
    </w:p>
    <w:p w:rsidR="00FF5EDF" w:rsidRPr="008573C5" w:rsidRDefault="002651DE" w:rsidP="00FB6B48">
      <w:pPr>
        <w:spacing w:line="360" w:lineRule="auto"/>
        <w:jc w:val="both"/>
      </w:pPr>
      <w:r w:rsidRPr="008573C5">
        <w:rPr>
          <w:lang w:val="en-GB"/>
        </w:rPr>
        <w:t>Table 4.0</w:t>
      </w:r>
      <w:r w:rsidR="00FF5EDF" w:rsidRPr="008573C5">
        <w:rPr>
          <w:lang w:val="en-GB"/>
        </w:rPr>
        <w:t>3 presents</w:t>
      </w:r>
      <w:r w:rsidR="00FF5EDF" w:rsidRPr="008573C5">
        <w:t xml:space="preserve"> the descriptive analysis of the SAS standard-by-standard breakdown. On standard-by-standard analysis, it is obser</w:t>
      </w:r>
      <w:r w:rsidR="00551A89">
        <w:t>ved that the compliance level i</w:t>
      </w:r>
      <w:r w:rsidR="00FF5EDF" w:rsidRPr="008573C5">
        <w:t xml:space="preserve">s relatively </w:t>
      </w:r>
      <w:r w:rsidR="007E09B8" w:rsidRPr="008573C5">
        <w:t xml:space="preserve">high for SASs 2, 4, 7, 9, 13, 18, </w:t>
      </w:r>
      <w:r w:rsidR="00FF5EDF" w:rsidRPr="008573C5">
        <w:t xml:space="preserve">19 </w:t>
      </w:r>
      <w:r w:rsidR="007E09B8" w:rsidRPr="008573C5">
        <w:t xml:space="preserve">and 23, </w:t>
      </w:r>
      <w:r w:rsidR="00FF5EDF" w:rsidRPr="008573C5">
        <w:t>with a mean greater than 0.90. The lowest level of c</w:t>
      </w:r>
      <w:r w:rsidR="00551A89">
        <w:t>ompliance i</w:t>
      </w:r>
      <w:r w:rsidR="00FF5EDF" w:rsidRPr="008573C5">
        <w:t xml:space="preserve">s found for SAS 21 with a mean of 0.52. The compliance level of SAS 1, 3, and 8 ranged between 0.70 and 0.89. The number of companies that actually disclose information on SAS 22 and SAS 23 are 5 and 37 respectively out of 90 with a compliance level ranging between 0.90 and 0.98. </w:t>
      </w:r>
      <w:r w:rsidR="00066B19" w:rsidRPr="008573C5">
        <w:t>The a</w:t>
      </w:r>
      <w:r w:rsidR="00FF5EDF" w:rsidRPr="008573C5">
        <w:t>nalysis suggests that many companies whose year end was on 31</w:t>
      </w:r>
      <w:r w:rsidR="00FF5EDF" w:rsidRPr="008573C5">
        <w:rPr>
          <w:vertAlign w:val="superscript"/>
        </w:rPr>
        <w:t>st</w:t>
      </w:r>
      <w:r w:rsidR="00FF5EDF" w:rsidRPr="008573C5">
        <w:t xml:space="preserve"> December 2006 chose not to comply with the requirements of SAS 22 and 23, while companies whose year end terminated before 31</w:t>
      </w:r>
      <w:r w:rsidR="00FF5EDF" w:rsidRPr="008573C5">
        <w:rPr>
          <w:vertAlign w:val="superscript"/>
        </w:rPr>
        <w:t>st</w:t>
      </w:r>
      <w:r w:rsidR="00FF5EDF" w:rsidRPr="008573C5">
        <w:t xml:space="preserve"> December, 2006 ignored them because the standards only became operational on 31</w:t>
      </w:r>
      <w:r w:rsidR="00FF5EDF" w:rsidRPr="008573C5">
        <w:rPr>
          <w:vertAlign w:val="superscript"/>
        </w:rPr>
        <w:t>st</w:t>
      </w:r>
      <w:r w:rsidR="00FF5EDF" w:rsidRPr="008573C5">
        <w:t xml:space="preserve"> of December, 2006. A more detailed standard-by-standard analysis is </w:t>
      </w:r>
      <w:r w:rsidR="00963D78" w:rsidRPr="008573C5">
        <w:t>given</w:t>
      </w:r>
      <w:r w:rsidR="00FF5EDF" w:rsidRPr="008573C5">
        <w:t xml:space="preserve"> below:</w:t>
      </w:r>
    </w:p>
    <w:p w:rsidR="007E09B8" w:rsidRPr="008573C5" w:rsidRDefault="007E09B8" w:rsidP="004A665C">
      <w:pPr>
        <w:spacing w:line="360" w:lineRule="auto"/>
        <w:jc w:val="both"/>
        <w:rPr>
          <w:b/>
        </w:rPr>
      </w:pPr>
    </w:p>
    <w:p w:rsidR="00FF5EDF" w:rsidRPr="008573C5" w:rsidRDefault="00FF5EDF" w:rsidP="004A665C">
      <w:pPr>
        <w:spacing w:line="360" w:lineRule="auto"/>
        <w:jc w:val="both"/>
      </w:pPr>
      <w:r w:rsidRPr="008573C5">
        <w:rPr>
          <w:b/>
        </w:rPr>
        <w:t>SAS 1(Statement of Accounting Policies)</w:t>
      </w:r>
      <w:r w:rsidRPr="008573C5">
        <w:t>: For SAS 1, disclosure averaged between 100% and 58% with the banking sector taking the lead at 95%. Trans-Nationwide Express Plc in the Commercial industry had the lowest compliance of 58%. This is due to the fact that it failed to present some pertinent policies such as employee retirement benefits and taxes under the accounting policies caption.</w:t>
      </w:r>
    </w:p>
    <w:p w:rsidR="00FF5EDF" w:rsidRPr="008573C5" w:rsidRDefault="00FF5EDF" w:rsidP="004A665C">
      <w:pPr>
        <w:spacing w:line="360" w:lineRule="auto"/>
        <w:jc w:val="both"/>
      </w:pPr>
      <w:r w:rsidRPr="008573C5">
        <w:rPr>
          <w:b/>
        </w:rPr>
        <w:t>SAS 2 (Information to be disclosed in Financial Statements):</w:t>
      </w:r>
      <w:r w:rsidR="00551A89">
        <w:t xml:space="preserve"> SAS 2 i</w:t>
      </w:r>
      <w:r w:rsidRPr="008573C5">
        <w:t xml:space="preserve">s highly complied </w:t>
      </w:r>
      <w:r w:rsidR="007E09B8" w:rsidRPr="008573C5">
        <w:t>with;</w:t>
      </w:r>
      <w:r w:rsidRPr="008573C5">
        <w:t xml:space="preserve"> it has a mean disclosure of 95%. Companies that fully compl</w:t>
      </w:r>
      <w:r w:rsidR="00551A89">
        <w:t>y with SAS 2 a</w:t>
      </w:r>
      <w:r w:rsidRPr="008573C5">
        <w:t>re from the Petroleum (marketing), Automobile and Tyre, Chemical and Paints, Breweries, and Building materials industries. Many companies that d</w:t>
      </w:r>
      <w:r w:rsidR="00551A89">
        <w:t>o not</w:t>
      </w:r>
      <w:r w:rsidRPr="008573C5">
        <w:t xml:space="preserve"> fully comply with the requirements of this standard either d</w:t>
      </w:r>
      <w:r w:rsidR="00551A89">
        <w:t xml:space="preserve">o </w:t>
      </w:r>
      <w:r w:rsidRPr="008573C5">
        <w:t>not reveal the relationship with its significant local and overseas suppliers or distinguish between imported and local purchase items in their value added statements.</w:t>
      </w:r>
    </w:p>
    <w:p w:rsidR="00FF5EDF" w:rsidRPr="008573C5" w:rsidRDefault="00FF5EDF" w:rsidP="004A665C">
      <w:pPr>
        <w:spacing w:line="360" w:lineRule="auto"/>
        <w:jc w:val="both"/>
      </w:pPr>
      <w:r w:rsidRPr="008573C5">
        <w:rPr>
          <w:b/>
        </w:rPr>
        <w:t xml:space="preserve">SAS 3 (Accounting for Property, Plant and </w:t>
      </w:r>
      <w:r w:rsidR="007E09B8" w:rsidRPr="008573C5">
        <w:rPr>
          <w:b/>
        </w:rPr>
        <w:t>Equipment (</w:t>
      </w:r>
      <w:r w:rsidRPr="008573C5">
        <w:rPr>
          <w:b/>
        </w:rPr>
        <w:t xml:space="preserve">PPE)): </w:t>
      </w:r>
      <w:r w:rsidRPr="008573C5">
        <w:t xml:space="preserve">The </w:t>
      </w:r>
      <w:r w:rsidR="00551A89">
        <w:t>disclosure ranges</w:t>
      </w:r>
      <w:r w:rsidRPr="008573C5">
        <w:t xml:space="preserve"> between 0% and 100%.</w:t>
      </w:r>
      <w:r w:rsidR="00551A89">
        <w:t xml:space="preserve"> The building services sector i</w:t>
      </w:r>
      <w:r w:rsidRPr="008573C5">
        <w:t>s the only sector that fully complie</w:t>
      </w:r>
      <w:r w:rsidR="00551A89">
        <w:t>s</w:t>
      </w:r>
      <w:r w:rsidRPr="008573C5">
        <w:t xml:space="preserve"> with the disclosure requirements of SAS 3.</w:t>
      </w:r>
      <w:r w:rsidR="00231E5C" w:rsidRPr="008573C5">
        <w:t xml:space="preserve"> </w:t>
      </w:r>
      <w:r w:rsidRPr="008573C5">
        <w:t xml:space="preserve">Most companies </w:t>
      </w:r>
      <w:r w:rsidR="00551A89">
        <w:t>whose gross book value of PPE i</w:t>
      </w:r>
      <w:r w:rsidRPr="008573C5">
        <w:t>s determined using revalued amounts d</w:t>
      </w:r>
      <w:r w:rsidR="00551A89">
        <w:t>o</w:t>
      </w:r>
      <w:r w:rsidRPr="008573C5">
        <w:t xml:space="preserve"> not disclose polices regarding the frequency of revaluations</w:t>
      </w:r>
      <w:r w:rsidR="00693DC2" w:rsidRPr="008573C5">
        <w:t>. A Conglomerate, SCOA Plc,</w:t>
      </w:r>
      <w:r w:rsidRPr="008573C5">
        <w:t xml:space="preserve"> fail</w:t>
      </w:r>
      <w:r w:rsidR="00551A89">
        <w:t>s</w:t>
      </w:r>
      <w:r w:rsidRPr="008573C5">
        <w:t xml:space="preserve"> to comply with the requirements of this standard with a</w:t>
      </w:r>
      <w:r w:rsidR="00231E5C" w:rsidRPr="008573C5">
        <w:t xml:space="preserve"> </w:t>
      </w:r>
      <w:r w:rsidRPr="008573C5">
        <w:t>0% compliance.  It deliberately or inadvertently d</w:t>
      </w:r>
      <w:r w:rsidR="00551A89">
        <w:t xml:space="preserve">oes </w:t>
      </w:r>
      <w:r w:rsidRPr="008573C5">
        <w:t xml:space="preserve">not disclose the basis of determining the book value of PPE and the movements in each category of PPE. </w:t>
      </w:r>
    </w:p>
    <w:p w:rsidR="00FF5EDF" w:rsidRPr="008573C5" w:rsidRDefault="00FF5EDF" w:rsidP="004A665C">
      <w:pPr>
        <w:autoSpaceDE w:val="0"/>
        <w:autoSpaceDN w:val="0"/>
        <w:adjustRightInd w:val="0"/>
        <w:spacing w:after="120" w:line="360" w:lineRule="auto"/>
        <w:jc w:val="both"/>
      </w:pPr>
      <w:r w:rsidRPr="008573C5">
        <w:rPr>
          <w:b/>
        </w:rPr>
        <w:t>SAS 4 (On Stocks)</w:t>
      </w:r>
      <w:r w:rsidR="00551A89">
        <w:t>: The extent of disclosure i</w:t>
      </w:r>
      <w:r w:rsidRPr="008573C5">
        <w:t>s very high for all sectors except for the financial sector where it is not applicable. Most com</w:t>
      </w:r>
      <w:r w:rsidR="00905E70" w:rsidRPr="008573C5">
        <w:t>panies that appl</w:t>
      </w:r>
      <w:r w:rsidR="00551A89">
        <w:t>y</w:t>
      </w:r>
      <w:r w:rsidR="00905E70" w:rsidRPr="008573C5">
        <w:t xml:space="preserve"> SAS 4 ha</w:t>
      </w:r>
      <w:r w:rsidR="00551A89">
        <w:t>ve</w:t>
      </w:r>
      <w:r w:rsidR="00905E70" w:rsidRPr="008573C5">
        <w:t xml:space="preserve"> a</w:t>
      </w:r>
      <w:r w:rsidR="00551A89">
        <w:t xml:space="preserve"> </w:t>
      </w:r>
      <w:r w:rsidRPr="008573C5">
        <w:t>100% compliance except for two companies SCOA Plc. and Avon</w:t>
      </w:r>
      <w:r w:rsidR="00905E70" w:rsidRPr="008573C5">
        <w:t xml:space="preserve"> Crowncaps and Containers Plc. </w:t>
      </w:r>
      <w:r w:rsidR="00551A89">
        <w:t>t</w:t>
      </w:r>
      <w:r w:rsidRPr="008573C5">
        <w:t>hat ha</w:t>
      </w:r>
      <w:r w:rsidR="00551A89">
        <w:t>s</w:t>
      </w:r>
      <w:r w:rsidRPr="008573C5">
        <w:t xml:space="preserve"> a compliance level of 33%. The financial statements of these two companies d</w:t>
      </w:r>
      <w:r w:rsidR="00551A89">
        <w:t>o</w:t>
      </w:r>
      <w:r w:rsidRPr="008573C5">
        <w:t xml:space="preserve"> not state the amount in respect of each type of stock and did not classify them in a manner appr</w:t>
      </w:r>
      <w:r w:rsidR="00551A89">
        <w:t>opriate to their business. It i</w:t>
      </w:r>
      <w:r w:rsidRPr="008573C5">
        <w:t xml:space="preserve">s generally observed that the valuation methods utilized in </w:t>
      </w:r>
      <w:r w:rsidR="00551A89">
        <w:t>determining the cost of stock i</w:t>
      </w:r>
      <w:r w:rsidRPr="008573C5">
        <w:t xml:space="preserve">s not disclosed by most companies. </w:t>
      </w:r>
    </w:p>
    <w:p w:rsidR="00FF5EDF" w:rsidRPr="008573C5" w:rsidRDefault="00FF5EDF" w:rsidP="004A665C">
      <w:pPr>
        <w:autoSpaceDE w:val="0"/>
        <w:autoSpaceDN w:val="0"/>
        <w:adjustRightInd w:val="0"/>
        <w:spacing w:after="120" w:line="360" w:lineRule="auto"/>
        <w:jc w:val="both"/>
      </w:pPr>
      <w:r w:rsidRPr="008573C5">
        <w:rPr>
          <w:b/>
        </w:rPr>
        <w:t>SAS 7 (On Foreign Currency Conversions and Translations)</w:t>
      </w:r>
      <w:r w:rsidRPr="008573C5">
        <w:t>: SAS 7 witnesse</w:t>
      </w:r>
      <w:r w:rsidR="00551A89">
        <w:t>s</w:t>
      </w:r>
      <w:r w:rsidRPr="008573C5">
        <w:t xml:space="preserve"> full compliance by fifty four out of the fifty five companies that compl</w:t>
      </w:r>
      <w:r w:rsidR="00551A89">
        <w:t>y</w:t>
      </w:r>
      <w:r w:rsidRPr="008573C5">
        <w:t xml:space="preserve"> with the disclosure requirements o</w:t>
      </w:r>
      <w:r w:rsidR="00551A89">
        <w:t>f SAS 7. Other companies ignore</w:t>
      </w:r>
      <w:r w:rsidRPr="008573C5">
        <w:t xml:space="preserve"> the requirements of this standard but disclose the accounting policy under the accounting policies caption. The highest levels of compliance are found in the Conglomerate, Petroleum, Building services and Banking industries. Dangote flour mills Plc. a member of the Food and Beverages industry ha</w:t>
      </w:r>
      <w:r w:rsidR="00231E5C" w:rsidRPr="008573C5">
        <w:t>s</w:t>
      </w:r>
      <w:r w:rsidRPr="008573C5">
        <w:t xml:space="preserve"> a 50% compliance level while SCOA Plc, a major importer of vehicles and equipment fail</w:t>
      </w:r>
      <w:r w:rsidR="00551A89">
        <w:t>s</w:t>
      </w:r>
      <w:r w:rsidRPr="008573C5">
        <w:t xml:space="preserve"> to comply with requirements of this standard (0%). </w:t>
      </w:r>
    </w:p>
    <w:p w:rsidR="00FF5EDF" w:rsidRPr="008573C5" w:rsidRDefault="00FF5EDF" w:rsidP="004A665C">
      <w:pPr>
        <w:autoSpaceDE w:val="0"/>
        <w:autoSpaceDN w:val="0"/>
        <w:adjustRightInd w:val="0"/>
        <w:spacing w:after="120" w:line="360" w:lineRule="auto"/>
        <w:jc w:val="both"/>
      </w:pPr>
      <w:r w:rsidRPr="008573C5">
        <w:rPr>
          <w:b/>
        </w:rPr>
        <w:t>SAS 8 (On Accounting for Employees’ Retirement Benefits)</w:t>
      </w:r>
      <w:r w:rsidRPr="008573C5">
        <w:t>: Disclosure of SAS 8 range</w:t>
      </w:r>
      <w:r w:rsidR="00FD14D0">
        <w:t>s</w:t>
      </w:r>
      <w:r w:rsidRPr="008573C5">
        <w:t xml:space="preserve"> between 33% and 100% with mea</w:t>
      </w:r>
      <w:r w:rsidR="00FD14D0">
        <w:t>n disclosure of 71%. It i</w:t>
      </w:r>
      <w:r w:rsidRPr="008573C5">
        <w:t>s observed that most reporting entities d</w:t>
      </w:r>
      <w:r w:rsidR="00FD14D0">
        <w:t>o</w:t>
      </w:r>
      <w:r w:rsidRPr="008573C5">
        <w:t xml:space="preserve"> not disclose in the notes to the accounts the categories of employees covered for the retirement, provident or pension plan. Al</w:t>
      </w:r>
      <w:r w:rsidR="00FD14D0">
        <w:t>so, most of the companies fail</w:t>
      </w:r>
      <w:r w:rsidRPr="008573C5">
        <w:t xml:space="preserve"> to disclose the percentage contribution of the employer and employee.</w:t>
      </w:r>
    </w:p>
    <w:p w:rsidR="00FF5EDF" w:rsidRPr="008573C5" w:rsidRDefault="00FF5EDF" w:rsidP="004A665C">
      <w:pPr>
        <w:autoSpaceDE w:val="0"/>
        <w:autoSpaceDN w:val="0"/>
        <w:adjustRightInd w:val="0"/>
        <w:spacing w:after="120" w:line="360" w:lineRule="auto"/>
        <w:jc w:val="both"/>
      </w:pPr>
      <w:r w:rsidRPr="008573C5">
        <w:rPr>
          <w:b/>
        </w:rPr>
        <w:t>SAS 9 (Accounting for Depreciation)</w:t>
      </w:r>
      <w:r w:rsidRPr="008573C5">
        <w:t xml:space="preserve">: For </w:t>
      </w:r>
      <w:r w:rsidR="00FD14D0">
        <w:t>SAS 9, full disclosure (100%) i</w:t>
      </w:r>
      <w:r w:rsidRPr="008573C5">
        <w:t>s observed for eighty nine out of ninety</w:t>
      </w:r>
      <w:r w:rsidR="00FD14D0">
        <w:t xml:space="preserve"> sampled companies. SCOA Plc. i</w:t>
      </w:r>
      <w:r w:rsidRPr="008573C5">
        <w:t>s only the odd one out. It deliberately or inadvertently fail</w:t>
      </w:r>
      <w:r w:rsidR="00FD14D0">
        <w:t>s</w:t>
      </w:r>
      <w:r w:rsidRPr="008573C5">
        <w:t xml:space="preserve"> to disclose in the notes to the accounts, the amount charged as depreciation during the period, the methods used in computing depreciation in the period, and the accumulated depreciation for each category or group of assets. </w:t>
      </w:r>
    </w:p>
    <w:p w:rsidR="00FF5EDF" w:rsidRPr="008573C5" w:rsidRDefault="00FF5EDF" w:rsidP="004A665C">
      <w:pPr>
        <w:autoSpaceDE w:val="0"/>
        <w:autoSpaceDN w:val="0"/>
        <w:adjustRightInd w:val="0"/>
        <w:spacing w:after="120" w:line="360" w:lineRule="auto"/>
        <w:jc w:val="both"/>
      </w:pPr>
      <w:r w:rsidRPr="008573C5">
        <w:rPr>
          <w:b/>
        </w:rPr>
        <w:t xml:space="preserve">SAS 13 ( On Accounting for Investments): </w:t>
      </w:r>
      <w:r w:rsidR="00FD14D0">
        <w:t>Disclosure for SAS 13 ranges</w:t>
      </w:r>
      <w:r w:rsidRPr="008573C5">
        <w:t xml:space="preserve"> between 50% and 100%. The default in most compan</w:t>
      </w:r>
      <w:r w:rsidR="00693DC2" w:rsidRPr="008573C5">
        <w:t>ies</w:t>
      </w:r>
      <w:r w:rsidR="00FD14D0">
        <w:t xml:space="preserve"> i</w:t>
      </w:r>
      <w:r w:rsidRPr="008573C5">
        <w:t>s due to the fact that most of them d</w:t>
      </w:r>
      <w:r w:rsidR="00FD14D0">
        <w:t>o</w:t>
      </w:r>
      <w:r w:rsidRPr="008573C5">
        <w:t xml:space="preserve"> not disclose the aggregate quoted market value of securities of quoted companies as well as their corresponding carrying amount.</w:t>
      </w:r>
    </w:p>
    <w:p w:rsidR="00FF5EDF" w:rsidRPr="008573C5" w:rsidRDefault="00FF5EDF" w:rsidP="004A665C">
      <w:pPr>
        <w:autoSpaceDE w:val="0"/>
        <w:autoSpaceDN w:val="0"/>
        <w:adjustRightInd w:val="0"/>
        <w:spacing w:after="120" w:line="360" w:lineRule="auto"/>
        <w:jc w:val="both"/>
      </w:pPr>
      <w:r w:rsidRPr="008573C5">
        <w:rPr>
          <w:b/>
        </w:rPr>
        <w:t xml:space="preserve">SAS 18 (On Statement of Cash Flow): </w:t>
      </w:r>
      <w:r w:rsidRPr="008573C5">
        <w:t>The disclosure requirement of SAS 18 is</w:t>
      </w:r>
      <w:r w:rsidRPr="008573C5">
        <w:rPr>
          <w:b/>
        </w:rPr>
        <w:t xml:space="preserve"> </w:t>
      </w:r>
      <w:r w:rsidRPr="008573C5">
        <w:t>observed by all the ninety sampled companies. Of this, eight</w:t>
      </w:r>
      <w:r w:rsidR="00693DC2" w:rsidRPr="008573C5">
        <w:t>y seven companies compl</w:t>
      </w:r>
      <w:r w:rsidR="00FD14D0">
        <w:t>y</w:t>
      </w:r>
      <w:r w:rsidR="00693DC2" w:rsidRPr="008573C5">
        <w:t xml:space="preserve"> 100%, </w:t>
      </w:r>
      <w:r w:rsidRPr="008573C5">
        <w:t>while the others ha</w:t>
      </w:r>
      <w:r w:rsidR="00FD14D0">
        <w:t>ve</w:t>
      </w:r>
      <w:r w:rsidRPr="008573C5">
        <w:t xml:space="preserve"> a disclosure range between 60% and 80%. These companies d</w:t>
      </w:r>
      <w:r w:rsidR="00FD14D0">
        <w:t>o</w:t>
      </w:r>
      <w:r w:rsidRPr="008573C5">
        <w:t xml:space="preserve"> not disclose by way of note a reconciliation of the amounts in its Statement of Cash Flows with equivalent items reported in the profit and loss account and the balance sheet. </w:t>
      </w:r>
    </w:p>
    <w:p w:rsidR="00FF5EDF" w:rsidRPr="008573C5" w:rsidRDefault="00FF5EDF" w:rsidP="00674DFB">
      <w:pPr>
        <w:spacing w:before="100" w:beforeAutospacing="1" w:after="100" w:afterAutospacing="1" w:line="360" w:lineRule="auto"/>
        <w:jc w:val="both"/>
      </w:pPr>
      <w:r w:rsidRPr="008573C5">
        <w:rPr>
          <w:b/>
        </w:rPr>
        <w:t>SAS 19 (Accounting for Taxes)</w:t>
      </w:r>
      <w:r w:rsidR="00FD14D0">
        <w:t>:  SAS 19 i</w:t>
      </w:r>
      <w:r w:rsidRPr="008573C5">
        <w:t>s fully disclosed by eighty five out of eighty seven companies. CAP Plc d</w:t>
      </w:r>
      <w:r w:rsidR="00FD14D0">
        <w:t xml:space="preserve">oes </w:t>
      </w:r>
      <w:r w:rsidRPr="008573C5">
        <w:t>not disclose the breakdown of it</w:t>
      </w:r>
      <w:r w:rsidR="00905E70" w:rsidRPr="008573C5">
        <w:t xml:space="preserve">s deferred taxation while SCOA </w:t>
      </w:r>
      <w:r w:rsidRPr="008573C5">
        <w:t>Plc. d</w:t>
      </w:r>
      <w:r w:rsidR="00FD14D0">
        <w:t xml:space="preserve">oes </w:t>
      </w:r>
      <w:r w:rsidRPr="008573C5">
        <w:t xml:space="preserve">not disclose by way of notes the company income tax, education tax and deferred tax.  </w:t>
      </w:r>
    </w:p>
    <w:p w:rsidR="00FF5EDF" w:rsidRPr="008573C5" w:rsidRDefault="00FF5EDF" w:rsidP="00CC376F">
      <w:pPr>
        <w:spacing w:before="100" w:beforeAutospacing="1" w:after="100" w:afterAutospacing="1" w:line="360" w:lineRule="auto"/>
        <w:jc w:val="both"/>
      </w:pPr>
      <w:r w:rsidRPr="008573C5">
        <w:rPr>
          <w:b/>
        </w:rPr>
        <w:t>SAS 21(Earnings per Share)</w:t>
      </w:r>
      <w:r w:rsidRPr="008573C5">
        <w:t>:</w:t>
      </w:r>
      <w:r w:rsidR="00753AF2">
        <w:t xml:space="preserve"> SAS 21 i</w:t>
      </w:r>
      <w:r w:rsidRPr="008573C5">
        <w:t>s partially disclosed by majority of the sampled companies. Most companies d</w:t>
      </w:r>
      <w:r w:rsidR="00753AF2">
        <w:t>o</w:t>
      </w:r>
      <w:r w:rsidRPr="008573C5">
        <w:t xml:space="preserve"> not disclose diluted earnings per share on the face of the income statement, and the historical financial summary with equal prominence.</w:t>
      </w:r>
    </w:p>
    <w:p w:rsidR="00FF5EDF" w:rsidRPr="008573C5" w:rsidRDefault="00FF5EDF" w:rsidP="004A665C">
      <w:pPr>
        <w:spacing w:after="120" w:line="360" w:lineRule="auto"/>
        <w:jc w:val="both"/>
      </w:pPr>
      <w:r w:rsidRPr="008573C5">
        <w:rPr>
          <w:b/>
        </w:rPr>
        <w:t xml:space="preserve">SAS 22 (On Research and Development Costs): </w:t>
      </w:r>
      <w:r w:rsidRPr="008573C5">
        <w:t>SAS 22 became operative on 31 December, 2006 for financial statements covering periods ending on or after December 31</w:t>
      </w:r>
      <w:r w:rsidR="00753AF2">
        <w:t>,</w:t>
      </w:r>
      <w:r w:rsidRPr="008573C5">
        <w:t xml:space="preserve"> 2006. Due to the lack of research culture in Nigeria, only five out of all the companies with year end on December 2006 complied. Of these five companies, four of them complied 100% while one company, May and Baker Plc. in the Health industry complied 50%. It failed to disclose its </w:t>
      </w:r>
      <w:r w:rsidR="001056D9" w:rsidRPr="008573C5">
        <w:t>R&amp; D</w:t>
      </w:r>
      <w:r w:rsidRPr="008573C5">
        <w:t xml:space="preserve"> costs in the financial statement.</w:t>
      </w:r>
    </w:p>
    <w:p w:rsidR="00FF5EDF" w:rsidRPr="008573C5" w:rsidRDefault="00FF5EDF" w:rsidP="004A665C">
      <w:pPr>
        <w:spacing w:after="120" w:line="360" w:lineRule="auto"/>
        <w:jc w:val="both"/>
      </w:pPr>
      <w:r w:rsidRPr="008573C5">
        <w:rPr>
          <w:b/>
        </w:rPr>
        <w:t xml:space="preserve"> SAS 23 (On Provisions, Contingent Liabilities and Contingent Assets):</w:t>
      </w:r>
      <w:r w:rsidRPr="008573C5">
        <w:t xml:space="preserve"> SAS 23 came i</w:t>
      </w:r>
      <w:r w:rsidR="00753AF2">
        <w:t>nto effect on 31 December, 2006. T</w:t>
      </w:r>
      <w:r w:rsidRPr="008573C5">
        <w:t>herefore it only applied to companies with accounting year end of 31 December 2006.  It was observed that only thirty seven companies in this category complied with the disclosure requirements. Out of these, thirty six companies fully disclosed the requirements while one company, Okomu Plc in the Agriculture industry had a compliance rate of 50%.</w:t>
      </w:r>
    </w:p>
    <w:p w:rsidR="00FF5EDF" w:rsidRPr="008573C5" w:rsidRDefault="00FB1D8E" w:rsidP="00FF5EDF">
      <w:pPr>
        <w:spacing w:after="120" w:line="480" w:lineRule="auto"/>
        <w:jc w:val="center"/>
        <w:rPr>
          <w:sz w:val="28"/>
          <w:szCs w:val="28"/>
        </w:rPr>
      </w:pPr>
      <w:r w:rsidRPr="008573C5">
        <w:rPr>
          <w:rFonts w:ascii="Times" w:hAnsi="Times" w:cs="Times"/>
          <w:b/>
          <w:sz w:val="28"/>
          <w:szCs w:val="28"/>
        </w:rPr>
        <w:t>Table 4.04</w:t>
      </w:r>
      <w:r w:rsidR="00FF5EDF" w:rsidRPr="008573C5">
        <w:rPr>
          <w:rFonts w:ascii="Times" w:hAnsi="Times" w:cs="Times"/>
          <w:b/>
          <w:sz w:val="28"/>
          <w:szCs w:val="28"/>
        </w:rPr>
        <w:t>: Descriptive Statistics of Compliance with IFRS</w:t>
      </w:r>
    </w:p>
    <w:p w:rsidR="00FF5EDF" w:rsidRPr="008573C5" w:rsidRDefault="006E22C9" w:rsidP="00FF5EDF">
      <w:pPr>
        <w:autoSpaceDE w:val="0"/>
        <w:autoSpaceDN w:val="0"/>
        <w:adjustRightInd w:val="0"/>
        <w:jc w:val="center"/>
        <w:rPr>
          <w:rFonts w:ascii="System" w:eastAsia="Calibri" w:hAnsi="System" w:cs="System"/>
          <w:b/>
          <w:bCs/>
          <w:sz w:val="20"/>
          <w:szCs w:val="20"/>
        </w:rPr>
      </w:pPr>
      <w:r>
        <w:rPr>
          <w:rFonts w:ascii="System" w:eastAsia="Calibri" w:hAnsi="System" w:cs="System"/>
          <w:b/>
          <w:bCs/>
          <w:sz w:val="20"/>
          <w:szCs w:val="20"/>
        </w:rPr>
      </w:r>
      <w:r>
        <w:rPr>
          <w:rFonts w:ascii="System" w:eastAsia="Calibri" w:hAnsi="System" w:cs="System"/>
          <w:b/>
          <w:bCs/>
          <w:sz w:val="20"/>
          <w:szCs w:val="20"/>
        </w:rPr>
        <w:pict>
          <v:group id="_x0000_s71786" editas="canvas" style="width:369.1pt;height:373.4pt;mso-position-horizontal-relative:char;mso-position-vertical-relative:line" coordsize="7382,7468">
            <o:lock v:ext="edit" aspectratio="t"/>
            <v:shape id="_x0000_s71785" type="#_x0000_t75" style="position:absolute;width:7382;height:7468" o:preferrelative="f">
              <v:fill o:detectmouseclick="t"/>
              <v:path o:extrusionok="t" o:connecttype="none"/>
              <o:lock v:ext="edit" text="t"/>
            </v:shape>
            <v:group id="_x0000_s71987" style="position:absolute;left:130;top:130;width:7122;height:6662" coordorigin="130,130" coordsize="7122,6662">
              <v:rect id="_x0000_s71787" style="position:absolute;left:130;top:130;width:7122;height:402" stroked="f"/>
              <v:rect id="_x0000_s71788" style="position:absolute;left:2785;top:158;width:1821;height:207;mso-wrap-style:none" filled="f" stroked="f">
                <v:textbox style="mso-next-textbox:#_x0000_s71788;mso-fit-shape-to-text:t" inset="0,0,0,0">
                  <w:txbxContent>
                    <w:p w:rsidR="00CB6FAE" w:rsidRDefault="00CB6FAE">
                      <w:r>
                        <w:rPr>
                          <w:rFonts w:ascii="Arial" w:hAnsi="Arial" w:cs="Arial"/>
                          <w:b/>
                          <w:bCs/>
                          <w:color w:val="000000"/>
                          <w:sz w:val="18"/>
                          <w:szCs w:val="18"/>
                        </w:rPr>
                        <w:t>Descriptive Statistics</w:t>
                      </w:r>
                    </w:p>
                  </w:txbxContent>
                </v:textbox>
              </v:rect>
              <v:rect id="_x0000_s71789" style="position:absolute;left:1799;top:1022;width:1108;height:302" stroked="f"/>
              <v:rect id="_x0000_s71790" style="position:absolute;left:2489;top:1050;width:201;height:207;mso-wrap-style:none" filled="f" stroked="f">
                <v:textbox style="mso-next-textbox:#_x0000_s71790;mso-fit-shape-to-text:t" inset="0,0,0,0">
                  <w:txbxContent>
                    <w:p w:rsidR="00CB6FAE" w:rsidRDefault="00CB6FAE">
                      <w:r>
                        <w:rPr>
                          <w:rFonts w:ascii="Arial" w:hAnsi="Arial" w:cs="Arial"/>
                          <w:color w:val="000000"/>
                          <w:sz w:val="18"/>
                          <w:szCs w:val="18"/>
                        </w:rPr>
                        <w:t>90</w:t>
                      </w:r>
                    </w:p>
                  </w:txbxContent>
                </v:textbox>
              </v:rect>
              <v:rect id="_x0000_s71791" style="position:absolute;left:2878;top:1022;width:1108;height:302" stroked="f"/>
              <v:rect id="_x0000_s71792" style="position:absolute;left:3353;top:1050;width:451;height:207;mso-wrap-style:none" filled="f" stroked="f">
                <v:textbox style="mso-next-textbox:#_x0000_s71792;mso-fit-shape-to-text:t" inset="0,0,0,0">
                  <w:txbxContent>
                    <w:p w:rsidR="00CB6FAE" w:rsidRDefault="00CB6FAE">
                      <w:r>
                        <w:rPr>
                          <w:rFonts w:ascii="Arial" w:hAnsi="Arial" w:cs="Arial"/>
                          <w:color w:val="000000"/>
                          <w:sz w:val="18"/>
                          <w:szCs w:val="18"/>
                        </w:rPr>
                        <w:t>.2143</w:t>
                      </w:r>
                    </w:p>
                  </w:txbxContent>
                </v:textbox>
              </v:rect>
              <v:rect id="_x0000_s71793" style="position:absolute;left:3957;top:1022;width:1108;height:302" stroked="f"/>
              <v:rect id="_x0000_s71794" style="position:absolute;left:4433;top:1050;width:451;height:207;mso-wrap-style:none" filled="f" stroked="f">
                <v:textbox style="mso-next-textbox:#_x0000_s71794;mso-fit-shape-to-text:t" inset="0,0,0,0">
                  <w:txbxContent>
                    <w:p w:rsidR="00CB6FAE" w:rsidRDefault="00CB6FAE">
                      <w:r>
                        <w:rPr>
                          <w:rFonts w:ascii="Arial" w:hAnsi="Arial" w:cs="Arial"/>
                          <w:color w:val="000000"/>
                          <w:sz w:val="18"/>
                          <w:szCs w:val="18"/>
                        </w:rPr>
                        <w:t>.9811</w:t>
                      </w:r>
                    </w:p>
                  </w:txbxContent>
                </v:textbox>
              </v:rect>
              <v:rect id="_x0000_s71795" style="position:absolute;left:5036;top:1022;width:1108;height:302" stroked="f"/>
              <v:rect id="_x0000_s71796" style="position:absolute;left:5339;top:1050;width:651;height:207;mso-wrap-style:none" filled="f" stroked="f">
                <v:textbox style="mso-next-textbox:#_x0000_s71796;mso-fit-shape-to-text:t" inset="0,0,0,0">
                  <w:txbxContent>
                    <w:p w:rsidR="00CB6FAE" w:rsidRDefault="00CB6FAE">
                      <w:r>
                        <w:rPr>
                          <w:rFonts w:ascii="Arial" w:hAnsi="Arial" w:cs="Arial"/>
                          <w:color w:val="000000"/>
                          <w:sz w:val="18"/>
                          <w:szCs w:val="18"/>
                        </w:rPr>
                        <w:t>.512946</w:t>
                      </w:r>
                    </w:p>
                  </w:txbxContent>
                </v:textbox>
              </v:rect>
              <v:rect id="_x0000_s71797" style="position:absolute;left:6116;top:1022;width:1136;height:302" stroked="f"/>
              <v:rect id="_x0000_s71798" style="position:absolute;left:6447;top:1050;width:651;height:207;mso-wrap-style:none" filled="f" stroked="f">
                <v:textbox style="mso-next-textbox:#_x0000_s71798;mso-fit-shape-to-text:t" inset="0,0,0,0">
                  <w:txbxContent>
                    <w:p w:rsidR="00CB6FAE" w:rsidRDefault="00CB6FAE">
                      <w:r>
                        <w:rPr>
                          <w:rFonts w:ascii="Arial" w:hAnsi="Arial" w:cs="Arial"/>
                          <w:color w:val="000000"/>
                          <w:sz w:val="18"/>
                          <w:szCs w:val="18"/>
                        </w:rPr>
                        <w:t>.145289</w:t>
                      </w:r>
                    </w:p>
                  </w:txbxContent>
                </v:textbox>
              </v:rect>
              <v:rect id="_x0000_s71799" style="position:absolute;left:1799;top:1295;width:1108;height:302" stroked="f"/>
              <v:rect id="_x0000_s71800" style="position:absolute;left:2489;top:1324;width:201;height:207;mso-wrap-style:none" filled="f" stroked="f">
                <v:textbox style="mso-next-textbox:#_x0000_s71800;mso-fit-shape-to-text:t" inset="0,0,0,0">
                  <w:txbxContent>
                    <w:p w:rsidR="00CB6FAE" w:rsidRDefault="00CB6FAE">
                      <w:r>
                        <w:rPr>
                          <w:rFonts w:ascii="Arial" w:hAnsi="Arial" w:cs="Arial"/>
                          <w:color w:val="000000"/>
                          <w:sz w:val="18"/>
                          <w:szCs w:val="18"/>
                        </w:rPr>
                        <w:t>90</w:t>
                      </w:r>
                    </w:p>
                  </w:txbxContent>
                </v:textbox>
              </v:rect>
              <v:rect id="_x0000_s71801" style="position:absolute;left:2878;top:1295;width:1108;height:302" stroked="f"/>
              <v:rect id="_x0000_s71802" style="position:absolute;left:3353;top:1324;width:451;height:207;mso-wrap-style:none" filled="f" stroked="f">
                <v:textbox style="mso-next-textbox:#_x0000_s71802;mso-fit-shape-to-text:t" inset="0,0,0,0">
                  <w:txbxContent>
                    <w:p w:rsidR="00CB6FAE" w:rsidRDefault="00CB6FAE">
                      <w:r>
                        <w:rPr>
                          <w:rFonts w:ascii="Arial" w:hAnsi="Arial" w:cs="Arial"/>
                          <w:color w:val="000000"/>
                          <w:sz w:val="18"/>
                          <w:szCs w:val="18"/>
                        </w:rPr>
                        <w:t>.4286</w:t>
                      </w:r>
                    </w:p>
                  </w:txbxContent>
                </v:textbox>
              </v:rect>
              <v:rect id="_x0000_s71803" style="position:absolute;left:3957;top:1295;width:1108;height:302" stroked="f"/>
              <v:rect id="_x0000_s71804" style="position:absolute;left:4346;top:1324;width:551;height:207;mso-wrap-style:none" filled="f" stroked="f">
                <v:textbox style="mso-next-textbox:#_x0000_s71804;mso-fit-shape-to-text:t" inset="0,0,0,0">
                  <w:txbxContent>
                    <w:p w:rsidR="00CB6FAE" w:rsidRDefault="00CB6FAE">
                      <w:r>
                        <w:rPr>
                          <w:rFonts w:ascii="Arial" w:hAnsi="Arial" w:cs="Arial"/>
                          <w:color w:val="000000"/>
                          <w:sz w:val="18"/>
                          <w:szCs w:val="18"/>
                        </w:rPr>
                        <w:t>1.0000</w:t>
                      </w:r>
                    </w:p>
                  </w:txbxContent>
                </v:textbox>
              </v:rect>
              <v:rect id="_x0000_s71805" style="position:absolute;left:5036;top:1295;width:1108;height:302" stroked="f"/>
              <v:rect id="_x0000_s71806" style="position:absolute;left:5339;top:1324;width:651;height:207;mso-wrap-style:none" filled="f" stroked="f">
                <v:textbox style="mso-next-textbox:#_x0000_s71806;mso-fit-shape-to-text:t" inset="0,0,0,0">
                  <w:txbxContent>
                    <w:p w:rsidR="00CB6FAE" w:rsidRDefault="00CB6FAE">
                      <w:r>
                        <w:rPr>
                          <w:rFonts w:ascii="Arial" w:hAnsi="Arial" w:cs="Arial"/>
                          <w:color w:val="000000"/>
                          <w:sz w:val="18"/>
                          <w:szCs w:val="18"/>
                        </w:rPr>
                        <w:t>.641014</w:t>
                      </w:r>
                    </w:p>
                  </w:txbxContent>
                </v:textbox>
              </v:rect>
              <v:rect id="_x0000_s71807" style="position:absolute;left:6116;top:1295;width:1136;height:302" stroked="f"/>
              <v:rect id="_x0000_s71808" style="position:absolute;left:6303;top:1324;width:831;height:207;mso-wrap-style:none" filled="f" stroked="f">
                <v:textbox style="mso-next-textbox:#_x0000_s71808;mso-fit-shape-to-text:t" inset="0,0,0,0">
                  <w:txbxContent>
                    <w:p w:rsidR="00CB6FAE" w:rsidRDefault="00CB6FAE">
                      <w:r>
                        <w:rPr>
                          <w:rFonts w:ascii="Arial" w:hAnsi="Arial" w:cs="Arial"/>
                          <w:color w:val="000000"/>
                          <w:sz w:val="18"/>
                          <w:szCs w:val="18"/>
                        </w:rPr>
                        <w:t>9.134E-02</w:t>
                      </w:r>
                    </w:p>
                  </w:txbxContent>
                </v:textbox>
              </v:rect>
              <v:rect id="_x0000_s71809" style="position:absolute;left:1799;top:1569;width:1108;height:302" stroked="f"/>
              <v:rect id="_x0000_s71810" style="position:absolute;left:2576;top:1597;width:101;height:207;mso-wrap-style:none" filled="f" stroked="f">
                <v:textbox style="mso-next-textbox:#_x0000_s71810;mso-fit-shape-to-text:t" inset="0,0,0,0">
                  <w:txbxContent>
                    <w:p w:rsidR="00CB6FAE" w:rsidRDefault="00CB6FAE">
                      <w:r>
                        <w:rPr>
                          <w:rFonts w:ascii="Arial" w:hAnsi="Arial" w:cs="Arial"/>
                          <w:color w:val="000000"/>
                          <w:sz w:val="18"/>
                          <w:szCs w:val="18"/>
                        </w:rPr>
                        <w:t>3</w:t>
                      </w:r>
                    </w:p>
                  </w:txbxContent>
                </v:textbox>
              </v:rect>
              <v:rect id="_x0000_s71811" style="position:absolute;left:2878;top:1569;width:1108;height:302" stroked="f"/>
              <v:rect id="_x0000_s71812" style="position:absolute;left:3353;top:1597;width:451;height:207;mso-wrap-style:none" filled="f" stroked="f">
                <v:textbox style="mso-next-textbox:#_x0000_s71812;mso-fit-shape-to-text:t" inset="0,0,0,0">
                  <w:txbxContent>
                    <w:p w:rsidR="00CB6FAE" w:rsidRDefault="00CB6FAE">
                      <w:r>
                        <w:rPr>
                          <w:rFonts w:ascii="Arial" w:hAnsi="Arial" w:cs="Arial"/>
                          <w:color w:val="000000"/>
                          <w:sz w:val="18"/>
                          <w:szCs w:val="18"/>
                        </w:rPr>
                        <w:t>.5000</w:t>
                      </w:r>
                    </w:p>
                  </w:txbxContent>
                </v:textbox>
              </v:rect>
              <v:rect id="_x0000_s71813" style="position:absolute;left:3957;top:1569;width:1108;height:302" stroked="f"/>
              <v:rect id="_x0000_s71814" style="position:absolute;left:4346;top:1597;width:551;height:207;mso-wrap-style:none" filled="f" stroked="f">
                <v:textbox style="mso-next-textbox:#_x0000_s71814;mso-fit-shape-to-text:t" inset="0,0,0,0">
                  <w:txbxContent>
                    <w:p w:rsidR="00CB6FAE" w:rsidRDefault="00CB6FAE">
                      <w:r>
                        <w:rPr>
                          <w:rFonts w:ascii="Arial" w:hAnsi="Arial" w:cs="Arial"/>
                          <w:color w:val="000000"/>
                          <w:sz w:val="18"/>
                          <w:szCs w:val="18"/>
                        </w:rPr>
                        <w:t>1.0000</w:t>
                      </w:r>
                    </w:p>
                  </w:txbxContent>
                </v:textbox>
              </v:rect>
              <v:rect id="_x0000_s71815" style="position:absolute;left:5036;top:1569;width:1108;height:302" stroked="f"/>
              <v:rect id="_x0000_s71816" style="position:absolute;left:5339;top:1597;width:651;height:207;mso-wrap-style:none" filled="f" stroked="f">
                <v:textbox style="mso-next-textbox:#_x0000_s71816;mso-fit-shape-to-text:t" inset="0,0,0,0">
                  <w:txbxContent>
                    <w:p w:rsidR="00CB6FAE" w:rsidRDefault="00CB6FAE">
                      <w:r>
                        <w:rPr>
                          <w:rFonts w:ascii="Arial" w:hAnsi="Arial" w:cs="Arial"/>
                          <w:color w:val="000000"/>
                          <w:sz w:val="18"/>
                          <w:szCs w:val="18"/>
                        </w:rPr>
                        <w:t>.833333</w:t>
                      </w:r>
                    </w:p>
                  </w:txbxContent>
                </v:textbox>
              </v:rect>
              <v:rect id="_x0000_s71817" style="position:absolute;left:6116;top:1569;width:1136;height:302" stroked="f"/>
              <v:rect id="_x0000_s71818" style="position:absolute;left:6447;top:1597;width:651;height:207;mso-wrap-style:none" filled="f" stroked="f">
                <v:textbox style="mso-next-textbox:#_x0000_s71818;mso-fit-shape-to-text:t" inset="0,0,0,0">
                  <w:txbxContent>
                    <w:p w:rsidR="00CB6FAE" w:rsidRDefault="00CB6FAE">
                      <w:r>
                        <w:rPr>
                          <w:rFonts w:ascii="Arial" w:hAnsi="Arial" w:cs="Arial"/>
                          <w:color w:val="000000"/>
                          <w:sz w:val="18"/>
                          <w:szCs w:val="18"/>
                        </w:rPr>
                        <w:t>.288675</w:t>
                      </w:r>
                    </w:p>
                  </w:txbxContent>
                </v:textbox>
              </v:rect>
              <v:rect id="_x0000_s71819" style="position:absolute;left:1799;top:1842;width:1108;height:302" stroked="f"/>
              <v:rect id="_x0000_s71820" style="position:absolute;left:2489;top:1871;width:201;height:207;mso-wrap-style:none" filled="f" stroked="f">
                <v:textbox style="mso-next-textbox:#_x0000_s71820;mso-fit-shape-to-text:t" inset="0,0,0,0">
                  <w:txbxContent>
                    <w:p w:rsidR="00CB6FAE" w:rsidRDefault="00CB6FAE">
                      <w:r>
                        <w:rPr>
                          <w:rFonts w:ascii="Arial" w:hAnsi="Arial" w:cs="Arial"/>
                          <w:color w:val="000000"/>
                          <w:sz w:val="18"/>
                          <w:szCs w:val="18"/>
                        </w:rPr>
                        <w:t>87</w:t>
                      </w:r>
                    </w:p>
                  </w:txbxContent>
                </v:textbox>
              </v:rect>
              <v:rect id="_x0000_s71821" style="position:absolute;left:2878;top:1842;width:1108;height:302" stroked="f"/>
              <v:rect id="_x0000_s71822" style="position:absolute;left:3353;top:1871;width:451;height:207;mso-wrap-style:none" filled="f" stroked="f">
                <v:textbox style="mso-next-textbox:#_x0000_s71822;mso-fit-shape-to-text:t" inset="0,0,0,0">
                  <w:txbxContent>
                    <w:p w:rsidR="00CB6FAE" w:rsidRDefault="00CB6FAE">
                      <w:r>
                        <w:rPr>
                          <w:rFonts w:ascii="Arial" w:hAnsi="Arial" w:cs="Arial"/>
                          <w:color w:val="000000"/>
                          <w:sz w:val="18"/>
                          <w:szCs w:val="18"/>
                        </w:rPr>
                        <w:t>.3333</w:t>
                      </w:r>
                    </w:p>
                  </w:txbxContent>
                </v:textbox>
              </v:rect>
              <v:rect id="_x0000_s71823" style="position:absolute;left:3957;top:1842;width:1108;height:302" stroked="f"/>
              <v:rect id="_x0000_s71824" style="position:absolute;left:4433;top:1871;width:451;height:207;mso-wrap-style:none" filled="f" stroked="f">
                <v:textbox style="mso-next-textbox:#_x0000_s71824;mso-fit-shape-to-text:t" inset="0,0,0,0">
                  <w:txbxContent>
                    <w:p w:rsidR="00CB6FAE" w:rsidRDefault="00CB6FAE">
                      <w:r>
                        <w:rPr>
                          <w:rFonts w:ascii="Arial" w:hAnsi="Arial" w:cs="Arial"/>
                          <w:color w:val="000000"/>
                          <w:sz w:val="18"/>
                          <w:szCs w:val="18"/>
                        </w:rPr>
                        <w:t>.7500</w:t>
                      </w:r>
                    </w:p>
                  </w:txbxContent>
                </v:textbox>
              </v:rect>
              <v:rect id="_x0000_s71825" style="position:absolute;left:5036;top:1842;width:1108;height:302" stroked="f"/>
              <v:rect id="_x0000_s71826" style="position:absolute;left:5339;top:1871;width:651;height:207;mso-wrap-style:none" filled="f" stroked="f">
                <v:textbox style="mso-next-textbox:#_x0000_s71826;mso-fit-shape-to-text:t" inset="0,0,0,0">
                  <w:txbxContent>
                    <w:p w:rsidR="00CB6FAE" w:rsidRDefault="00CB6FAE">
                      <w:r>
                        <w:rPr>
                          <w:rFonts w:ascii="Arial" w:hAnsi="Arial" w:cs="Arial"/>
                          <w:color w:val="000000"/>
                          <w:sz w:val="18"/>
                          <w:szCs w:val="18"/>
                        </w:rPr>
                        <w:t>.651367</w:t>
                      </w:r>
                    </w:p>
                  </w:txbxContent>
                </v:textbox>
              </v:rect>
              <v:rect id="_x0000_s71827" style="position:absolute;left:6116;top:1842;width:1136;height:302" stroked="f"/>
              <v:rect id="_x0000_s71828" style="position:absolute;left:6303;top:1871;width:831;height:207;mso-wrap-style:none" filled="f" stroked="f">
                <v:textbox style="mso-next-textbox:#_x0000_s71828;mso-fit-shape-to-text:t" inset="0,0,0,0">
                  <w:txbxContent>
                    <w:p w:rsidR="00CB6FAE" w:rsidRDefault="00CB6FAE">
                      <w:r>
                        <w:rPr>
                          <w:rFonts w:ascii="Arial" w:hAnsi="Arial" w:cs="Arial"/>
                          <w:color w:val="000000"/>
                          <w:sz w:val="18"/>
                          <w:szCs w:val="18"/>
                        </w:rPr>
                        <w:t>9.035E-02</w:t>
                      </w:r>
                    </w:p>
                  </w:txbxContent>
                </v:textbox>
              </v:rect>
              <v:rect id="_x0000_s71829" style="position:absolute;left:1799;top:2115;width:1108;height:303" stroked="f"/>
              <v:rect id="_x0000_s71830" style="position:absolute;left:2576;top:2144;width:101;height:207;mso-wrap-style:none" filled="f" stroked="f">
                <v:textbox style="mso-next-textbox:#_x0000_s71830;mso-fit-shape-to-text:t" inset="0,0,0,0">
                  <w:txbxContent>
                    <w:p w:rsidR="00CB6FAE" w:rsidRDefault="00CB6FAE">
                      <w:r>
                        <w:rPr>
                          <w:rFonts w:ascii="Arial" w:hAnsi="Arial" w:cs="Arial"/>
                          <w:color w:val="000000"/>
                          <w:sz w:val="18"/>
                          <w:szCs w:val="18"/>
                        </w:rPr>
                        <w:t>3</w:t>
                      </w:r>
                    </w:p>
                  </w:txbxContent>
                </v:textbox>
              </v:rect>
              <v:rect id="_x0000_s71831" style="position:absolute;left:2878;top:2115;width:1108;height:303" stroked="f"/>
              <v:rect id="_x0000_s71832" style="position:absolute;left:3353;top:2144;width:451;height:207;mso-wrap-style:none" filled="f" stroked="f">
                <v:textbox style="mso-next-textbox:#_x0000_s71832;mso-fit-shape-to-text:t" inset="0,0,0,0">
                  <w:txbxContent>
                    <w:p w:rsidR="00CB6FAE" w:rsidRDefault="00CB6FAE">
                      <w:r>
                        <w:rPr>
                          <w:rFonts w:ascii="Arial" w:hAnsi="Arial" w:cs="Arial"/>
                          <w:color w:val="000000"/>
                          <w:sz w:val="18"/>
                          <w:szCs w:val="18"/>
                        </w:rPr>
                        <w:t>.5000</w:t>
                      </w:r>
                    </w:p>
                  </w:txbxContent>
                </v:textbox>
              </v:rect>
              <v:rect id="_x0000_s71833" style="position:absolute;left:3957;top:2115;width:1108;height:303" stroked="f"/>
              <v:rect id="_x0000_s71834" style="position:absolute;left:4346;top:2144;width:551;height:207;mso-wrap-style:none" filled="f" stroked="f">
                <v:textbox style="mso-next-textbox:#_x0000_s71834;mso-fit-shape-to-text:t" inset="0,0,0,0">
                  <w:txbxContent>
                    <w:p w:rsidR="00CB6FAE" w:rsidRDefault="00CB6FAE">
                      <w:r>
                        <w:rPr>
                          <w:rFonts w:ascii="Arial" w:hAnsi="Arial" w:cs="Arial"/>
                          <w:color w:val="000000"/>
                          <w:sz w:val="18"/>
                          <w:szCs w:val="18"/>
                        </w:rPr>
                        <w:t>1.0000</w:t>
                      </w:r>
                    </w:p>
                  </w:txbxContent>
                </v:textbox>
              </v:rect>
              <v:rect id="_x0000_s71835" style="position:absolute;left:5036;top:2115;width:1108;height:303" stroked="f"/>
              <v:rect id="_x0000_s71836" style="position:absolute;left:5339;top:2144;width:651;height:207;mso-wrap-style:none" filled="f" stroked="f">
                <v:textbox style="mso-next-textbox:#_x0000_s71836;mso-fit-shape-to-text:t" inset="0,0,0,0">
                  <w:txbxContent>
                    <w:p w:rsidR="00CB6FAE" w:rsidRDefault="00CB6FAE">
                      <w:r>
                        <w:rPr>
                          <w:rFonts w:ascii="Arial" w:hAnsi="Arial" w:cs="Arial"/>
                          <w:color w:val="000000"/>
                          <w:sz w:val="18"/>
                          <w:szCs w:val="18"/>
                        </w:rPr>
                        <w:t>.833333</w:t>
                      </w:r>
                    </w:p>
                  </w:txbxContent>
                </v:textbox>
              </v:rect>
              <v:rect id="_x0000_s71837" style="position:absolute;left:6116;top:2115;width:1136;height:303" stroked="f"/>
              <v:rect id="_x0000_s71838" style="position:absolute;left:6447;top:2144;width:651;height:207;mso-wrap-style:none" filled="f" stroked="f">
                <v:textbox style="mso-next-textbox:#_x0000_s71838;mso-fit-shape-to-text:t" inset="0,0,0,0">
                  <w:txbxContent>
                    <w:p w:rsidR="00CB6FAE" w:rsidRDefault="00CB6FAE">
                      <w:r>
                        <w:rPr>
                          <w:rFonts w:ascii="Arial" w:hAnsi="Arial" w:cs="Arial"/>
                          <w:color w:val="000000"/>
                          <w:sz w:val="18"/>
                          <w:szCs w:val="18"/>
                        </w:rPr>
                        <w:t>.288675</w:t>
                      </w:r>
                    </w:p>
                  </w:txbxContent>
                </v:textbox>
              </v:rect>
              <v:rect id="_x0000_s71839" style="position:absolute;left:1799;top:2389;width:1108;height:302" stroked="f"/>
              <v:rect id="_x0000_s71840" style="position:absolute;left:2489;top:2418;width:201;height:207;mso-wrap-style:none" filled="f" stroked="f">
                <v:textbox style="mso-next-textbox:#_x0000_s71840;mso-fit-shape-to-text:t" inset="0,0,0,0">
                  <w:txbxContent>
                    <w:p w:rsidR="00CB6FAE" w:rsidRDefault="00CB6FAE">
                      <w:r>
                        <w:rPr>
                          <w:rFonts w:ascii="Arial" w:hAnsi="Arial" w:cs="Arial"/>
                          <w:color w:val="000000"/>
                          <w:sz w:val="18"/>
                          <w:szCs w:val="18"/>
                        </w:rPr>
                        <w:t>10</w:t>
                      </w:r>
                    </w:p>
                  </w:txbxContent>
                </v:textbox>
              </v:rect>
              <v:rect id="_x0000_s71841" style="position:absolute;left:2878;top:2389;width:1108;height:302" stroked="f"/>
              <v:rect id="_x0000_s71842" style="position:absolute;left:3353;top:2418;width:451;height:207;mso-wrap-style:none" filled="f" stroked="f">
                <v:textbox style="mso-next-textbox:#_x0000_s71842;mso-fit-shape-to-text:t" inset="0,0,0,0">
                  <w:txbxContent>
                    <w:p w:rsidR="00CB6FAE" w:rsidRDefault="00CB6FAE">
                      <w:r>
                        <w:rPr>
                          <w:rFonts w:ascii="Arial" w:hAnsi="Arial" w:cs="Arial"/>
                          <w:color w:val="000000"/>
                          <w:sz w:val="18"/>
                          <w:szCs w:val="18"/>
                        </w:rPr>
                        <w:t>.3333</w:t>
                      </w:r>
                    </w:p>
                  </w:txbxContent>
                </v:textbox>
              </v:rect>
              <v:rect id="_x0000_s71843" style="position:absolute;left:3957;top:2389;width:1108;height:302" stroked="f"/>
              <v:rect id="_x0000_s71844" style="position:absolute;left:4346;top:2418;width:551;height:207;mso-wrap-style:none" filled="f" stroked="f">
                <v:textbox style="mso-next-textbox:#_x0000_s71844;mso-fit-shape-to-text:t" inset="0,0,0,0">
                  <w:txbxContent>
                    <w:p w:rsidR="00CB6FAE" w:rsidRDefault="00CB6FAE">
                      <w:r>
                        <w:rPr>
                          <w:rFonts w:ascii="Arial" w:hAnsi="Arial" w:cs="Arial"/>
                          <w:color w:val="000000"/>
                          <w:sz w:val="18"/>
                          <w:szCs w:val="18"/>
                        </w:rPr>
                        <w:t>1.0000</w:t>
                      </w:r>
                    </w:p>
                  </w:txbxContent>
                </v:textbox>
              </v:rect>
              <v:rect id="_x0000_s71845" style="position:absolute;left:5036;top:2389;width:1108;height:302" stroked="f"/>
              <v:rect id="_x0000_s71846" style="position:absolute;left:5339;top:2418;width:651;height:207;mso-wrap-style:none" filled="f" stroked="f">
                <v:textbox style="mso-next-textbox:#_x0000_s71846;mso-fit-shape-to-text:t" inset="0,0,0,0">
                  <w:txbxContent>
                    <w:p w:rsidR="00CB6FAE" w:rsidRDefault="00CB6FAE">
                      <w:r>
                        <w:rPr>
                          <w:rFonts w:ascii="Arial" w:hAnsi="Arial" w:cs="Arial"/>
                          <w:color w:val="000000"/>
                          <w:sz w:val="18"/>
                          <w:szCs w:val="18"/>
                        </w:rPr>
                        <w:t>.733330</w:t>
                      </w:r>
                    </w:p>
                  </w:txbxContent>
                </v:textbox>
              </v:rect>
              <v:rect id="_x0000_s71847" style="position:absolute;left:6116;top:2389;width:1136;height:302" stroked="f"/>
              <v:rect id="_x0000_s71848" style="position:absolute;left:6447;top:2418;width:651;height:207;mso-wrap-style:none" filled="f" stroked="f">
                <v:textbox style="mso-next-textbox:#_x0000_s71848;mso-fit-shape-to-text:t" inset="0,0,0,0">
                  <w:txbxContent>
                    <w:p w:rsidR="00CB6FAE" w:rsidRDefault="00CB6FAE">
                      <w:r>
                        <w:rPr>
                          <w:rFonts w:ascii="Arial" w:hAnsi="Arial" w:cs="Arial"/>
                          <w:color w:val="000000"/>
                          <w:sz w:val="18"/>
                          <w:szCs w:val="18"/>
                        </w:rPr>
                        <w:t>.306325</w:t>
                      </w:r>
                    </w:p>
                  </w:txbxContent>
                </v:textbox>
              </v:rect>
              <v:rect id="_x0000_s71849" style="position:absolute;left:1799;top:2662;width:1108;height:302" stroked="f"/>
              <v:rect id="_x0000_s71850" style="position:absolute;left:2489;top:2691;width:201;height:207;mso-wrap-style:none" filled="f" stroked="f">
                <v:textbox style="mso-next-textbox:#_x0000_s71850;mso-fit-shape-to-text:t" inset="0,0,0,0">
                  <w:txbxContent>
                    <w:p w:rsidR="00CB6FAE" w:rsidRDefault="00CB6FAE">
                      <w:r>
                        <w:rPr>
                          <w:rFonts w:ascii="Arial" w:hAnsi="Arial" w:cs="Arial"/>
                          <w:color w:val="000000"/>
                          <w:sz w:val="18"/>
                          <w:szCs w:val="18"/>
                        </w:rPr>
                        <w:t>54</w:t>
                      </w:r>
                    </w:p>
                  </w:txbxContent>
                </v:textbox>
              </v:rect>
              <v:rect id="_x0000_s71851" style="position:absolute;left:2878;top:2662;width:1108;height:302" stroked="f"/>
              <v:rect id="_x0000_s71852" style="position:absolute;left:3353;top:2691;width:451;height:207;mso-wrap-style:none" filled="f" stroked="f">
                <v:textbox style="mso-next-textbox:#_x0000_s71852;mso-fit-shape-to-text:t" inset="0,0,0,0">
                  <w:txbxContent>
                    <w:p w:rsidR="00CB6FAE" w:rsidRDefault="00CB6FAE">
                      <w:r>
                        <w:rPr>
                          <w:rFonts w:ascii="Arial" w:hAnsi="Arial" w:cs="Arial"/>
                          <w:color w:val="000000"/>
                          <w:sz w:val="18"/>
                          <w:szCs w:val="18"/>
                        </w:rPr>
                        <w:t>.3333</w:t>
                      </w:r>
                    </w:p>
                  </w:txbxContent>
                </v:textbox>
              </v:rect>
              <v:rect id="_x0000_s71853" style="position:absolute;left:3957;top:2662;width:1108;height:302" stroked="f"/>
              <v:rect id="_x0000_s71854" style="position:absolute;left:4346;top:2691;width:551;height:207;mso-wrap-style:none" filled="f" stroked="f">
                <v:textbox style="mso-next-textbox:#_x0000_s71854;mso-fit-shape-to-text:t" inset="0,0,0,0">
                  <w:txbxContent>
                    <w:p w:rsidR="00CB6FAE" w:rsidRDefault="00CB6FAE">
                      <w:r>
                        <w:rPr>
                          <w:rFonts w:ascii="Arial" w:hAnsi="Arial" w:cs="Arial"/>
                          <w:color w:val="000000"/>
                          <w:sz w:val="18"/>
                          <w:szCs w:val="18"/>
                        </w:rPr>
                        <w:t>1.0000</w:t>
                      </w:r>
                    </w:p>
                  </w:txbxContent>
                </v:textbox>
              </v:rect>
              <v:rect id="_x0000_s71855" style="position:absolute;left:5036;top:2662;width:1108;height:302" stroked="f"/>
              <v:rect id="_x0000_s71856" style="position:absolute;left:5339;top:2691;width:651;height:207;mso-wrap-style:none" filled="f" stroked="f">
                <v:textbox style="mso-next-textbox:#_x0000_s71856;mso-fit-shape-to-text:t" inset="0,0,0,0">
                  <w:txbxContent>
                    <w:p w:rsidR="00CB6FAE" w:rsidRDefault="00CB6FAE">
                      <w:r>
                        <w:rPr>
                          <w:rFonts w:ascii="Arial" w:hAnsi="Arial" w:cs="Arial"/>
                          <w:color w:val="000000"/>
                          <w:sz w:val="18"/>
                          <w:szCs w:val="18"/>
                        </w:rPr>
                        <w:t>.918209</w:t>
                      </w:r>
                    </w:p>
                  </w:txbxContent>
                </v:textbox>
              </v:rect>
              <v:rect id="_x0000_s71857" style="position:absolute;left:6116;top:2662;width:1136;height:302" stroked="f"/>
              <v:rect id="_x0000_s71858" style="position:absolute;left:6447;top:2691;width:651;height:207;mso-wrap-style:none" filled="f" stroked="f">
                <v:textbox style="mso-next-textbox:#_x0000_s71858;mso-fit-shape-to-text:t" inset="0,0,0,0">
                  <w:txbxContent>
                    <w:p w:rsidR="00CB6FAE" w:rsidRDefault="00CB6FAE">
                      <w:r>
                        <w:rPr>
                          <w:rFonts w:ascii="Arial" w:hAnsi="Arial" w:cs="Arial"/>
                          <w:color w:val="000000"/>
                          <w:sz w:val="18"/>
                          <w:szCs w:val="18"/>
                        </w:rPr>
                        <w:t>.191879</w:t>
                      </w:r>
                    </w:p>
                  </w:txbxContent>
                </v:textbox>
              </v:rect>
              <v:rect id="_x0000_s71859" style="position:absolute;left:1799;top:2936;width:1108;height:302" stroked="f"/>
              <v:rect id="_x0000_s71860" style="position:absolute;left:2489;top:2964;width:201;height:207;mso-wrap-style:none" filled="f" stroked="f">
                <v:textbox style="mso-next-textbox:#_x0000_s71860;mso-fit-shape-to-text:t" inset="0,0,0,0">
                  <w:txbxContent>
                    <w:p w:rsidR="00CB6FAE" w:rsidRDefault="00CB6FAE">
                      <w:r>
                        <w:rPr>
                          <w:rFonts w:ascii="Arial" w:hAnsi="Arial" w:cs="Arial"/>
                          <w:color w:val="000000"/>
                          <w:sz w:val="18"/>
                          <w:szCs w:val="18"/>
                        </w:rPr>
                        <w:t>75</w:t>
                      </w:r>
                    </w:p>
                  </w:txbxContent>
                </v:textbox>
              </v:rect>
              <v:rect id="_x0000_s71861" style="position:absolute;left:2878;top:2936;width:1108;height:302" stroked="f"/>
              <v:rect id="_x0000_s71862" style="position:absolute;left:3266;top:2964;width:551;height:207;mso-wrap-style:none" filled="f" stroked="f">
                <v:textbox style="mso-next-textbox:#_x0000_s71862;mso-fit-shape-to-text:t" inset="0,0,0,0">
                  <w:txbxContent>
                    <w:p w:rsidR="00CB6FAE" w:rsidRDefault="00CB6FAE">
                      <w:r>
                        <w:rPr>
                          <w:rFonts w:ascii="Arial" w:hAnsi="Arial" w:cs="Arial"/>
                          <w:color w:val="000000"/>
                          <w:sz w:val="18"/>
                          <w:szCs w:val="18"/>
                        </w:rPr>
                        <w:t>1.0000</w:t>
                      </w:r>
                    </w:p>
                  </w:txbxContent>
                </v:textbox>
              </v:rect>
              <v:rect id="_x0000_s71863" style="position:absolute;left:3957;top:2936;width:1108;height:302" stroked="f"/>
              <v:rect id="_x0000_s71864" style="position:absolute;left:4346;top:2964;width:551;height:207;mso-wrap-style:none" filled="f" stroked="f">
                <v:textbox style="mso-next-textbox:#_x0000_s71864;mso-fit-shape-to-text:t" inset="0,0,0,0">
                  <w:txbxContent>
                    <w:p w:rsidR="00CB6FAE" w:rsidRDefault="00CB6FAE">
                      <w:r>
                        <w:rPr>
                          <w:rFonts w:ascii="Arial" w:hAnsi="Arial" w:cs="Arial"/>
                          <w:color w:val="000000"/>
                          <w:sz w:val="18"/>
                          <w:szCs w:val="18"/>
                        </w:rPr>
                        <w:t>1.0000</w:t>
                      </w:r>
                    </w:p>
                  </w:txbxContent>
                </v:textbox>
              </v:rect>
              <v:rect id="_x0000_s71865" style="position:absolute;left:5036;top:2936;width:1108;height:302" stroked="f"/>
              <v:rect id="_x0000_s71866" style="position:absolute;left:5253;top:2964;width:751;height:207;mso-wrap-style:none" filled="f" stroked="f">
                <v:textbox style="mso-next-textbox:#_x0000_s71866;mso-fit-shape-to-text:t" inset="0,0,0,0">
                  <w:txbxContent>
                    <w:p w:rsidR="00CB6FAE" w:rsidRDefault="00CB6FAE">
                      <w:r>
                        <w:rPr>
                          <w:rFonts w:ascii="Arial" w:hAnsi="Arial" w:cs="Arial"/>
                          <w:color w:val="000000"/>
                          <w:sz w:val="18"/>
                          <w:szCs w:val="18"/>
                        </w:rPr>
                        <w:t>1.000000</w:t>
                      </w:r>
                    </w:p>
                  </w:txbxContent>
                </v:textbox>
              </v:rect>
              <v:rect id="_x0000_s71867" style="position:absolute;left:6116;top:2936;width:1136;height:302" stroked="f"/>
              <v:rect id="_x0000_s71868" style="position:absolute;left:6447;top:2964;width:651;height:207;mso-wrap-style:none" filled="f" stroked="f">
                <v:textbox style="mso-next-textbox:#_x0000_s71868;mso-fit-shape-to-text:t" inset="0,0,0,0">
                  <w:txbxContent>
                    <w:p w:rsidR="00CB6FAE" w:rsidRDefault="00CB6FAE">
                      <w:r>
                        <w:rPr>
                          <w:rFonts w:ascii="Arial" w:hAnsi="Arial" w:cs="Arial"/>
                          <w:color w:val="000000"/>
                          <w:sz w:val="18"/>
                          <w:szCs w:val="18"/>
                        </w:rPr>
                        <w:t>.000000</w:t>
                      </w:r>
                    </w:p>
                  </w:txbxContent>
                </v:textbox>
              </v:rect>
              <v:rect id="_x0000_s71869" style="position:absolute;left:1799;top:3209;width:1108;height:302" stroked="f"/>
              <v:rect id="_x0000_s71870" style="position:absolute;left:2576;top:3238;width:101;height:207;mso-wrap-style:none" filled="f" stroked="f">
                <v:textbox style="mso-next-textbox:#_x0000_s71870;mso-fit-shape-to-text:t" inset="0,0,0,0">
                  <w:txbxContent>
                    <w:p w:rsidR="00CB6FAE" w:rsidRDefault="00CB6FAE">
                      <w:r>
                        <w:rPr>
                          <w:rFonts w:ascii="Arial" w:hAnsi="Arial" w:cs="Arial"/>
                          <w:color w:val="000000"/>
                          <w:sz w:val="18"/>
                          <w:szCs w:val="18"/>
                        </w:rPr>
                        <w:t>0</w:t>
                      </w:r>
                    </w:p>
                  </w:txbxContent>
                </v:textbox>
              </v:rect>
              <v:rect id="_x0000_s71871" style="position:absolute;left:2878;top:3209;width:1108;height:302" stroked="f"/>
              <v:rect id="_x0000_s71872" style="position:absolute;left:3957;top:3209;width:1108;height:302" stroked="f"/>
              <v:rect id="_x0000_s71873" style="position:absolute;left:5036;top:3209;width:1108;height:302" stroked="f"/>
              <v:rect id="_x0000_s71874" style="position:absolute;left:6116;top:3209;width:1136;height:302" stroked="f"/>
              <v:rect id="_x0000_s71875" style="position:absolute;left:1799;top:3482;width:1108;height:303" stroked="f"/>
              <v:rect id="_x0000_s71876" style="position:absolute;left:2576;top:3511;width:101;height:207;mso-wrap-style:none" filled="f" stroked="f">
                <v:textbox style="mso-next-textbox:#_x0000_s71876;mso-fit-shape-to-text:t" inset="0,0,0,0">
                  <w:txbxContent>
                    <w:p w:rsidR="00CB6FAE" w:rsidRDefault="00CB6FAE">
                      <w:r>
                        <w:rPr>
                          <w:rFonts w:ascii="Arial" w:hAnsi="Arial" w:cs="Arial"/>
                          <w:color w:val="000000"/>
                          <w:sz w:val="18"/>
                          <w:szCs w:val="18"/>
                        </w:rPr>
                        <w:t>8</w:t>
                      </w:r>
                    </w:p>
                  </w:txbxContent>
                </v:textbox>
              </v:rect>
              <v:rect id="_x0000_s71877" style="position:absolute;left:2878;top:3482;width:1108;height:303" stroked="f"/>
              <v:rect id="_x0000_s71878" style="position:absolute;left:3266;top:3511;width:551;height:207;mso-wrap-style:none" filled="f" stroked="f">
                <v:textbox style="mso-next-textbox:#_x0000_s71878;mso-fit-shape-to-text:t" inset="0,0,0,0">
                  <w:txbxContent>
                    <w:p w:rsidR="00CB6FAE" w:rsidRDefault="00CB6FAE">
                      <w:r>
                        <w:rPr>
                          <w:rFonts w:ascii="Arial" w:hAnsi="Arial" w:cs="Arial"/>
                          <w:color w:val="000000"/>
                          <w:sz w:val="18"/>
                          <w:szCs w:val="18"/>
                        </w:rPr>
                        <w:t>1.0000</w:t>
                      </w:r>
                    </w:p>
                  </w:txbxContent>
                </v:textbox>
              </v:rect>
              <v:rect id="_x0000_s71879" style="position:absolute;left:3957;top:3482;width:1108;height:303" stroked="f"/>
              <v:rect id="_x0000_s71880" style="position:absolute;left:4346;top:3511;width:551;height:207;mso-wrap-style:none" filled="f" stroked="f">
                <v:textbox style="mso-next-textbox:#_x0000_s71880;mso-fit-shape-to-text:t" inset="0,0,0,0">
                  <w:txbxContent>
                    <w:p w:rsidR="00CB6FAE" w:rsidRDefault="00CB6FAE">
                      <w:r>
                        <w:rPr>
                          <w:rFonts w:ascii="Arial" w:hAnsi="Arial" w:cs="Arial"/>
                          <w:color w:val="000000"/>
                          <w:sz w:val="18"/>
                          <w:szCs w:val="18"/>
                        </w:rPr>
                        <w:t>1.0000</w:t>
                      </w:r>
                    </w:p>
                  </w:txbxContent>
                </v:textbox>
              </v:rect>
              <v:rect id="_x0000_s71881" style="position:absolute;left:5036;top:3482;width:1108;height:303" stroked="f"/>
              <v:rect id="_x0000_s71882" style="position:absolute;left:5253;top:3511;width:751;height:207;mso-wrap-style:none" filled="f" stroked="f">
                <v:textbox style="mso-next-textbox:#_x0000_s71882;mso-fit-shape-to-text:t" inset="0,0,0,0">
                  <w:txbxContent>
                    <w:p w:rsidR="00CB6FAE" w:rsidRDefault="00CB6FAE">
                      <w:r>
                        <w:rPr>
                          <w:rFonts w:ascii="Arial" w:hAnsi="Arial" w:cs="Arial"/>
                          <w:color w:val="000000"/>
                          <w:sz w:val="18"/>
                          <w:szCs w:val="18"/>
                        </w:rPr>
                        <w:t>1.000000</w:t>
                      </w:r>
                    </w:p>
                  </w:txbxContent>
                </v:textbox>
              </v:rect>
              <v:rect id="_x0000_s71883" style="position:absolute;left:6116;top:3482;width:1136;height:303" stroked="f"/>
              <v:rect id="_x0000_s71884" style="position:absolute;left:6447;top:3511;width:651;height:207;mso-wrap-style:none" filled="f" stroked="f">
                <v:textbox style="mso-next-textbox:#_x0000_s71884;mso-fit-shape-to-text:t" inset="0,0,0,0">
                  <w:txbxContent>
                    <w:p w:rsidR="00CB6FAE" w:rsidRDefault="00CB6FAE">
                      <w:r>
                        <w:rPr>
                          <w:rFonts w:ascii="Arial" w:hAnsi="Arial" w:cs="Arial"/>
                          <w:color w:val="000000"/>
                          <w:sz w:val="18"/>
                          <w:szCs w:val="18"/>
                        </w:rPr>
                        <w:t>.000000</w:t>
                      </w:r>
                    </w:p>
                  </w:txbxContent>
                </v:textbox>
              </v:rect>
              <v:rect id="_x0000_s71885" style="position:absolute;left:1799;top:3756;width:1108;height:302" stroked="f"/>
              <v:rect id="_x0000_s71886" style="position:absolute;left:2489;top:3785;width:201;height:207;mso-wrap-style:none" filled="f" stroked="f">
                <v:textbox style="mso-next-textbox:#_x0000_s71886;mso-fit-shape-to-text:t" inset="0,0,0,0">
                  <w:txbxContent>
                    <w:p w:rsidR="00CB6FAE" w:rsidRDefault="00CB6FAE">
                      <w:r>
                        <w:rPr>
                          <w:rFonts w:ascii="Arial" w:hAnsi="Arial" w:cs="Arial"/>
                          <w:color w:val="000000"/>
                          <w:sz w:val="18"/>
                          <w:szCs w:val="18"/>
                        </w:rPr>
                        <w:t>12</w:t>
                      </w:r>
                    </w:p>
                  </w:txbxContent>
                </v:textbox>
              </v:rect>
              <v:rect id="_x0000_s71887" style="position:absolute;left:2878;top:3756;width:1108;height:302" stroked="f"/>
              <v:rect id="_x0000_s71888" style="position:absolute;left:3353;top:3785;width:451;height:207;mso-wrap-style:none" filled="f" stroked="f">
                <v:textbox style="mso-next-textbox:#_x0000_s71888;mso-fit-shape-to-text:t" inset="0,0,0,0">
                  <w:txbxContent>
                    <w:p w:rsidR="00CB6FAE" w:rsidRDefault="00CB6FAE">
                      <w:r>
                        <w:rPr>
                          <w:rFonts w:ascii="Arial" w:hAnsi="Arial" w:cs="Arial"/>
                          <w:color w:val="000000"/>
                          <w:sz w:val="18"/>
                          <w:szCs w:val="18"/>
                        </w:rPr>
                        <w:t>.3333</w:t>
                      </w:r>
                    </w:p>
                  </w:txbxContent>
                </v:textbox>
              </v:rect>
              <v:rect id="_x0000_s71889" style="position:absolute;left:3957;top:3756;width:1108;height:302" stroked="f"/>
              <v:rect id="_x0000_s71890" style="position:absolute;left:4346;top:3785;width:551;height:207;mso-wrap-style:none" filled="f" stroked="f">
                <v:textbox style="mso-next-textbox:#_x0000_s71890;mso-fit-shape-to-text:t" inset="0,0,0,0">
                  <w:txbxContent>
                    <w:p w:rsidR="00CB6FAE" w:rsidRDefault="00CB6FAE">
                      <w:r>
                        <w:rPr>
                          <w:rFonts w:ascii="Arial" w:hAnsi="Arial" w:cs="Arial"/>
                          <w:color w:val="000000"/>
                          <w:sz w:val="18"/>
                          <w:szCs w:val="18"/>
                        </w:rPr>
                        <w:t>1.0000</w:t>
                      </w:r>
                    </w:p>
                  </w:txbxContent>
                </v:textbox>
              </v:rect>
              <v:rect id="_x0000_s71891" style="position:absolute;left:5036;top:3756;width:1108;height:302" stroked="f"/>
              <v:rect id="_x0000_s71892" style="position:absolute;left:5339;top:3785;width:651;height:207;mso-wrap-style:none" filled="f" stroked="f">
                <v:textbox style="mso-next-textbox:#_x0000_s71892;mso-fit-shape-to-text:t" inset="0,0,0,0">
                  <w:txbxContent>
                    <w:p w:rsidR="00CB6FAE" w:rsidRDefault="00CB6FAE">
                      <w:r>
                        <w:rPr>
                          <w:rFonts w:ascii="Arial" w:hAnsi="Arial" w:cs="Arial"/>
                          <w:color w:val="000000"/>
                          <w:sz w:val="18"/>
                          <w:szCs w:val="18"/>
                        </w:rPr>
                        <w:t>.486092</w:t>
                      </w:r>
                    </w:p>
                  </w:txbxContent>
                </v:textbox>
              </v:rect>
              <v:rect id="_x0000_s71893" style="position:absolute;left:6116;top:3756;width:1136;height:302" stroked="f"/>
              <v:rect id="_x0000_s71894" style="position:absolute;left:6447;top:3785;width:651;height:207;mso-wrap-style:none" filled="f" stroked="f">
                <v:textbox style="mso-next-textbox:#_x0000_s71894;mso-fit-shape-to-text:t" inset="0,0,0,0">
                  <w:txbxContent>
                    <w:p w:rsidR="00CB6FAE" w:rsidRDefault="00CB6FAE">
                      <w:r>
                        <w:rPr>
                          <w:rFonts w:ascii="Arial" w:hAnsi="Arial" w:cs="Arial"/>
                          <w:color w:val="000000"/>
                          <w:sz w:val="18"/>
                          <w:szCs w:val="18"/>
                        </w:rPr>
                        <w:t>.260730</w:t>
                      </w:r>
                    </w:p>
                  </w:txbxContent>
                </v:textbox>
              </v:rect>
              <v:rect id="_x0000_s71895" style="position:absolute;left:1799;top:4029;width:1108;height:302" stroked="f"/>
              <v:rect id="_x0000_s71896" style="position:absolute;left:2489;top:4058;width:201;height:207;mso-wrap-style:none" filled="f" stroked="f">
                <v:textbox style="mso-next-textbox:#_x0000_s71896;mso-fit-shape-to-text:t" inset="0,0,0,0">
                  <w:txbxContent>
                    <w:p w:rsidR="00CB6FAE" w:rsidRDefault="00CB6FAE">
                      <w:r>
                        <w:rPr>
                          <w:rFonts w:ascii="Arial" w:hAnsi="Arial" w:cs="Arial"/>
                          <w:color w:val="000000"/>
                          <w:sz w:val="18"/>
                          <w:szCs w:val="18"/>
                        </w:rPr>
                        <w:t>64</w:t>
                      </w:r>
                    </w:p>
                  </w:txbxContent>
                </v:textbox>
              </v:rect>
              <v:rect id="_x0000_s71897" style="position:absolute;left:2878;top:4029;width:1108;height:302" stroked="f"/>
              <v:rect id="_x0000_s71898" style="position:absolute;left:3353;top:4058;width:451;height:207;mso-wrap-style:none" filled="f" stroked="f">
                <v:textbox style="mso-next-textbox:#_x0000_s71898;mso-fit-shape-to-text:t" inset="0,0,0,0">
                  <w:txbxContent>
                    <w:p w:rsidR="00CB6FAE" w:rsidRDefault="00CB6FAE">
                      <w:r>
                        <w:rPr>
                          <w:rFonts w:ascii="Arial" w:hAnsi="Arial" w:cs="Arial"/>
                          <w:color w:val="000000"/>
                          <w:sz w:val="18"/>
                          <w:szCs w:val="18"/>
                        </w:rPr>
                        <w:t>.2000</w:t>
                      </w:r>
                    </w:p>
                  </w:txbxContent>
                </v:textbox>
              </v:rect>
              <v:rect id="_x0000_s71899" style="position:absolute;left:3957;top:4029;width:1108;height:302" stroked="f"/>
              <v:rect id="_x0000_s71900" style="position:absolute;left:4346;top:4058;width:551;height:207;mso-wrap-style:none" filled="f" stroked="f">
                <v:textbox style="mso-next-textbox:#_x0000_s71900;mso-fit-shape-to-text:t" inset="0,0,0,0">
                  <w:txbxContent>
                    <w:p w:rsidR="00CB6FAE" w:rsidRDefault="00CB6FAE">
                      <w:r>
                        <w:rPr>
                          <w:rFonts w:ascii="Arial" w:hAnsi="Arial" w:cs="Arial"/>
                          <w:color w:val="000000"/>
                          <w:sz w:val="18"/>
                          <w:szCs w:val="18"/>
                        </w:rPr>
                        <w:t>1.0000</w:t>
                      </w:r>
                    </w:p>
                  </w:txbxContent>
                </v:textbox>
              </v:rect>
              <v:rect id="_x0000_s71901" style="position:absolute;left:5036;top:4029;width:1108;height:302" stroked="f"/>
              <v:rect id="_x0000_s71902" style="position:absolute;left:5339;top:4058;width:651;height:207;mso-wrap-style:none" filled="f" stroked="f">
                <v:textbox style="mso-next-textbox:#_x0000_s71902;mso-fit-shape-to-text:t" inset="0,0,0,0">
                  <w:txbxContent>
                    <w:p w:rsidR="00CB6FAE" w:rsidRDefault="00CB6FAE">
                      <w:r>
                        <w:rPr>
                          <w:rFonts w:ascii="Arial" w:hAnsi="Arial" w:cs="Arial"/>
                          <w:color w:val="000000"/>
                          <w:sz w:val="18"/>
                          <w:szCs w:val="18"/>
                        </w:rPr>
                        <w:t>.723438</w:t>
                      </w:r>
                    </w:p>
                  </w:txbxContent>
                </v:textbox>
              </v:rect>
              <v:rect id="_x0000_s71903" style="position:absolute;left:6116;top:4029;width:1136;height:302" stroked="f"/>
              <v:rect id="_x0000_s71904" style="position:absolute;left:6447;top:4058;width:651;height:207;mso-wrap-style:none" filled="f" stroked="f">
                <v:textbox style="mso-next-textbox:#_x0000_s71904;mso-fit-shape-to-text:t" inset="0,0,0,0">
                  <w:txbxContent>
                    <w:p w:rsidR="00CB6FAE" w:rsidRDefault="00CB6FAE">
                      <w:r>
                        <w:rPr>
                          <w:rFonts w:ascii="Arial" w:hAnsi="Arial" w:cs="Arial"/>
                          <w:color w:val="000000"/>
                          <w:sz w:val="18"/>
                          <w:szCs w:val="18"/>
                        </w:rPr>
                        <w:t>.203729</w:t>
                      </w:r>
                    </w:p>
                  </w:txbxContent>
                </v:textbox>
              </v:rect>
              <v:rect id="_x0000_s71905" style="position:absolute;left:1799;top:4303;width:1108;height:302" stroked="f"/>
              <v:rect id="_x0000_s71906" style="position:absolute;left:2489;top:4331;width:201;height:207;mso-wrap-style:none" filled="f" stroked="f">
                <v:textbox style="mso-next-textbox:#_x0000_s71906;mso-fit-shape-to-text:t" inset="0,0,0,0">
                  <w:txbxContent>
                    <w:p w:rsidR="00CB6FAE" w:rsidRDefault="00CB6FAE">
                      <w:r>
                        <w:rPr>
                          <w:rFonts w:ascii="Arial" w:hAnsi="Arial" w:cs="Arial"/>
                          <w:color w:val="000000"/>
                          <w:sz w:val="18"/>
                          <w:szCs w:val="18"/>
                        </w:rPr>
                        <w:t>40</w:t>
                      </w:r>
                    </w:p>
                  </w:txbxContent>
                </v:textbox>
              </v:rect>
              <v:rect id="_x0000_s71907" style="position:absolute;left:2878;top:4303;width:1108;height:302" stroked="f"/>
              <v:rect id="_x0000_s71908" style="position:absolute;left:3353;top:4331;width:451;height:207;mso-wrap-style:none" filled="f" stroked="f">
                <v:textbox style="mso-next-textbox:#_x0000_s71908;mso-fit-shape-to-text:t" inset="0,0,0,0">
                  <w:txbxContent>
                    <w:p w:rsidR="00CB6FAE" w:rsidRDefault="00CB6FAE">
                      <w:r>
                        <w:rPr>
                          <w:rFonts w:ascii="Arial" w:hAnsi="Arial" w:cs="Arial"/>
                          <w:color w:val="000000"/>
                          <w:sz w:val="18"/>
                          <w:szCs w:val="18"/>
                        </w:rPr>
                        <w:t>.3333</w:t>
                      </w:r>
                    </w:p>
                  </w:txbxContent>
                </v:textbox>
              </v:rect>
              <v:rect id="_x0000_s71909" style="position:absolute;left:3957;top:4303;width:1108;height:302" stroked="f"/>
              <v:rect id="_x0000_s71910" style="position:absolute;left:4346;top:4331;width:551;height:207;mso-wrap-style:none" filled="f" stroked="f">
                <v:textbox style="mso-next-textbox:#_x0000_s71910;mso-fit-shape-to-text:t" inset="0,0,0,0">
                  <w:txbxContent>
                    <w:p w:rsidR="00CB6FAE" w:rsidRDefault="00CB6FAE">
                      <w:r>
                        <w:rPr>
                          <w:rFonts w:ascii="Arial" w:hAnsi="Arial" w:cs="Arial"/>
                          <w:color w:val="000000"/>
                          <w:sz w:val="18"/>
                          <w:szCs w:val="18"/>
                        </w:rPr>
                        <w:t>1.0000</w:t>
                      </w:r>
                    </w:p>
                  </w:txbxContent>
                </v:textbox>
              </v:rect>
              <v:rect id="_x0000_s71911" style="position:absolute;left:5036;top:4303;width:1108;height:302" stroked="f"/>
              <v:rect id="_x0000_s71912" style="position:absolute;left:5339;top:4331;width:651;height:207;mso-wrap-style:none" filled="f" stroked="f">
                <v:textbox style="mso-next-textbox:#_x0000_s71912;mso-fit-shape-to-text:t" inset="0,0,0,0">
                  <w:txbxContent>
                    <w:p w:rsidR="00CB6FAE" w:rsidRDefault="00CB6FAE">
                      <w:r>
                        <w:rPr>
                          <w:rFonts w:ascii="Arial" w:hAnsi="Arial" w:cs="Arial"/>
                          <w:color w:val="000000"/>
                          <w:sz w:val="18"/>
                          <w:szCs w:val="18"/>
                        </w:rPr>
                        <w:t>.771435</w:t>
                      </w:r>
                    </w:p>
                  </w:txbxContent>
                </v:textbox>
              </v:rect>
              <v:rect id="_x0000_s71913" style="position:absolute;left:6116;top:4303;width:1136;height:302" stroked="f"/>
              <v:rect id="_x0000_s71914" style="position:absolute;left:6447;top:4331;width:651;height:207;mso-wrap-style:none" filled="f" stroked="f">
                <v:textbox style="mso-next-textbox:#_x0000_s71914;mso-fit-shape-to-text:t" inset="0,0,0,0">
                  <w:txbxContent>
                    <w:p w:rsidR="00CB6FAE" w:rsidRDefault="00CB6FAE">
                      <w:r>
                        <w:rPr>
                          <w:rFonts w:ascii="Arial" w:hAnsi="Arial" w:cs="Arial"/>
                          <w:color w:val="000000"/>
                          <w:sz w:val="18"/>
                          <w:szCs w:val="18"/>
                        </w:rPr>
                        <w:t>.210145</w:t>
                      </w:r>
                    </w:p>
                  </w:txbxContent>
                </v:textbox>
              </v:rect>
              <v:rect id="_x0000_s71915" style="position:absolute;left:1799;top:4576;width:1108;height:302" stroked="f"/>
              <v:rect id="_x0000_s71916" style="position:absolute;left:2489;top:4605;width:201;height:207;mso-wrap-style:none" filled="f" stroked="f">
                <v:textbox style="mso-next-textbox:#_x0000_s71916;mso-fit-shape-to-text:t" inset="0,0,0,0">
                  <w:txbxContent>
                    <w:p w:rsidR="00CB6FAE" w:rsidRDefault="00CB6FAE">
                      <w:r>
                        <w:rPr>
                          <w:rFonts w:ascii="Arial" w:hAnsi="Arial" w:cs="Arial"/>
                          <w:color w:val="000000"/>
                          <w:sz w:val="18"/>
                          <w:szCs w:val="18"/>
                        </w:rPr>
                        <w:t>12</w:t>
                      </w:r>
                    </w:p>
                  </w:txbxContent>
                </v:textbox>
              </v:rect>
              <v:rect id="_x0000_s71917" style="position:absolute;left:2878;top:4576;width:1108;height:302" stroked="f"/>
              <v:rect id="_x0000_s71918" style="position:absolute;left:3353;top:4605;width:451;height:207;mso-wrap-style:none" filled="f" stroked="f">
                <v:textbox style="mso-next-textbox:#_x0000_s71918;mso-fit-shape-to-text:t" inset="0,0,0,0">
                  <w:txbxContent>
                    <w:p w:rsidR="00CB6FAE" w:rsidRDefault="00CB6FAE">
                      <w:r>
                        <w:rPr>
                          <w:rFonts w:ascii="Arial" w:hAnsi="Arial" w:cs="Arial"/>
                          <w:color w:val="000000"/>
                          <w:sz w:val="18"/>
                          <w:szCs w:val="18"/>
                        </w:rPr>
                        <w:t>.2000</w:t>
                      </w:r>
                    </w:p>
                  </w:txbxContent>
                </v:textbox>
              </v:rect>
              <v:rect id="_x0000_s71919" style="position:absolute;left:3957;top:4576;width:1108;height:302" stroked="f"/>
              <v:rect id="_x0000_s71920" style="position:absolute;left:4346;top:4605;width:551;height:207;mso-wrap-style:none" filled="f" stroked="f">
                <v:textbox style="mso-next-textbox:#_x0000_s71920;mso-fit-shape-to-text:t" inset="0,0,0,0">
                  <w:txbxContent>
                    <w:p w:rsidR="00CB6FAE" w:rsidRDefault="00CB6FAE">
                      <w:r>
                        <w:rPr>
                          <w:rFonts w:ascii="Arial" w:hAnsi="Arial" w:cs="Arial"/>
                          <w:color w:val="000000"/>
                          <w:sz w:val="18"/>
                          <w:szCs w:val="18"/>
                        </w:rPr>
                        <w:t>1.0000</w:t>
                      </w:r>
                    </w:p>
                  </w:txbxContent>
                </v:textbox>
              </v:rect>
              <v:rect id="_x0000_s71921" style="position:absolute;left:5036;top:4576;width:1108;height:302" stroked="f"/>
              <v:rect id="_x0000_s71922" style="position:absolute;left:5339;top:4605;width:651;height:207;mso-wrap-style:none" filled="f" stroked="f">
                <v:textbox style="mso-next-textbox:#_x0000_s71922;mso-fit-shape-to-text:t" inset="0,0,0,0">
                  <w:txbxContent>
                    <w:p w:rsidR="00CB6FAE" w:rsidRDefault="00CB6FAE">
                      <w:r>
                        <w:rPr>
                          <w:rFonts w:ascii="Arial" w:hAnsi="Arial" w:cs="Arial"/>
                          <w:color w:val="000000"/>
                          <w:sz w:val="18"/>
                          <w:szCs w:val="18"/>
                        </w:rPr>
                        <w:t>.709725</w:t>
                      </w:r>
                    </w:p>
                  </w:txbxContent>
                </v:textbox>
              </v:rect>
              <v:rect id="_x0000_s71923" style="position:absolute;left:6116;top:4576;width:1136;height:302" stroked="f"/>
              <v:rect id="_x0000_s71924" style="position:absolute;left:6447;top:4605;width:651;height:207;mso-wrap-style:none" filled="f" stroked="f">
                <v:textbox style="mso-next-textbox:#_x0000_s71924;mso-fit-shape-to-text:t" inset="0,0,0,0">
                  <w:txbxContent>
                    <w:p w:rsidR="00CB6FAE" w:rsidRDefault="00CB6FAE">
                      <w:r>
                        <w:rPr>
                          <w:rFonts w:ascii="Arial" w:hAnsi="Arial" w:cs="Arial"/>
                          <w:color w:val="000000"/>
                          <w:sz w:val="18"/>
                          <w:szCs w:val="18"/>
                        </w:rPr>
                        <w:t>.325084</w:t>
                      </w:r>
                    </w:p>
                  </w:txbxContent>
                </v:textbox>
              </v:rect>
              <v:rect id="_x0000_s71925" style="position:absolute;left:1799;top:4849;width:1108;height:303" stroked="f"/>
              <v:rect id="_x0000_s71926" style="position:absolute;left:2576;top:4878;width:101;height:207;mso-wrap-style:none" filled="f" stroked="f">
                <v:textbox style="mso-next-textbox:#_x0000_s71926;mso-fit-shape-to-text:t" inset="0,0,0,0">
                  <w:txbxContent>
                    <w:p w:rsidR="00CB6FAE" w:rsidRDefault="00CB6FAE">
                      <w:r>
                        <w:rPr>
                          <w:rFonts w:ascii="Arial" w:hAnsi="Arial" w:cs="Arial"/>
                          <w:color w:val="000000"/>
                          <w:sz w:val="18"/>
                          <w:szCs w:val="18"/>
                        </w:rPr>
                        <w:t>1</w:t>
                      </w:r>
                    </w:p>
                  </w:txbxContent>
                </v:textbox>
              </v:rect>
              <v:rect id="_x0000_s71927" style="position:absolute;left:2878;top:4849;width:1108;height:303" stroked="f"/>
              <v:rect id="_x0000_s71928" style="position:absolute;left:3266;top:4878;width:551;height:207;mso-wrap-style:none" filled="f" stroked="f">
                <v:textbox style="mso-next-textbox:#_x0000_s71928;mso-fit-shape-to-text:t" inset="0,0,0,0">
                  <w:txbxContent>
                    <w:p w:rsidR="00CB6FAE" w:rsidRDefault="00CB6FAE">
                      <w:r>
                        <w:rPr>
                          <w:rFonts w:ascii="Arial" w:hAnsi="Arial" w:cs="Arial"/>
                          <w:color w:val="000000"/>
                          <w:sz w:val="18"/>
                          <w:szCs w:val="18"/>
                        </w:rPr>
                        <w:t>1.0000</w:t>
                      </w:r>
                    </w:p>
                  </w:txbxContent>
                </v:textbox>
              </v:rect>
              <v:rect id="_x0000_s71929" style="position:absolute;left:3957;top:4849;width:1108;height:303" stroked="f"/>
              <v:rect id="_x0000_s71930" style="position:absolute;left:4346;top:4878;width:551;height:207;mso-wrap-style:none" filled="f" stroked="f">
                <v:textbox style="mso-next-textbox:#_x0000_s71930;mso-fit-shape-to-text:t" inset="0,0,0,0">
                  <w:txbxContent>
                    <w:p w:rsidR="00CB6FAE" w:rsidRDefault="00CB6FAE">
                      <w:r>
                        <w:rPr>
                          <w:rFonts w:ascii="Arial" w:hAnsi="Arial" w:cs="Arial"/>
                          <w:color w:val="000000"/>
                          <w:sz w:val="18"/>
                          <w:szCs w:val="18"/>
                        </w:rPr>
                        <w:t>1.0000</w:t>
                      </w:r>
                    </w:p>
                  </w:txbxContent>
                </v:textbox>
              </v:rect>
              <v:rect id="_x0000_s71931" style="position:absolute;left:5036;top:4849;width:1108;height:303" stroked="f"/>
              <v:rect id="_x0000_s71932" style="position:absolute;left:5253;top:4878;width:751;height:207;mso-wrap-style:none" filled="f" stroked="f">
                <v:textbox style="mso-next-textbox:#_x0000_s71932;mso-fit-shape-to-text:t" inset="0,0,0,0">
                  <w:txbxContent>
                    <w:p w:rsidR="00CB6FAE" w:rsidRDefault="00CB6FAE">
                      <w:r>
                        <w:rPr>
                          <w:rFonts w:ascii="Arial" w:hAnsi="Arial" w:cs="Arial"/>
                          <w:color w:val="000000"/>
                          <w:sz w:val="18"/>
                          <w:szCs w:val="18"/>
                        </w:rPr>
                        <w:t>1.000000</w:t>
                      </w:r>
                    </w:p>
                  </w:txbxContent>
                </v:textbox>
              </v:rect>
              <v:rect id="_x0000_s71933" style="position:absolute;left:6116;top:4849;width:1136;height:303" stroked="f"/>
              <v:rect id="_x0000_s71934" style="position:absolute;left:6965;top:4878;width:51;height:207;mso-wrap-style:none" filled="f" stroked="f">
                <v:textbox style="mso-next-textbox:#_x0000_s71934;mso-fit-shape-to-text:t" inset="0,0,0,0">
                  <w:txbxContent>
                    <w:p w:rsidR="00CB6FAE" w:rsidRDefault="00CB6FAE">
                      <w:r>
                        <w:rPr>
                          <w:rFonts w:ascii="Arial" w:hAnsi="Arial" w:cs="Arial"/>
                          <w:color w:val="000000"/>
                          <w:sz w:val="18"/>
                          <w:szCs w:val="18"/>
                        </w:rPr>
                        <w:t>.</w:t>
                      </w:r>
                    </w:p>
                  </w:txbxContent>
                </v:textbox>
              </v:rect>
              <v:rect id="_x0000_s71935" style="position:absolute;left:1799;top:5123;width:1108;height:302" stroked="f"/>
              <v:rect id="_x0000_s71936" style="position:absolute;left:2489;top:5152;width:201;height:207;mso-wrap-style:none" filled="f" stroked="f">
                <v:textbox style="mso-next-textbox:#_x0000_s71936;mso-fit-shape-to-text:t" inset="0,0,0,0">
                  <w:txbxContent>
                    <w:p w:rsidR="00CB6FAE" w:rsidRDefault="00CB6FAE">
                      <w:r>
                        <w:rPr>
                          <w:rFonts w:ascii="Arial" w:hAnsi="Arial" w:cs="Arial"/>
                          <w:color w:val="000000"/>
                          <w:sz w:val="18"/>
                          <w:szCs w:val="18"/>
                        </w:rPr>
                        <w:t>17</w:t>
                      </w:r>
                    </w:p>
                  </w:txbxContent>
                </v:textbox>
              </v:rect>
              <v:rect id="_x0000_s71937" style="position:absolute;left:2878;top:5123;width:1108;height:302" stroked="f"/>
              <v:rect id="_x0000_s71938" style="position:absolute;left:3353;top:5152;width:451;height:207;mso-wrap-style:none" filled="f" stroked="f">
                <v:textbox style="mso-next-textbox:#_x0000_s71938;mso-fit-shape-to-text:t" inset="0,0,0,0">
                  <w:txbxContent>
                    <w:p w:rsidR="00CB6FAE" w:rsidRDefault="00CB6FAE">
                      <w:r>
                        <w:rPr>
                          <w:rFonts w:ascii="Arial" w:hAnsi="Arial" w:cs="Arial"/>
                          <w:color w:val="000000"/>
                          <w:sz w:val="18"/>
                          <w:szCs w:val="18"/>
                        </w:rPr>
                        <w:t>.6667</w:t>
                      </w:r>
                    </w:p>
                  </w:txbxContent>
                </v:textbox>
              </v:rect>
              <v:rect id="_x0000_s71939" style="position:absolute;left:3957;top:5123;width:1108;height:302" stroked="f"/>
              <v:rect id="_x0000_s71940" style="position:absolute;left:4346;top:5152;width:551;height:207;mso-wrap-style:none" filled="f" stroked="f">
                <v:textbox style="mso-next-textbox:#_x0000_s71940;mso-fit-shape-to-text:t" inset="0,0,0,0">
                  <w:txbxContent>
                    <w:p w:rsidR="00CB6FAE" w:rsidRDefault="00CB6FAE">
                      <w:r>
                        <w:rPr>
                          <w:rFonts w:ascii="Arial" w:hAnsi="Arial" w:cs="Arial"/>
                          <w:color w:val="000000"/>
                          <w:sz w:val="18"/>
                          <w:szCs w:val="18"/>
                        </w:rPr>
                        <w:t>1.0000</w:t>
                      </w:r>
                    </w:p>
                  </w:txbxContent>
                </v:textbox>
              </v:rect>
              <v:rect id="_x0000_s71941" style="position:absolute;left:5036;top:5123;width:1108;height:302" stroked="f"/>
              <v:rect id="_x0000_s71942" style="position:absolute;left:5339;top:5152;width:651;height:207;mso-wrap-style:none" filled="f" stroked="f">
                <v:textbox style="mso-next-textbox:#_x0000_s71942;mso-fit-shape-to-text:t" inset="0,0,0,0">
                  <w:txbxContent>
                    <w:p w:rsidR="00CB6FAE" w:rsidRDefault="00CB6FAE">
                      <w:r>
                        <w:rPr>
                          <w:rFonts w:ascii="Arial" w:hAnsi="Arial" w:cs="Arial"/>
                          <w:color w:val="000000"/>
                          <w:sz w:val="18"/>
                          <w:szCs w:val="18"/>
                        </w:rPr>
                        <w:t>.882365</w:t>
                      </w:r>
                    </w:p>
                  </w:txbxContent>
                </v:textbox>
              </v:rect>
              <v:rect id="_x0000_s71943" style="position:absolute;left:6116;top:5123;width:1136;height:302" stroked="f"/>
              <v:rect id="_x0000_s71944" style="position:absolute;left:6447;top:5152;width:651;height:207;mso-wrap-style:none" filled="f" stroked="f">
                <v:textbox style="mso-next-textbox:#_x0000_s71944;mso-fit-shape-to-text:t" inset="0,0,0,0">
                  <w:txbxContent>
                    <w:p w:rsidR="00CB6FAE" w:rsidRDefault="00CB6FAE">
                      <w:r>
                        <w:rPr>
                          <w:rFonts w:ascii="Arial" w:hAnsi="Arial" w:cs="Arial"/>
                          <w:color w:val="000000"/>
                          <w:sz w:val="18"/>
                          <w:szCs w:val="18"/>
                        </w:rPr>
                        <w:t>.164181</w:t>
                      </w:r>
                    </w:p>
                  </w:txbxContent>
                </v:textbox>
              </v:rect>
              <v:rect id="_x0000_s71945" style="position:absolute;left:1799;top:5396;width:1108;height:302" stroked="f"/>
              <v:rect id="_x0000_s71946" style="position:absolute;left:2489;top:5425;width:201;height:207;mso-wrap-style:none" filled="f" stroked="f">
                <v:textbox style="mso-next-textbox:#_x0000_s71946;mso-fit-shape-to-text:t" inset="0,0,0,0">
                  <w:txbxContent>
                    <w:p w:rsidR="00CB6FAE" w:rsidRDefault="00CB6FAE">
                      <w:r>
                        <w:rPr>
                          <w:rFonts w:ascii="Arial" w:hAnsi="Arial" w:cs="Arial"/>
                          <w:color w:val="000000"/>
                          <w:sz w:val="18"/>
                          <w:szCs w:val="18"/>
                        </w:rPr>
                        <w:t>18</w:t>
                      </w:r>
                    </w:p>
                  </w:txbxContent>
                </v:textbox>
              </v:rect>
              <v:rect id="_x0000_s71947" style="position:absolute;left:2878;top:5396;width:1108;height:302" stroked="f"/>
              <v:rect id="_x0000_s71948" style="position:absolute;left:3353;top:5425;width:451;height:207;mso-wrap-style:none" filled="f" stroked="f">
                <v:textbox style="mso-next-textbox:#_x0000_s71948;mso-fit-shape-to-text:t" inset="0,0,0,0">
                  <w:txbxContent>
                    <w:p w:rsidR="00CB6FAE" w:rsidRDefault="00CB6FAE">
                      <w:r>
                        <w:rPr>
                          <w:rFonts w:ascii="Arial" w:hAnsi="Arial" w:cs="Arial"/>
                          <w:color w:val="000000"/>
                          <w:sz w:val="18"/>
                          <w:szCs w:val="18"/>
                        </w:rPr>
                        <w:t>.5000</w:t>
                      </w:r>
                    </w:p>
                  </w:txbxContent>
                </v:textbox>
              </v:rect>
              <v:rect id="_x0000_s71949" style="position:absolute;left:3957;top:5396;width:1108;height:302" stroked="f"/>
              <v:rect id="_x0000_s71950" style="position:absolute;left:4346;top:5425;width:551;height:207;mso-wrap-style:none" filled="f" stroked="f">
                <v:textbox style="mso-next-textbox:#_x0000_s71950;mso-fit-shape-to-text:t" inset="0,0,0,0">
                  <w:txbxContent>
                    <w:p w:rsidR="00CB6FAE" w:rsidRDefault="00CB6FAE">
                      <w:r>
                        <w:rPr>
                          <w:rFonts w:ascii="Arial" w:hAnsi="Arial" w:cs="Arial"/>
                          <w:color w:val="000000"/>
                          <w:sz w:val="18"/>
                          <w:szCs w:val="18"/>
                        </w:rPr>
                        <w:t>1.0000</w:t>
                      </w:r>
                    </w:p>
                  </w:txbxContent>
                </v:textbox>
              </v:rect>
              <v:rect id="_x0000_s71951" style="position:absolute;left:5036;top:5396;width:1108;height:302" stroked="f"/>
              <v:rect id="_x0000_s71952" style="position:absolute;left:5339;top:5425;width:651;height:207;mso-wrap-style:none" filled="f" stroked="f">
                <v:textbox style="mso-next-textbox:#_x0000_s71952;mso-fit-shape-to-text:t" inset="0,0,0,0">
                  <w:txbxContent>
                    <w:p w:rsidR="00CB6FAE" w:rsidRDefault="00CB6FAE">
                      <w:r>
                        <w:rPr>
                          <w:rFonts w:ascii="Arial" w:hAnsi="Arial" w:cs="Arial"/>
                          <w:color w:val="000000"/>
                          <w:sz w:val="18"/>
                          <w:szCs w:val="18"/>
                        </w:rPr>
                        <w:t>.916667</w:t>
                      </w:r>
                    </w:p>
                  </w:txbxContent>
                </v:textbox>
              </v:rect>
              <v:rect id="_x0000_s71953" style="position:absolute;left:6116;top:5396;width:1136;height:302" stroked="f"/>
              <v:rect id="_x0000_s71954" style="position:absolute;left:6447;top:5425;width:651;height:207;mso-wrap-style:none" filled="f" stroked="f">
                <v:textbox style="mso-next-textbox:#_x0000_s71954;mso-fit-shape-to-text:t" inset="0,0,0,0">
                  <w:txbxContent>
                    <w:p w:rsidR="00CB6FAE" w:rsidRDefault="00CB6FAE">
                      <w:r>
                        <w:rPr>
                          <w:rFonts w:ascii="Arial" w:hAnsi="Arial" w:cs="Arial"/>
                          <w:color w:val="000000"/>
                          <w:sz w:val="18"/>
                          <w:szCs w:val="18"/>
                        </w:rPr>
                        <w:t>.191741</w:t>
                      </w:r>
                    </w:p>
                  </w:txbxContent>
                </v:textbox>
              </v:rect>
              <v:rect id="_x0000_s71955" style="position:absolute;left:1799;top:5670;width:1108;height:302" stroked="f"/>
              <v:rect id="_x0000_s71956" style="position:absolute;left:2489;top:5698;width:201;height:207;mso-wrap-style:none" filled="f" stroked="f">
                <v:textbox style="mso-next-textbox:#_x0000_s71956;mso-fit-shape-to-text:t" inset="0,0,0,0">
                  <w:txbxContent>
                    <w:p w:rsidR="00CB6FAE" w:rsidRDefault="00CB6FAE">
                      <w:r>
                        <w:rPr>
                          <w:rFonts w:ascii="Arial" w:hAnsi="Arial" w:cs="Arial"/>
                          <w:color w:val="000000"/>
                          <w:sz w:val="18"/>
                          <w:szCs w:val="18"/>
                        </w:rPr>
                        <w:t>23</w:t>
                      </w:r>
                    </w:p>
                  </w:txbxContent>
                </v:textbox>
              </v:rect>
              <v:rect id="_x0000_s71957" style="position:absolute;left:2878;top:5670;width:1108;height:302" stroked="f"/>
              <v:rect id="_x0000_s71958" style="position:absolute;left:3353;top:5698;width:451;height:207;mso-wrap-style:none" filled="f" stroked="f">
                <v:textbox style="mso-next-textbox:#_x0000_s71958;mso-fit-shape-to-text:t" inset="0,0,0,0">
                  <w:txbxContent>
                    <w:p w:rsidR="00CB6FAE" w:rsidRDefault="00CB6FAE">
                      <w:r>
                        <w:rPr>
                          <w:rFonts w:ascii="Arial" w:hAnsi="Arial" w:cs="Arial"/>
                          <w:color w:val="000000"/>
                          <w:sz w:val="18"/>
                          <w:szCs w:val="18"/>
                        </w:rPr>
                        <w:t>.5000</w:t>
                      </w:r>
                    </w:p>
                  </w:txbxContent>
                </v:textbox>
              </v:rect>
              <v:rect id="_x0000_s71959" style="position:absolute;left:3957;top:5670;width:1108;height:302" stroked="f"/>
              <v:rect id="_x0000_s71960" style="position:absolute;left:4346;top:5698;width:551;height:207;mso-wrap-style:none" filled="f" stroked="f">
                <v:textbox style="mso-next-textbox:#_x0000_s71960;mso-fit-shape-to-text:t" inset="0,0,0,0">
                  <w:txbxContent>
                    <w:p w:rsidR="00CB6FAE" w:rsidRDefault="00CB6FAE">
                      <w:r>
                        <w:rPr>
                          <w:rFonts w:ascii="Arial" w:hAnsi="Arial" w:cs="Arial"/>
                          <w:color w:val="000000"/>
                          <w:sz w:val="18"/>
                          <w:szCs w:val="18"/>
                        </w:rPr>
                        <w:t>1.0000</w:t>
                      </w:r>
                    </w:p>
                  </w:txbxContent>
                </v:textbox>
              </v:rect>
              <v:rect id="_x0000_s71961" style="position:absolute;left:5036;top:5670;width:1108;height:302" stroked="f"/>
              <v:rect id="_x0000_s71962" style="position:absolute;left:5339;top:5698;width:651;height:207;mso-wrap-style:none" filled="f" stroked="f">
                <v:textbox style="mso-next-textbox:#_x0000_s71962;mso-fit-shape-to-text:t" inset="0,0,0,0">
                  <w:txbxContent>
                    <w:p w:rsidR="00CB6FAE" w:rsidRDefault="00CB6FAE">
                      <w:r>
                        <w:rPr>
                          <w:rFonts w:ascii="Arial" w:hAnsi="Arial" w:cs="Arial"/>
                          <w:color w:val="000000"/>
                          <w:sz w:val="18"/>
                          <w:szCs w:val="18"/>
                        </w:rPr>
                        <w:t>.608696</w:t>
                      </w:r>
                    </w:p>
                  </w:txbxContent>
                </v:textbox>
              </v:rect>
              <v:rect id="_x0000_s71963" style="position:absolute;left:6116;top:5670;width:1136;height:302" stroked="f"/>
              <v:rect id="_x0000_s71964" style="position:absolute;left:6447;top:5698;width:651;height:207;mso-wrap-style:none" filled="f" stroked="f">
                <v:textbox style="mso-next-textbox:#_x0000_s71964;mso-fit-shape-to-text:t" inset="0,0,0,0">
                  <w:txbxContent>
                    <w:p w:rsidR="00CB6FAE" w:rsidRDefault="00CB6FAE">
                      <w:r>
                        <w:rPr>
                          <w:rFonts w:ascii="Arial" w:hAnsi="Arial" w:cs="Arial"/>
                          <w:color w:val="000000"/>
                          <w:sz w:val="18"/>
                          <w:szCs w:val="18"/>
                        </w:rPr>
                        <w:t>.210871</w:t>
                      </w:r>
                    </w:p>
                  </w:txbxContent>
                </v:textbox>
              </v:rect>
              <v:rect id="_x0000_s71965" style="position:absolute;left:1799;top:5943;width:1108;height:302" stroked="f"/>
              <v:rect id="_x0000_s71966" style="position:absolute;left:2489;top:5972;width:201;height:207;mso-wrap-style:none" filled="f" stroked="f">
                <v:textbox style="mso-next-textbox:#_x0000_s71966;mso-fit-shape-to-text:t" inset="0,0,0,0">
                  <w:txbxContent>
                    <w:p w:rsidR="00CB6FAE" w:rsidRDefault="00CB6FAE">
                      <w:r>
                        <w:rPr>
                          <w:rFonts w:ascii="Arial" w:hAnsi="Arial" w:cs="Arial"/>
                          <w:color w:val="000000"/>
                          <w:sz w:val="18"/>
                          <w:szCs w:val="18"/>
                        </w:rPr>
                        <w:t>12</w:t>
                      </w:r>
                    </w:p>
                  </w:txbxContent>
                </v:textbox>
              </v:rect>
              <v:rect id="_x0000_s71967" style="position:absolute;left:2878;top:5943;width:1108;height:302" stroked="f"/>
              <v:rect id="_x0000_s71968" style="position:absolute;left:3353;top:5972;width:451;height:207;mso-wrap-style:none" filled="f" stroked="f">
                <v:textbox style="mso-next-textbox:#_x0000_s71968;mso-fit-shape-to-text:t" inset="0,0,0,0">
                  <w:txbxContent>
                    <w:p w:rsidR="00CB6FAE" w:rsidRDefault="00CB6FAE">
                      <w:r>
                        <w:rPr>
                          <w:rFonts w:ascii="Arial" w:hAnsi="Arial" w:cs="Arial"/>
                          <w:color w:val="000000"/>
                          <w:sz w:val="18"/>
                          <w:szCs w:val="18"/>
                        </w:rPr>
                        <w:t>.8000</w:t>
                      </w:r>
                    </w:p>
                  </w:txbxContent>
                </v:textbox>
              </v:rect>
              <v:rect id="_x0000_s71969" style="position:absolute;left:3957;top:5943;width:1108;height:302" stroked="f"/>
              <v:rect id="_x0000_s71970" style="position:absolute;left:4346;top:5972;width:551;height:207;mso-wrap-style:none" filled="f" stroked="f">
                <v:textbox style="mso-next-textbox:#_x0000_s71970;mso-fit-shape-to-text:t" inset="0,0,0,0">
                  <w:txbxContent>
                    <w:p w:rsidR="00CB6FAE" w:rsidRDefault="00CB6FAE">
                      <w:r>
                        <w:rPr>
                          <w:rFonts w:ascii="Arial" w:hAnsi="Arial" w:cs="Arial"/>
                          <w:color w:val="000000"/>
                          <w:sz w:val="18"/>
                          <w:szCs w:val="18"/>
                        </w:rPr>
                        <w:t>1.0000</w:t>
                      </w:r>
                    </w:p>
                  </w:txbxContent>
                </v:textbox>
              </v:rect>
              <v:rect id="_x0000_s71971" style="position:absolute;left:5036;top:5943;width:1108;height:302" stroked="f"/>
              <v:rect id="_x0000_s71972" style="position:absolute;left:5339;top:5972;width:651;height:207;mso-wrap-style:none" filled="f" stroked="f">
                <v:textbox style="mso-next-textbox:#_x0000_s71972;mso-fit-shape-to-text:t" inset="0,0,0,0">
                  <w:txbxContent>
                    <w:p w:rsidR="00CB6FAE" w:rsidRDefault="00CB6FAE">
                      <w:r>
                        <w:rPr>
                          <w:rFonts w:ascii="Arial" w:hAnsi="Arial" w:cs="Arial"/>
                          <w:color w:val="000000"/>
                          <w:sz w:val="18"/>
                          <w:szCs w:val="18"/>
                        </w:rPr>
                        <w:t>.966667</w:t>
                      </w:r>
                    </w:p>
                  </w:txbxContent>
                </v:textbox>
              </v:rect>
              <v:rect id="_x0000_s71973" style="position:absolute;left:6116;top:5943;width:1136;height:302" stroked="f"/>
              <v:rect id="_x0000_s71974" style="position:absolute;left:6303;top:5972;width:831;height:207;mso-wrap-style:none" filled="f" stroked="f">
                <v:textbox style="mso-next-textbox:#_x0000_s71974;mso-fit-shape-to-text:t" inset="0,0,0,0">
                  <w:txbxContent>
                    <w:p w:rsidR="00CB6FAE" w:rsidRDefault="00CB6FAE">
                      <w:r>
                        <w:rPr>
                          <w:rFonts w:ascii="Arial" w:hAnsi="Arial" w:cs="Arial"/>
                          <w:color w:val="000000"/>
                          <w:sz w:val="18"/>
                          <w:szCs w:val="18"/>
                        </w:rPr>
                        <w:t>7.785E-02</w:t>
                      </w:r>
                    </w:p>
                  </w:txbxContent>
                </v:textbox>
              </v:rect>
              <v:rect id="_x0000_s71975" style="position:absolute;left:1799;top:6216;width:1108;height:303" stroked="f"/>
              <v:rect id="_x0000_s71976" style="position:absolute;left:2489;top:6245;width:201;height:207;mso-wrap-style:none" filled="f" stroked="f">
                <v:textbox style="mso-next-textbox:#_x0000_s71976;mso-fit-shape-to-text:t" inset="0,0,0,0">
                  <w:txbxContent>
                    <w:p w:rsidR="00CB6FAE" w:rsidRDefault="00CB6FAE">
                      <w:r>
                        <w:rPr>
                          <w:rFonts w:ascii="Arial" w:hAnsi="Arial" w:cs="Arial"/>
                          <w:color w:val="000000"/>
                          <w:sz w:val="18"/>
                          <w:szCs w:val="18"/>
                        </w:rPr>
                        <w:t>10</w:t>
                      </w:r>
                    </w:p>
                  </w:txbxContent>
                </v:textbox>
              </v:rect>
              <v:rect id="_x0000_s71977" style="position:absolute;left:2878;top:6216;width:1108;height:303" stroked="f"/>
              <v:rect id="_x0000_s71978" style="position:absolute;left:3353;top:6245;width:451;height:207;mso-wrap-style:none" filled="f" stroked="f">
                <v:textbox style="mso-next-textbox:#_x0000_s71978;mso-fit-shape-to-text:t" inset="0,0,0,0">
                  <w:txbxContent>
                    <w:p w:rsidR="00CB6FAE" w:rsidRDefault="00CB6FAE">
                      <w:r>
                        <w:rPr>
                          <w:rFonts w:ascii="Arial" w:hAnsi="Arial" w:cs="Arial"/>
                          <w:color w:val="000000"/>
                          <w:sz w:val="18"/>
                          <w:szCs w:val="18"/>
                        </w:rPr>
                        <w:t>.3333</w:t>
                      </w:r>
                    </w:p>
                  </w:txbxContent>
                </v:textbox>
              </v:rect>
              <v:rect id="_x0000_s71979" style="position:absolute;left:3957;top:6216;width:1108;height:303" stroked="f"/>
              <v:rect id="_x0000_s71980" style="position:absolute;left:4346;top:6245;width:551;height:207;mso-wrap-style:none" filled="f" stroked="f">
                <v:textbox style="mso-next-textbox:#_x0000_s71980;mso-fit-shape-to-text:t" inset="0,0,0,0">
                  <w:txbxContent>
                    <w:p w:rsidR="00CB6FAE" w:rsidRDefault="00CB6FAE">
                      <w:r>
                        <w:rPr>
                          <w:rFonts w:ascii="Arial" w:hAnsi="Arial" w:cs="Arial"/>
                          <w:color w:val="000000"/>
                          <w:sz w:val="18"/>
                          <w:szCs w:val="18"/>
                        </w:rPr>
                        <w:t>1.0000</w:t>
                      </w:r>
                    </w:p>
                  </w:txbxContent>
                </v:textbox>
              </v:rect>
              <v:rect id="_x0000_s71981" style="position:absolute;left:5036;top:6216;width:1108;height:303" stroked="f"/>
              <v:rect id="_x0000_s71982" style="position:absolute;left:5339;top:6245;width:651;height:207;mso-wrap-style:none" filled="f" stroked="f">
                <v:textbox style="mso-next-textbox:#_x0000_s71982;mso-fit-shape-to-text:t" inset="0,0,0,0">
                  <w:txbxContent>
                    <w:p w:rsidR="00CB6FAE" w:rsidRDefault="00CB6FAE">
                      <w:r>
                        <w:rPr>
                          <w:rFonts w:ascii="Arial" w:hAnsi="Arial" w:cs="Arial"/>
                          <w:color w:val="000000"/>
                          <w:sz w:val="18"/>
                          <w:szCs w:val="18"/>
                        </w:rPr>
                        <w:t>.908330</w:t>
                      </w:r>
                    </w:p>
                  </w:txbxContent>
                </v:textbox>
              </v:rect>
              <v:rect id="_x0000_s71983" style="position:absolute;left:6116;top:6216;width:1136;height:303" stroked="f"/>
              <v:rect id="_x0000_s71984" style="position:absolute;left:6447;top:6245;width:651;height:207;mso-wrap-style:none" filled="f" stroked="f">
                <v:textbox style="mso-next-textbox:#_x0000_s71984;mso-fit-shape-to-text:t" inset="0,0,0,0">
                  <w:txbxContent>
                    <w:p w:rsidR="00CB6FAE" w:rsidRDefault="00CB6FAE">
                      <w:r>
                        <w:rPr>
                          <w:rFonts w:ascii="Arial" w:hAnsi="Arial" w:cs="Arial"/>
                          <w:color w:val="000000"/>
                          <w:sz w:val="18"/>
                          <w:szCs w:val="18"/>
                        </w:rPr>
                        <w:t>.216783</w:t>
                      </w:r>
                    </w:p>
                  </w:txbxContent>
                </v:textbox>
              </v:rect>
              <v:rect id="_x0000_s71985" style="position:absolute;left:1799;top:6490;width:1108;height:302" stroked="f"/>
              <v:rect id="_x0000_s71986" style="position:absolute;left:2576;top:6519;width:101;height:207;mso-wrap-style:none" filled="f" stroked="f">
                <v:textbox style="mso-next-textbox:#_x0000_s71986;mso-fit-shape-to-text:t" inset="0,0,0,0">
                  <w:txbxContent>
                    <w:p w:rsidR="00CB6FAE" w:rsidRDefault="00CB6FAE">
                      <w:r>
                        <w:rPr>
                          <w:rFonts w:ascii="Arial" w:hAnsi="Arial" w:cs="Arial"/>
                          <w:color w:val="000000"/>
                          <w:sz w:val="18"/>
                          <w:szCs w:val="18"/>
                        </w:rPr>
                        <w:t>0</w:t>
                      </w:r>
                    </w:p>
                  </w:txbxContent>
                </v:textbox>
              </v:rect>
            </v:group>
            <v:rect id="_x0000_s71988" style="position:absolute;left:2878;top:6490;width:1108;height:302" stroked="f"/>
            <v:rect id="_x0000_s71989" style="position:absolute;left:3957;top:6490;width:1108;height:302" stroked="f"/>
            <v:rect id="_x0000_s71990" style="position:absolute;left:5036;top:6490;width:1108;height:302" stroked="f"/>
            <v:rect id="_x0000_s71991" style="position:absolute;left:6116;top:6490;width:1136;height:302" stroked="f"/>
            <v:rect id="_x0000_s71992" style="position:absolute;left:1799;top:6763;width:1108;height:302" stroked="f"/>
            <v:rect id="_x0000_s71993" style="position:absolute;left:2489;top:6792;width:201;height:207;mso-wrap-style:none" filled="f" stroked="f">
              <v:textbox style="mso-next-textbox:#_x0000_s71993;mso-fit-shape-to-text:t" inset="0,0,0,0">
                <w:txbxContent>
                  <w:p w:rsidR="00CB6FAE" w:rsidRDefault="00CB6FAE">
                    <w:r>
                      <w:rPr>
                        <w:rFonts w:ascii="Arial" w:hAnsi="Arial" w:cs="Arial"/>
                        <w:color w:val="000000"/>
                        <w:sz w:val="18"/>
                        <w:szCs w:val="18"/>
                      </w:rPr>
                      <w:t>14</w:t>
                    </w:r>
                  </w:p>
                </w:txbxContent>
              </v:textbox>
            </v:rect>
            <v:rect id="_x0000_s71994" style="position:absolute;left:2878;top:6763;width:1108;height:302" stroked="f"/>
            <v:rect id="_x0000_s71995" style="position:absolute;left:3353;top:6792;width:451;height:207;mso-wrap-style:none" filled="f" stroked="f">
              <v:textbox style="mso-next-textbox:#_x0000_s71995;mso-fit-shape-to-text:t" inset="0,0,0,0">
                <w:txbxContent>
                  <w:p w:rsidR="00CB6FAE" w:rsidRDefault="00CB6FAE">
                    <w:r>
                      <w:rPr>
                        <w:rFonts w:ascii="Arial" w:hAnsi="Arial" w:cs="Arial"/>
                        <w:color w:val="000000"/>
                        <w:sz w:val="18"/>
                        <w:szCs w:val="18"/>
                      </w:rPr>
                      <w:t>.5000</w:t>
                    </w:r>
                  </w:p>
                </w:txbxContent>
              </v:textbox>
            </v:rect>
            <v:rect id="_x0000_s71996" style="position:absolute;left:3957;top:6763;width:1108;height:302" stroked="f"/>
            <v:rect id="_x0000_s71997" style="position:absolute;left:4346;top:6792;width:551;height:207;mso-wrap-style:none" filled="f" stroked="f">
              <v:textbox style="mso-next-textbox:#_x0000_s71997;mso-fit-shape-to-text:t" inset="0,0,0,0">
                <w:txbxContent>
                  <w:p w:rsidR="00CB6FAE" w:rsidRDefault="00CB6FAE">
                    <w:r>
                      <w:rPr>
                        <w:rFonts w:ascii="Arial" w:hAnsi="Arial" w:cs="Arial"/>
                        <w:color w:val="000000"/>
                        <w:sz w:val="18"/>
                        <w:szCs w:val="18"/>
                      </w:rPr>
                      <w:t>1.0000</w:t>
                    </w:r>
                  </w:p>
                </w:txbxContent>
              </v:textbox>
            </v:rect>
            <v:rect id="_x0000_s71998" style="position:absolute;left:5036;top:6763;width:1108;height:302" stroked="f"/>
            <v:rect id="_x0000_s71999" style="position:absolute;left:5339;top:6792;width:651;height:207;mso-wrap-style:none" filled="f" stroked="f">
              <v:textbox style="mso-next-textbox:#_x0000_s71999;mso-fit-shape-to-text:t" inset="0,0,0,0">
                <w:txbxContent>
                  <w:p w:rsidR="00CB6FAE" w:rsidRDefault="00CB6FAE">
                    <w:r>
                      <w:rPr>
                        <w:rFonts w:ascii="Arial" w:hAnsi="Arial" w:cs="Arial"/>
                        <w:color w:val="000000"/>
                        <w:sz w:val="18"/>
                        <w:szCs w:val="18"/>
                      </w:rPr>
                      <w:t>.832143</w:t>
                    </w:r>
                  </w:p>
                </w:txbxContent>
              </v:textbox>
            </v:rect>
            <v:rect id="_x0000_s72000" style="position:absolute;left:6116;top:6763;width:1136;height:302" stroked="f"/>
            <v:rect id="_x0000_s72001" style="position:absolute;left:6447;top:6792;width:651;height:207;mso-wrap-style:none" filled="f" stroked="f">
              <v:textbox style="mso-next-textbox:#_x0000_s72001;mso-fit-shape-to-text:t" inset="0,0,0,0">
                <w:txbxContent>
                  <w:p w:rsidR="00CB6FAE" w:rsidRDefault="00CB6FAE">
                    <w:r>
                      <w:rPr>
                        <w:rFonts w:ascii="Arial" w:hAnsi="Arial" w:cs="Arial"/>
                        <w:color w:val="000000"/>
                        <w:sz w:val="18"/>
                        <w:szCs w:val="18"/>
                      </w:rPr>
                      <w:t>.156411</w:t>
                    </w:r>
                  </w:p>
                </w:txbxContent>
              </v:textbox>
            </v:rect>
            <v:rect id="_x0000_s72002" style="position:absolute;left:1799;top:7037;width:1108;height:302" stroked="f"/>
            <v:rect id="_x0000_s72003" style="position:absolute;left:2576;top:7065;width:109;height:276;mso-wrap-style:none" filled="f" stroked="f">
              <v:textbox style="mso-next-textbox:#_x0000_s72003;mso-fit-shape-to-text:t" inset="0,0,0,0">
                <w:txbxContent>
                  <w:p w:rsidR="00CB6FAE" w:rsidRDefault="00CB6FAE"/>
                </w:txbxContent>
              </v:textbox>
            </v:rect>
            <v:rect id="_x0000_s72004" style="position:absolute;left:2878;top:7037;width:1108;height:302" stroked="f"/>
            <v:rect id="_x0000_s72005" style="position:absolute;left:3957;top:7037;width:1108;height:302" stroked="f"/>
            <v:rect id="_x0000_s72006" style="position:absolute;left:5036;top:7037;width:1108;height:302" stroked="f"/>
            <v:rect id="_x0000_s72007" style="position:absolute;left:6116;top:7037;width:1136;height:302" stroked="f"/>
            <v:rect id="_x0000_s72008" style="position:absolute;left:144;top:518;width:1684;height:532" stroked="f"/>
            <v:rect id="_x0000_s72009" style="position:absolute;left:144;top:1022;width:1684;height:302" stroked="f"/>
            <v:rect id="_x0000_s72010" style="position:absolute;left:259;top:1036;width:891;height:207;mso-wrap-style:none" filled="f" stroked="f">
              <v:textbox style="mso-next-textbox:#_x0000_s72010;mso-fit-shape-to-text:t" inset="0,0,0,0">
                <w:txbxContent>
                  <w:p w:rsidR="00CB6FAE" w:rsidRDefault="00CB6FAE">
                    <w:r>
                      <w:rPr>
                        <w:rFonts w:ascii="Arial" w:hAnsi="Arial" w:cs="Arial"/>
                        <w:color w:val="000000"/>
                        <w:sz w:val="18"/>
                        <w:szCs w:val="18"/>
                      </w:rPr>
                      <w:t>IFRS index</w:t>
                    </w:r>
                  </w:p>
                </w:txbxContent>
              </v:textbox>
            </v:rect>
            <v:rect id="_x0000_s72011" style="position:absolute;left:144;top:1295;width:1684;height:302" stroked="f"/>
            <v:rect id="_x0000_s72012" style="position:absolute;left:259;top:1309;width:441;height:207;mso-wrap-style:none" filled="f" stroked="f">
              <v:textbox style="mso-next-textbox:#_x0000_s72012;mso-fit-shape-to-text:t" inset="0,0,0,0">
                <w:txbxContent>
                  <w:p w:rsidR="00CB6FAE" w:rsidRDefault="00CB6FAE">
                    <w:r>
                      <w:rPr>
                        <w:rFonts w:ascii="Arial" w:hAnsi="Arial" w:cs="Arial"/>
                        <w:color w:val="000000"/>
                        <w:sz w:val="18"/>
                        <w:szCs w:val="18"/>
                      </w:rPr>
                      <w:t>IAS 1</w:t>
                    </w:r>
                  </w:p>
                </w:txbxContent>
              </v:textbox>
            </v:rect>
            <v:rect id="_x0000_s72013" style="position:absolute;left:144;top:1569;width:1684;height:302" stroked="f"/>
            <v:rect id="_x0000_s72014" style="position:absolute;left:259;top:1583;width:441;height:207;mso-wrap-style:none" filled="f" stroked="f">
              <v:textbox style="mso-next-textbox:#_x0000_s72014;mso-fit-shape-to-text:t" inset="0,0,0,0">
                <w:txbxContent>
                  <w:p w:rsidR="00CB6FAE" w:rsidRDefault="00CB6FAE">
                    <w:r>
                      <w:rPr>
                        <w:rFonts w:ascii="Arial" w:hAnsi="Arial" w:cs="Arial"/>
                        <w:color w:val="000000"/>
                        <w:sz w:val="18"/>
                        <w:szCs w:val="18"/>
                      </w:rPr>
                      <w:t>IAS 2</w:t>
                    </w:r>
                  </w:p>
                </w:txbxContent>
              </v:textbox>
            </v:rect>
            <v:rect id="_x0000_s72015" style="position:absolute;left:144;top:1842;width:1684;height:302" stroked="f"/>
            <v:rect id="_x0000_s72016" style="position:absolute;left:259;top:1856;width:541;height:207;mso-wrap-style:none" filled="f" stroked="f">
              <v:textbox style="mso-next-textbox:#_x0000_s72016;mso-fit-shape-to-text:t" inset="0,0,0,0">
                <w:txbxContent>
                  <w:p w:rsidR="00CB6FAE" w:rsidRDefault="00CB6FAE">
                    <w:r>
                      <w:rPr>
                        <w:rFonts w:ascii="Arial" w:hAnsi="Arial" w:cs="Arial"/>
                        <w:color w:val="000000"/>
                        <w:sz w:val="18"/>
                        <w:szCs w:val="18"/>
                      </w:rPr>
                      <w:t>IAS 10</w:t>
                    </w:r>
                  </w:p>
                </w:txbxContent>
              </v:textbox>
            </v:rect>
            <v:rect id="_x0000_s72017" style="position:absolute;left:144;top:2115;width:1684;height:303" stroked="f"/>
            <v:rect id="_x0000_s72018" style="position:absolute;left:259;top:2130;width:541;height:207;mso-wrap-style:none" filled="f" stroked="f">
              <v:textbox style="mso-next-textbox:#_x0000_s72018;mso-fit-shape-to-text:t" inset="0,0,0,0">
                <w:txbxContent>
                  <w:p w:rsidR="00CB6FAE" w:rsidRDefault="00CB6FAE">
                    <w:r>
                      <w:rPr>
                        <w:rFonts w:ascii="Arial" w:hAnsi="Arial" w:cs="Arial"/>
                        <w:color w:val="000000"/>
                        <w:sz w:val="18"/>
                        <w:szCs w:val="18"/>
                      </w:rPr>
                      <w:t>IAS 12</w:t>
                    </w:r>
                  </w:p>
                </w:txbxContent>
              </v:textbox>
            </v:rect>
            <v:rect id="_x0000_s72019" style="position:absolute;left:144;top:2389;width:1684;height:302" stroked="f"/>
            <v:rect id="_x0000_s72020" style="position:absolute;left:259;top:2403;width:541;height:207;mso-wrap-style:none" filled="f" stroked="f">
              <v:textbox style="mso-next-textbox:#_x0000_s72020;mso-fit-shape-to-text:t" inset="0,0,0,0">
                <w:txbxContent>
                  <w:p w:rsidR="00CB6FAE" w:rsidRDefault="00CB6FAE">
                    <w:r>
                      <w:rPr>
                        <w:rFonts w:ascii="Arial" w:hAnsi="Arial" w:cs="Arial"/>
                        <w:color w:val="000000"/>
                        <w:sz w:val="18"/>
                        <w:szCs w:val="18"/>
                      </w:rPr>
                      <w:t>IAS 14</w:t>
                    </w:r>
                  </w:p>
                </w:txbxContent>
              </v:textbox>
            </v:rect>
            <v:rect id="_x0000_s72021" style="position:absolute;left:144;top:2662;width:1684;height:302" stroked="f"/>
            <v:rect id="_x0000_s72022" style="position:absolute;left:259;top:2677;width:541;height:207;mso-wrap-style:none" filled="f" stroked="f">
              <v:textbox style="mso-next-textbox:#_x0000_s72022;mso-fit-shape-to-text:t" inset="0,0,0,0">
                <w:txbxContent>
                  <w:p w:rsidR="00CB6FAE" w:rsidRDefault="00CB6FAE">
                    <w:r>
                      <w:rPr>
                        <w:rFonts w:ascii="Arial" w:hAnsi="Arial" w:cs="Arial"/>
                        <w:color w:val="000000"/>
                        <w:sz w:val="18"/>
                        <w:szCs w:val="18"/>
                      </w:rPr>
                      <w:t>IAS 16</w:t>
                    </w:r>
                  </w:p>
                </w:txbxContent>
              </v:textbox>
            </v:rect>
            <v:rect id="_x0000_s72023" style="position:absolute;left:144;top:2936;width:1684;height:302" stroked="f"/>
            <v:rect id="_x0000_s72024" style="position:absolute;left:259;top:2950;width:541;height:207;mso-wrap-style:none" filled="f" stroked="f">
              <v:textbox style="mso-next-textbox:#_x0000_s72024;mso-fit-shape-to-text:t" inset="0,0,0,0">
                <w:txbxContent>
                  <w:p w:rsidR="00CB6FAE" w:rsidRDefault="00CB6FAE">
                    <w:r>
                      <w:rPr>
                        <w:rFonts w:ascii="Arial" w:hAnsi="Arial" w:cs="Arial"/>
                        <w:color w:val="000000"/>
                        <w:sz w:val="18"/>
                        <w:szCs w:val="18"/>
                      </w:rPr>
                      <w:t>IAS 18</w:t>
                    </w:r>
                  </w:p>
                </w:txbxContent>
              </v:textbox>
            </v:rect>
            <v:rect id="_x0000_s72025" style="position:absolute;left:144;top:3209;width:1684;height:302" stroked="f"/>
            <v:rect id="_x0000_s72026" style="position:absolute;left:259;top:3223;width:541;height:207;mso-wrap-style:none" filled="f" stroked="f">
              <v:textbox style="mso-next-textbox:#_x0000_s72026;mso-fit-shape-to-text:t" inset="0,0,0,0">
                <w:txbxContent>
                  <w:p w:rsidR="00CB6FAE" w:rsidRDefault="00CB6FAE">
                    <w:r>
                      <w:rPr>
                        <w:rFonts w:ascii="Arial" w:hAnsi="Arial" w:cs="Arial"/>
                        <w:color w:val="000000"/>
                        <w:sz w:val="18"/>
                        <w:szCs w:val="18"/>
                      </w:rPr>
                      <w:t>IAS 20</w:t>
                    </w:r>
                  </w:p>
                </w:txbxContent>
              </v:textbox>
            </v:rect>
            <v:rect id="_x0000_s72027" style="position:absolute;left:144;top:3482;width:1684;height:303" stroked="f"/>
            <v:rect id="_x0000_s72028" style="position:absolute;left:259;top:3497;width:541;height:207;mso-wrap-style:none" filled="f" stroked="f">
              <v:textbox style="mso-next-textbox:#_x0000_s72028;mso-fit-shape-to-text:t" inset="0,0,0,0">
                <w:txbxContent>
                  <w:p w:rsidR="00CB6FAE" w:rsidRDefault="00CB6FAE">
                    <w:r>
                      <w:rPr>
                        <w:rFonts w:ascii="Arial" w:hAnsi="Arial" w:cs="Arial"/>
                        <w:color w:val="000000"/>
                        <w:sz w:val="18"/>
                        <w:szCs w:val="18"/>
                      </w:rPr>
                      <w:t>IAS 21</w:t>
                    </w:r>
                  </w:p>
                </w:txbxContent>
              </v:textbox>
            </v:rect>
            <v:rect id="_x0000_s72029" style="position:absolute;left:144;top:3756;width:1684;height:302" stroked="f"/>
            <v:rect id="_x0000_s72030" style="position:absolute;left:259;top:3770;width:541;height:207;mso-wrap-style:none" filled="f" stroked="f">
              <v:textbox style="mso-next-textbox:#_x0000_s72030;mso-fit-shape-to-text:t" inset="0,0,0,0">
                <w:txbxContent>
                  <w:p w:rsidR="00CB6FAE" w:rsidRDefault="00CB6FAE">
                    <w:r>
                      <w:rPr>
                        <w:rFonts w:ascii="Arial" w:hAnsi="Arial" w:cs="Arial"/>
                        <w:color w:val="000000"/>
                        <w:sz w:val="18"/>
                        <w:szCs w:val="18"/>
                      </w:rPr>
                      <w:t>IAS 23</w:t>
                    </w:r>
                  </w:p>
                </w:txbxContent>
              </v:textbox>
            </v:rect>
            <v:rect id="_x0000_s72031" style="position:absolute;left:144;top:4029;width:1684;height:302" stroked="f"/>
            <v:rect id="_x0000_s72032" style="position:absolute;left:259;top:4044;width:541;height:207;mso-wrap-style:none" filled="f" stroked="f">
              <v:textbox style="mso-next-textbox:#_x0000_s72032;mso-fit-shape-to-text:t" inset="0,0,0,0">
                <w:txbxContent>
                  <w:p w:rsidR="00CB6FAE" w:rsidRDefault="00CB6FAE">
                    <w:r>
                      <w:rPr>
                        <w:rFonts w:ascii="Arial" w:hAnsi="Arial" w:cs="Arial"/>
                        <w:color w:val="000000"/>
                        <w:sz w:val="18"/>
                        <w:szCs w:val="18"/>
                      </w:rPr>
                      <w:t>IAS 24</w:t>
                    </w:r>
                  </w:p>
                </w:txbxContent>
              </v:textbox>
            </v:rect>
            <v:rect id="_x0000_s72033" style="position:absolute;left:144;top:4303;width:1684;height:302" stroked="f"/>
            <v:rect id="_x0000_s72034" style="position:absolute;left:259;top:4317;width:541;height:207;mso-wrap-style:none" filled="f" stroked="f">
              <v:textbox style="mso-next-textbox:#_x0000_s72034;mso-fit-shape-to-text:t" inset="0,0,0,0">
                <w:txbxContent>
                  <w:p w:rsidR="00CB6FAE" w:rsidRDefault="00CB6FAE">
                    <w:r>
                      <w:rPr>
                        <w:rFonts w:ascii="Arial" w:hAnsi="Arial" w:cs="Arial"/>
                        <w:color w:val="000000"/>
                        <w:sz w:val="18"/>
                        <w:szCs w:val="18"/>
                      </w:rPr>
                      <w:t>IAS 27</w:t>
                    </w:r>
                  </w:p>
                </w:txbxContent>
              </v:textbox>
            </v:rect>
            <v:rect id="_x0000_s72035" style="position:absolute;left:144;top:4576;width:1684;height:302" stroked="f"/>
            <v:rect id="_x0000_s72036" style="position:absolute;left:259;top:4590;width:541;height:207;mso-wrap-style:none" filled="f" stroked="f">
              <v:textbox style="mso-next-textbox:#_x0000_s72036;mso-fit-shape-to-text:t" inset="0,0,0,0">
                <w:txbxContent>
                  <w:p w:rsidR="00CB6FAE" w:rsidRDefault="00CB6FAE">
                    <w:r>
                      <w:rPr>
                        <w:rFonts w:ascii="Arial" w:hAnsi="Arial" w:cs="Arial"/>
                        <w:color w:val="000000"/>
                        <w:sz w:val="18"/>
                        <w:szCs w:val="18"/>
                      </w:rPr>
                      <w:t>IAS 28</w:t>
                    </w:r>
                  </w:p>
                </w:txbxContent>
              </v:textbox>
            </v:rect>
            <v:rect id="_x0000_s72037" style="position:absolute;left:144;top:4849;width:1684;height:303" stroked="f"/>
            <v:rect id="_x0000_s72038" style="position:absolute;left:259;top:4864;width:541;height:207;mso-wrap-style:none" filled="f" stroked="f">
              <v:textbox style="mso-next-textbox:#_x0000_s72038;mso-fit-shape-to-text:t" inset="0,0,0,0">
                <w:txbxContent>
                  <w:p w:rsidR="00CB6FAE" w:rsidRDefault="00CB6FAE">
                    <w:r>
                      <w:rPr>
                        <w:rFonts w:ascii="Arial" w:hAnsi="Arial" w:cs="Arial"/>
                        <w:color w:val="000000"/>
                        <w:sz w:val="18"/>
                        <w:szCs w:val="18"/>
                      </w:rPr>
                      <w:t>IAS 31</w:t>
                    </w:r>
                  </w:p>
                </w:txbxContent>
              </v:textbox>
            </v:rect>
            <v:rect id="_x0000_s72039" style="position:absolute;left:144;top:5123;width:1684;height:302" stroked="f"/>
            <v:rect id="_x0000_s72040" style="position:absolute;left:259;top:5137;width:541;height:207;mso-wrap-style:none" filled="f" stroked="f">
              <v:textbox style="mso-next-textbox:#_x0000_s72040;mso-fit-shape-to-text:t" inset="0,0,0,0">
                <w:txbxContent>
                  <w:p w:rsidR="00CB6FAE" w:rsidRDefault="00CB6FAE">
                    <w:r>
                      <w:rPr>
                        <w:rFonts w:ascii="Arial" w:hAnsi="Arial" w:cs="Arial"/>
                        <w:color w:val="000000"/>
                        <w:sz w:val="18"/>
                        <w:szCs w:val="18"/>
                      </w:rPr>
                      <w:t>IAS 32</w:t>
                    </w:r>
                  </w:p>
                </w:txbxContent>
              </v:textbox>
            </v:rect>
            <v:rect id="_x0000_s72041" style="position:absolute;left:144;top:5396;width:1684;height:302" stroked="f"/>
            <v:rect id="_x0000_s72042" style="position:absolute;left:259;top:5411;width:541;height:207;mso-wrap-style:none" filled="f" stroked="f">
              <v:textbox style="mso-next-textbox:#_x0000_s72042;mso-fit-shape-to-text:t" inset="0,0,0,0">
                <w:txbxContent>
                  <w:p w:rsidR="00CB6FAE" w:rsidRDefault="00CB6FAE">
                    <w:r>
                      <w:rPr>
                        <w:rFonts w:ascii="Arial" w:hAnsi="Arial" w:cs="Arial"/>
                        <w:color w:val="000000"/>
                        <w:sz w:val="18"/>
                        <w:szCs w:val="18"/>
                      </w:rPr>
                      <w:t>IAS 36</w:t>
                    </w:r>
                  </w:p>
                </w:txbxContent>
              </v:textbox>
            </v:rect>
            <v:rect id="_x0000_s72043" style="position:absolute;left:144;top:5670;width:1684;height:302" stroked="f"/>
            <v:rect id="_x0000_s72044" style="position:absolute;left:259;top:5684;width:541;height:207;mso-wrap-style:none" filled="f" stroked="f">
              <v:textbox style="mso-next-textbox:#_x0000_s72044;mso-fit-shape-to-text:t" inset="0,0,0,0">
                <w:txbxContent>
                  <w:p w:rsidR="00CB6FAE" w:rsidRDefault="00CB6FAE">
                    <w:r>
                      <w:rPr>
                        <w:rFonts w:ascii="Arial" w:hAnsi="Arial" w:cs="Arial"/>
                        <w:color w:val="000000"/>
                        <w:sz w:val="18"/>
                        <w:szCs w:val="18"/>
                      </w:rPr>
                      <w:t>IAS 37</w:t>
                    </w:r>
                  </w:p>
                </w:txbxContent>
              </v:textbox>
            </v:rect>
            <v:rect id="_x0000_s72045" style="position:absolute;left:144;top:5943;width:1684;height:302" stroked="f"/>
            <v:rect id="_x0000_s72046" style="position:absolute;left:259;top:5957;width:541;height:207;mso-wrap-style:none" filled="f" stroked="f">
              <v:textbox style="mso-next-textbox:#_x0000_s72046;mso-fit-shape-to-text:t" inset="0,0,0,0">
                <w:txbxContent>
                  <w:p w:rsidR="00CB6FAE" w:rsidRDefault="00CB6FAE">
                    <w:r>
                      <w:rPr>
                        <w:rFonts w:ascii="Arial" w:hAnsi="Arial" w:cs="Arial"/>
                        <w:color w:val="000000"/>
                        <w:sz w:val="18"/>
                        <w:szCs w:val="18"/>
                      </w:rPr>
                      <w:t>IAS 38</w:t>
                    </w:r>
                  </w:p>
                </w:txbxContent>
              </v:textbox>
            </v:rect>
            <v:rect id="_x0000_s72047" style="position:absolute;left:144;top:6216;width:1684;height:303" stroked="f"/>
            <v:rect id="_x0000_s72048" style="position:absolute;left:259;top:6231;width:541;height:207;mso-wrap-style:none" filled="f" stroked="f">
              <v:textbox style="mso-next-textbox:#_x0000_s72048;mso-fit-shape-to-text:t" inset="0,0,0,0">
                <w:txbxContent>
                  <w:p w:rsidR="00CB6FAE" w:rsidRDefault="00CB6FAE">
                    <w:r>
                      <w:rPr>
                        <w:rFonts w:ascii="Arial" w:hAnsi="Arial" w:cs="Arial"/>
                        <w:color w:val="000000"/>
                        <w:sz w:val="18"/>
                        <w:szCs w:val="18"/>
                      </w:rPr>
                      <w:t>IAS 40</w:t>
                    </w:r>
                  </w:p>
                </w:txbxContent>
              </v:textbox>
            </v:rect>
            <v:rect id="_x0000_s72049" style="position:absolute;left:144;top:6490;width:1684;height:302" stroked="f"/>
            <v:rect id="_x0000_s72050" style="position:absolute;left:259;top:6504;width:561;height:207;mso-wrap-style:none" filled="f" stroked="f">
              <v:textbox style="mso-next-textbox:#_x0000_s72050;mso-fit-shape-to-text:t" inset="0,0,0,0">
                <w:txbxContent>
                  <w:p w:rsidR="00CB6FAE" w:rsidRDefault="00CB6FAE">
                    <w:r>
                      <w:rPr>
                        <w:rFonts w:ascii="Arial" w:hAnsi="Arial" w:cs="Arial"/>
                        <w:color w:val="000000"/>
                        <w:sz w:val="18"/>
                        <w:szCs w:val="18"/>
                      </w:rPr>
                      <w:t>IFRS 2</w:t>
                    </w:r>
                  </w:p>
                </w:txbxContent>
              </v:textbox>
            </v:rect>
            <v:rect id="_x0000_s72051" style="position:absolute;left:144;top:6763;width:1684;height:302" stroked="f"/>
            <v:rect id="_x0000_s72052" style="position:absolute;left:259;top:6778;width:561;height:207;mso-wrap-style:none" filled="f" stroked="f">
              <v:textbox style="mso-next-textbox:#_x0000_s72052;mso-fit-shape-to-text:t" inset="0,0,0,0">
                <w:txbxContent>
                  <w:p w:rsidR="00CB6FAE" w:rsidRDefault="00CB6FAE">
                    <w:r>
                      <w:rPr>
                        <w:rFonts w:ascii="Arial" w:hAnsi="Arial" w:cs="Arial"/>
                        <w:color w:val="000000"/>
                        <w:sz w:val="18"/>
                        <w:szCs w:val="18"/>
                      </w:rPr>
                      <w:t>IFRS 3</w:t>
                    </w:r>
                  </w:p>
                </w:txbxContent>
              </v:textbox>
            </v:rect>
            <v:rect id="_x0000_s72053" style="position:absolute;left:144;top:7037;width:1684;height:302" stroked="f"/>
            <v:rect id="_x0000_s72054" style="position:absolute;left:259;top:7051;width:109;height:276;mso-wrap-style:none" filled="f" stroked="f">
              <v:textbox style="mso-next-textbox:#_x0000_s72054;mso-fit-shape-to-text:t" inset="0,0,0,0">
                <w:txbxContent>
                  <w:p w:rsidR="00CB6FAE" w:rsidRDefault="00CB6FAE"/>
                </w:txbxContent>
              </v:textbox>
            </v:rect>
            <v:rect id="_x0000_s72055" style="position:absolute;left:1799;top:518;width:1108;height:532" stroked="f"/>
            <v:rect id="_x0000_s72056" style="position:absolute;left:2231;top:792;width:130;height:207;mso-wrap-style:none" filled="f" stroked="f">
              <v:textbox style="mso-next-textbox:#_x0000_s72056;mso-fit-shape-to-text:t" inset="0,0,0,0">
                <w:txbxContent>
                  <w:p w:rsidR="00CB6FAE" w:rsidRDefault="00CB6FAE">
                    <w:r>
                      <w:rPr>
                        <w:rFonts w:ascii="Arial" w:hAnsi="Arial" w:cs="Arial"/>
                        <w:color w:val="000000"/>
                        <w:sz w:val="18"/>
                        <w:szCs w:val="18"/>
                      </w:rPr>
                      <w:t>N</w:t>
                    </w:r>
                  </w:p>
                </w:txbxContent>
              </v:textbox>
            </v:rect>
            <v:rect id="_x0000_s72057" style="position:absolute;left:2878;top:518;width:1108;height:532" stroked="f"/>
            <v:rect id="_x0000_s72058" style="position:absolute;left:3072;top:792;width:731;height:207;mso-wrap-style:none" filled="f" stroked="f">
              <v:textbox style="mso-next-textbox:#_x0000_s72058;mso-fit-shape-to-text:t" inset="0,0,0,0">
                <w:txbxContent>
                  <w:p w:rsidR="00CB6FAE" w:rsidRDefault="00CB6FAE">
                    <w:r>
                      <w:rPr>
                        <w:rFonts w:ascii="Arial" w:hAnsi="Arial" w:cs="Arial"/>
                        <w:color w:val="000000"/>
                        <w:sz w:val="18"/>
                        <w:szCs w:val="18"/>
                      </w:rPr>
                      <w:t>Minimum</w:t>
                    </w:r>
                  </w:p>
                </w:txbxContent>
              </v:textbox>
            </v:rect>
            <v:rect id="_x0000_s72059" style="position:absolute;left:3957;top:518;width:1108;height:532" stroked="f"/>
            <v:rect id="_x0000_s72060" style="position:absolute;left:4123;top:792;width:781;height:207;mso-wrap-style:none" filled="f" stroked="f">
              <v:textbox style="mso-next-textbox:#_x0000_s72060;mso-fit-shape-to-text:t" inset="0,0,0,0">
                <w:txbxContent>
                  <w:p w:rsidR="00CB6FAE" w:rsidRDefault="00CB6FAE">
                    <w:r>
                      <w:rPr>
                        <w:rFonts w:ascii="Arial" w:hAnsi="Arial" w:cs="Arial"/>
                        <w:color w:val="000000"/>
                        <w:sz w:val="18"/>
                        <w:szCs w:val="18"/>
                      </w:rPr>
                      <w:t>Maximum</w:t>
                    </w:r>
                  </w:p>
                </w:txbxContent>
              </v:textbox>
            </v:rect>
            <v:rect id="_x0000_s72061" style="position:absolute;left:5036;top:518;width:1108;height:532" stroked="f"/>
            <v:rect id="_x0000_s72062" style="position:absolute;left:5331;top:792;width:451;height:207;mso-wrap-style:none" filled="f" stroked="f">
              <v:textbox style="mso-next-textbox:#_x0000_s72062;mso-fit-shape-to-text:t" inset="0,0,0,0">
                <w:txbxContent>
                  <w:p w:rsidR="00CB6FAE" w:rsidRDefault="00CB6FAE">
                    <w:r>
                      <w:rPr>
                        <w:rFonts w:ascii="Arial" w:hAnsi="Arial" w:cs="Arial"/>
                        <w:color w:val="000000"/>
                        <w:sz w:val="18"/>
                        <w:szCs w:val="18"/>
                      </w:rPr>
                      <w:t>Mean</w:t>
                    </w:r>
                  </w:p>
                </w:txbxContent>
              </v:textbox>
            </v:rect>
            <v:rect id="_x0000_s72063" style="position:absolute;left:6116;top:518;width:1136;height:532" stroked="f"/>
            <v:rect id="_x0000_s72064" style="position:absolute;left:6476;top:561;width:321;height:207;mso-wrap-style:none" filled="f" stroked="f">
              <v:textbox style="mso-next-textbox:#_x0000_s72064;mso-fit-shape-to-text:t" inset="0,0,0,0">
                <w:txbxContent>
                  <w:p w:rsidR="00CB6FAE" w:rsidRDefault="00CB6FAE">
                    <w:r>
                      <w:rPr>
                        <w:rFonts w:ascii="Arial" w:hAnsi="Arial" w:cs="Arial"/>
                        <w:color w:val="000000"/>
                        <w:sz w:val="18"/>
                        <w:szCs w:val="18"/>
                      </w:rPr>
                      <w:t>Std.</w:t>
                    </w:r>
                  </w:p>
                </w:txbxContent>
              </v:textbox>
            </v:rect>
            <v:rect id="_x0000_s72065" style="position:absolute;left:6296;top:792;width:751;height:207;mso-wrap-style:none" filled="f" stroked="f">
              <v:textbox style="mso-next-textbox:#_x0000_s72065;mso-fit-shape-to-text:t" inset="0,0,0,0">
                <w:txbxContent>
                  <w:p w:rsidR="00CB6FAE" w:rsidRDefault="00CB6FAE">
                    <w:r>
                      <w:rPr>
                        <w:rFonts w:ascii="Arial" w:hAnsi="Arial" w:cs="Arial"/>
                        <w:color w:val="000000"/>
                        <w:sz w:val="18"/>
                        <w:szCs w:val="18"/>
                      </w:rPr>
                      <w:t>Deviation</w:t>
                    </w:r>
                  </w:p>
                </w:txbxContent>
              </v:textbox>
            </v:rect>
            <v:line id="_x0000_s72066" style="position:absolute" from="2878,518" to="2879,7310" strokeweight="39e-5mm"/>
            <v:line id="_x0000_s72067" style="position:absolute" from="3957,518" to="3958,7310" strokeweight="39e-5mm"/>
            <v:line id="_x0000_s72068" style="position:absolute" from="5036,518" to="5037,7310" strokeweight="39e-5mm"/>
            <v:line id="_x0000_s72069" style="position:absolute" from="6116,518" to="6117,7310" strokeweight="39e-5mm"/>
            <v:rect id="_x0000_s72070" style="position:absolute;left:7080;top:504;width:14;height:6662" stroked="f"/>
            <v:rect id="_x0000_s72071" style="position:absolute;left:144;top:489;width:6950;height:43" stroked="f"/>
            <v:rect id="_x0000_s72072" style="position:absolute;width:7368;height:144" stroked="f"/>
            <v:rect id="_x0000_s72073" style="position:absolute;width:144;height:7454" stroked="f"/>
            <v:rect id="_x0000_s72074" style="position:absolute;left:7224;width:158;height:7454" stroked="f"/>
            <v:rect id="_x0000_s72075" style="position:absolute;top:7310;width:7368;height:158" stroked="f"/>
            <v:line id="_x0000_s72076" style="position:absolute" from="158,532" to="159,7296" strokeweight="81e-5mm"/>
            <v:line id="_x0000_s72077" style="position:absolute" from="7209,532" to="7210,7296" strokeweight="81e-5mm"/>
            <v:line id="_x0000_s72078" style="position:absolute" from="158,532" to="7209,533" strokeweight="81e-5mm"/>
            <v:line id="_x0000_s72079" style="position:absolute" from="158,7296" to="7209,7297" strokeweight="81e-5mm"/>
            <v:line id="_x0000_s72080" style="position:absolute" from="158,1036" to="7209,1037" strokeweight="81e-5mm"/>
            <v:line id="_x0000_s72081" style="position:absolute" from="1813,532" to="1814,7296" strokeweight="81e-5mm"/>
            <w10:wrap type="none"/>
            <w10:anchorlock/>
          </v:group>
        </w:pict>
      </w:r>
    </w:p>
    <w:p w:rsidR="00BF4515" w:rsidRPr="008573C5" w:rsidRDefault="00BF4515" w:rsidP="00BF4515">
      <w:pPr>
        <w:autoSpaceDE w:val="0"/>
        <w:autoSpaceDN w:val="0"/>
        <w:adjustRightInd w:val="0"/>
        <w:jc w:val="center"/>
        <w:rPr>
          <w:rFonts w:eastAsia="Calibri"/>
          <w:b/>
          <w:bCs/>
        </w:rPr>
      </w:pPr>
      <w:r w:rsidRPr="008573C5">
        <w:rPr>
          <w:rFonts w:eastAsia="Calibri"/>
          <w:b/>
          <w:bCs/>
        </w:rPr>
        <w:t>Source: Field Study (2009)</w:t>
      </w:r>
    </w:p>
    <w:p w:rsidR="00FF5EDF" w:rsidRPr="008573C5" w:rsidRDefault="00FF5EDF" w:rsidP="00BF4515">
      <w:pPr>
        <w:autoSpaceDE w:val="0"/>
        <w:autoSpaceDN w:val="0"/>
        <w:adjustRightInd w:val="0"/>
        <w:jc w:val="center"/>
        <w:rPr>
          <w:rFonts w:ascii="System" w:hAnsi="System" w:cs="System"/>
          <w:bCs/>
          <w:sz w:val="20"/>
          <w:szCs w:val="20"/>
        </w:rPr>
      </w:pPr>
    </w:p>
    <w:p w:rsidR="00753AF2" w:rsidRDefault="00753AF2" w:rsidP="00FB6B48">
      <w:pPr>
        <w:spacing w:line="480" w:lineRule="auto"/>
        <w:jc w:val="both"/>
        <w:rPr>
          <w:rFonts w:ascii="Times" w:hAnsi="Times" w:cs="Times"/>
          <w:b/>
        </w:rPr>
      </w:pPr>
    </w:p>
    <w:p w:rsidR="00753AF2" w:rsidRDefault="00753AF2" w:rsidP="00FB6B48">
      <w:pPr>
        <w:spacing w:line="480" w:lineRule="auto"/>
        <w:jc w:val="both"/>
        <w:rPr>
          <w:rFonts w:ascii="Times" w:hAnsi="Times" w:cs="Times"/>
          <w:b/>
        </w:rPr>
      </w:pPr>
    </w:p>
    <w:p w:rsidR="00FF5EDF" w:rsidRPr="008573C5" w:rsidRDefault="00FB6B48" w:rsidP="00FB6B48">
      <w:pPr>
        <w:spacing w:line="480" w:lineRule="auto"/>
        <w:jc w:val="both"/>
      </w:pPr>
      <w:r w:rsidRPr="008573C5">
        <w:rPr>
          <w:rFonts w:ascii="Times" w:hAnsi="Times" w:cs="Times"/>
          <w:b/>
        </w:rPr>
        <w:t>4.1.1.2</w:t>
      </w:r>
      <w:r w:rsidRPr="008573C5">
        <w:rPr>
          <w:rFonts w:ascii="Times" w:hAnsi="Times" w:cs="Times"/>
          <w:b/>
        </w:rPr>
        <w:tab/>
        <w:t>Descriptive Statistics of Compliance with IFRSs</w:t>
      </w:r>
    </w:p>
    <w:p w:rsidR="00A51076" w:rsidRPr="008573C5" w:rsidRDefault="00FF5EDF" w:rsidP="00A51076">
      <w:pPr>
        <w:spacing w:after="120" w:line="360" w:lineRule="auto"/>
        <w:jc w:val="both"/>
      </w:pPr>
      <w:r w:rsidRPr="008573C5">
        <w:rPr>
          <w:rFonts w:ascii="Times" w:hAnsi="Times" w:cs="Times"/>
        </w:rPr>
        <w:t>Since IFRSs are not mandatory in Nigeria, c</w:t>
      </w:r>
      <w:r w:rsidR="00753AF2">
        <w:t>ompanies generally disclose</w:t>
      </w:r>
      <w:r w:rsidRPr="008573C5">
        <w:t xml:space="preserve"> part of the disclosure requirements of the various IAS and IFRS standards</w:t>
      </w:r>
      <w:r w:rsidR="00A51076" w:rsidRPr="008573C5">
        <w:t xml:space="preserve"> </w:t>
      </w:r>
      <w:r w:rsidR="00234CA0" w:rsidRPr="008573C5">
        <w:t>(</w:t>
      </w:r>
      <w:r w:rsidRPr="008573C5">
        <w:t>Table 4.</w:t>
      </w:r>
      <w:r w:rsidR="00DD65B3" w:rsidRPr="008573C5">
        <w:t>04</w:t>
      </w:r>
      <w:r w:rsidRPr="008573C5">
        <w:t xml:space="preserve">). It </w:t>
      </w:r>
      <w:r w:rsidR="00753AF2">
        <w:t>i</w:t>
      </w:r>
      <w:r w:rsidRPr="008573C5">
        <w:t>s observed that only</w:t>
      </w:r>
      <w:r w:rsidR="00234CA0" w:rsidRPr="008573C5">
        <w:t xml:space="preserve"> o</w:t>
      </w:r>
      <w:r w:rsidR="00753AF2">
        <w:t>ne standard, IAS 1, i</w:t>
      </w:r>
      <w:r w:rsidR="00234CA0" w:rsidRPr="008573C5">
        <w:t>s compli</w:t>
      </w:r>
      <w:r w:rsidRPr="008573C5">
        <w:t xml:space="preserve">ed with by all the ninety sampled companies. </w:t>
      </w:r>
      <w:r w:rsidR="00693DC2" w:rsidRPr="008573C5">
        <w:t>More than half of the companies</w:t>
      </w:r>
      <w:r w:rsidRPr="008573C5">
        <w:t xml:space="preserve"> i.e. bet</w:t>
      </w:r>
      <w:r w:rsidR="00753AF2">
        <w:t>ween 54 and 87 companies report</w:t>
      </w:r>
      <w:r w:rsidRPr="008573C5">
        <w:t xml:space="preserve"> partly on IAS 10, IAS 16, IAS 18 and IAS 24. A few companies compl</w:t>
      </w:r>
      <w:r w:rsidR="00753AF2">
        <w:t>y</w:t>
      </w:r>
      <w:r w:rsidRPr="008573C5">
        <w:t xml:space="preserve"> partially with IAS 14, IAS 21, IAS23, IAS27, IAS28, IAS32, IAS 36, IAS 38, IAS 40 and IFRS 3 while IAS 2, IAS </w:t>
      </w:r>
      <w:r w:rsidR="00753AF2">
        <w:t>12, IAS 20, IAS 31 and IFRS 2 a</w:t>
      </w:r>
      <w:r w:rsidRPr="008573C5">
        <w:t>re hardly disclosed by the companies. Of all these companies</w:t>
      </w:r>
      <w:r w:rsidR="00693DC2" w:rsidRPr="008573C5">
        <w:t>,</w:t>
      </w:r>
      <w:r w:rsidR="00753AF2">
        <w:t xml:space="preserve"> the banking industry witnesses</w:t>
      </w:r>
      <w:r w:rsidRPr="008573C5">
        <w:t xml:space="preserve"> the highest disclosure on seventeen standards. Analysis suggests that other non-banking industries generally disclose some information items in the IFRSs to their convenience wh</w:t>
      </w:r>
      <w:r w:rsidR="00753AF2">
        <w:t>ile the banking sector discloses</w:t>
      </w:r>
      <w:r w:rsidRPr="008573C5">
        <w:t xml:space="preserve"> more information due to the nature of their businesses, banking sector reform sector regulation</w:t>
      </w:r>
      <w:r w:rsidR="00A51076" w:rsidRPr="008573C5">
        <w:t xml:space="preserve">, </w:t>
      </w:r>
      <w:r w:rsidRPr="008573C5">
        <w:t>and t</w:t>
      </w:r>
      <w:r w:rsidR="00A51076" w:rsidRPr="008573C5">
        <w:t>he demands of the global economic</w:t>
      </w:r>
      <w:r w:rsidRPr="008573C5">
        <w:t xml:space="preserve"> issues. </w:t>
      </w:r>
      <w:r w:rsidR="00A51076" w:rsidRPr="008573C5">
        <w:t>Currently, a</w:t>
      </w:r>
      <w:r w:rsidR="008332F4" w:rsidRPr="008573C5">
        <w:t xml:space="preserve"> number of Nigerian </w:t>
      </w:r>
      <w:r w:rsidR="00A51076" w:rsidRPr="008573C5">
        <w:t>banks</w:t>
      </w:r>
      <w:r w:rsidR="008332F4" w:rsidRPr="008573C5">
        <w:t xml:space="preserve"> (First Bank of Nigeria, Plc, Guaranty Trust Bank Plc, Zenith Bank, Plc, and Access Bank Plc) have made</w:t>
      </w:r>
      <w:r w:rsidR="00A51076" w:rsidRPr="008573C5">
        <w:t xml:space="preserve"> voluntary decisions to</w:t>
      </w:r>
      <w:r w:rsidR="008332F4" w:rsidRPr="008573C5">
        <w:t xml:space="preserve"> present their reports using IFRSs in order to</w:t>
      </w:r>
      <w:r w:rsidR="00A51076" w:rsidRPr="008573C5">
        <w:t xml:space="preserve"> improve the transparency and exposure level of their books, especially after the dearth of investor confidence which came as a result of the economic crisis</w:t>
      </w:r>
      <w:r w:rsidR="008332F4" w:rsidRPr="008573C5">
        <w:t xml:space="preserve"> that commenced in year 2008.</w:t>
      </w:r>
    </w:p>
    <w:p w:rsidR="00FF5EDF" w:rsidRPr="008573C5" w:rsidRDefault="00FF5EDF" w:rsidP="004A665C">
      <w:pPr>
        <w:spacing w:after="120" w:line="360" w:lineRule="auto"/>
        <w:jc w:val="both"/>
      </w:pPr>
      <w:r w:rsidRPr="008573C5">
        <w:t xml:space="preserve">The standard-by-standard analysis is as </w:t>
      </w:r>
      <w:r w:rsidR="008332F4" w:rsidRPr="008573C5">
        <w:t xml:space="preserve">presented </w:t>
      </w:r>
      <w:r w:rsidRPr="008573C5">
        <w:t>below:</w:t>
      </w:r>
    </w:p>
    <w:p w:rsidR="00FF5EDF" w:rsidRPr="008573C5" w:rsidRDefault="00FF5EDF" w:rsidP="004A665C">
      <w:pPr>
        <w:spacing w:after="120" w:line="360" w:lineRule="auto"/>
        <w:jc w:val="both"/>
      </w:pPr>
      <w:r w:rsidRPr="008573C5">
        <w:rPr>
          <w:b/>
        </w:rPr>
        <w:t>IAS 1</w:t>
      </w:r>
      <w:r w:rsidR="00C77BA6" w:rsidRPr="008573C5">
        <w:rPr>
          <w:b/>
        </w:rPr>
        <w:t xml:space="preserve"> </w:t>
      </w:r>
      <w:r w:rsidRPr="008573C5">
        <w:rPr>
          <w:b/>
        </w:rPr>
        <w:t>(</w:t>
      </w:r>
      <w:r w:rsidR="00A16296" w:rsidRPr="008573C5">
        <w:rPr>
          <w:b/>
        </w:rPr>
        <w:t>Presentation of Financial Statements</w:t>
      </w:r>
      <w:r w:rsidRPr="008573C5">
        <w:rPr>
          <w:b/>
        </w:rPr>
        <w:t>)</w:t>
      </w:r>
      <w:r w:rsidRPr="008573C5">
        <w:t>: Only one company, Ecobank Transnational Incorporated fully complie</w:t>
      </w:r>
      <w:r w:rsidR="00FF26BB">
        <w:t>s</w:t>
      </w:r>
      <w:r w:rsidRPr="008573C5">
        <w:t xml:space="preserve"> with IAS 1. The other eighty nine companies have a compliance level between 0.43 and 0.75. Ecobank Transnational Incorporated disclosed full compliance with the IFRSs due to the fact that it is a foreign listed company. </w:t>
      </w:r>
      <w:r w:rsidR="00FF26BB">
        <w:t>A few of other companies disclose</w:t>
      </w:r>
      <w:r w:rsidRPr="008573C5">
        <w:t xml:space="preserve"> partial compliance with IFRSs and majority d</w:t>
      </w:r>
      <w:r w:rsidR="00FF26BB">
        <w:t>o</w:t>
      </w:r>
      <w:r w:rsidRPr="008573C5">
        <w:t xml:space="preserve"> not refer to IFRSs at all.  The financial statements of majority of the companies do not include a statement showing all changes in equity.</w:t>
      </w:r>
    </w:p>
    <w:p w:rsidR="00FF5EDF" w:rsidRPr="008573C5" w:rsidRDefault="00FF5EDF" w:rsidP="004A665C">
      <w:pPr>
        <w:spacing w:after="120" w:line="360" w:lineRule="auto"/>
        <w:jc w:val="both"/>
      </w:pPr>
      <w:r w:rsidRPr="008573C5">
        <w:rPr>
          <w:b/>
        </w:rPr>
        <w:t>IAS 2</w:t>
      </w:r>
      <w:r w:rsidRPr="008573C5">
        <w:rPr>
          <w:b/>
        </w:rPr>
        <w:tab/>
        <w:t>(Inventories)</w:t>
      </w:r>
      <w:r w:rsidRPr="008573C5">
        <w:t>: The compliance of companies with regards to the questions</w:t>
      </w:r>
      <w:r w:rsidR="00234CA0" w:rsidRPr="008573C5">
        <w:t xml:space="preserve"> drawn on this standard i</w:t>
      </w:r>
      <w:r w:rsidRPr="008573C5">
        <w:t xml:space="preserve">s very low. </w:t>
      </w:r>
      <w:r w:rsidR="00FF26BB">
        <w:t>A few companies disclose</w:t>
      </w:r>
      <w:r w:rsidRPr="008573C5">
        <w:t xml:space="preserve"> the amount of inventories writ</w:t>
      </w:r>
      <w:r w:rsidR="00693DC2" w:rsidRPr="008573C5">
        <w:t>t</w:t>
      </w:r>
      <w:r w:rsidRPr="008573C5">
        <w:t>e</w:t>
      </w:r>
      <w:r w:rsidR="00693DC2" w:rsidRPr="008573C5">
        <w:t xml:space="preserve">n </w:t>
      </w:r>
      <w:r w:rsidRPr="008573C5">
        <w:t xml:space="preserve">down that </w:t>
      </w:r>
      <w:r w:rsidR="00693DC2" w:rsidRPr="008573C5">
        <w:t>are</w:t>
      </w:r>
      <w:r w:rsidRPr="008573C5">
        <w:t xml:space="preserve"> recognized as expenses during the period a</w:t>
      </w:r>
      <w:r w:rsidR="00FF26BB">
        <w:t>nd no organization discloses</w:t>
      </w:r>
      <w:r w:rsidRPr="008573C5">
        <w:t xml:space="preserve"> the carrying amount of inventories pledged as security for liabilities</w:t>
      </w:r>
      <w:r w:rsidR="00330DB0" w:rsidRPr="008573C5">
        <w:t>.</w:t>
      </w:r>
    </w:p>
    <w:p w:rsidR="00FF5EDF" w:rsidRPr="008573C5" w:rsidRDefault="00FF5EDF" w:rsidP="004A665C">
      <w:pPr>
        <w:spacing w:after="120" w:line="360" w:lineRule="auto"/>
        <w:jc w:val="both"/>
      </w:pPr>
      <w:r w:rsidRPr="008573C5">
        <w:rPr>
          <w:b/>
        </w:rPr>
        <w:t>IAS 10 (Events after the balance sheet date):</w:t>
      </w:r>
      <w:r w:rsidR="007A5FB2">
        <w:t xml:space="preserve"> The disclosure ranges</w:t>
      </w:r>
      <w:r w:rsidRPr="008573C5">
        <w:t xml:space="preserve"> between 0.33 and 0.75 for companies that compl</w:t>
      </w:r>
      <w:r w:rsidR="007A5FB2">
        <w:t>y</w:t>
      </w:r>
      <w:r w:rsidRPr="008573C5">
        <w:t xml:space="preserve"> with the disclosure requirements of IAS 10.</w:t>
      </w:r>
      <w:r w:rsidR="007A5FB2">
        <w:t xml:space="preserve"> Most of the companies disclose</w:t>
      </w:r>
      <w:r w:rsidRPr="008573C5">
        <w:t xml:space="preserve"> the</w:t>
      </w:r>
      <w:r w:rsidR="007A5FB2">
        <w:t xml:space="preserve"> date the financial statement i</w:t>
      </w:r>
      <w:r w:rsidRPr="008573C5">
        <w:t>s authorized for issue except for Starco Insurance Plc, Oando Plc and Afprint Plc that fail</w:t>
      </w:r>
      <w:r w:rsidR="007A5FB2">
        <w:t>s</w:t>
      </w:r>
      <w:r w:rsidRPr="008573C5">
        <w:t xml:space="preserve"> to disclose the date when the financial statements </w:t>
      </w:r>
      <w:r w:rsidR="007A5FB2">
        <w:t>are</w:t>
      </w:r>
      <w:r w:rsidRPr="008573C5">
        <w:t xml:space="preserve"> authorized for issue and the body who g</w:t>
      </w:r>
      <w:r w:rsidR="007A5FB2">
        <w:t>i</w:t>
      </w:r>
      <w:r w:rsidRPr="008573C5">
        <w:t>ve</w:t>
      </w:r>
      <w:r w:rsidR="007A5FB2">
        <w:t>s</w:t>
      </w:r>
      <w:r w:rsidRPr="008573C5">
        <w:t xml:space="preserve"> the authorization. Diamond bank whose year end is 30 April 2006, falsely </w:t>
      </w:r>
      <w:r w:rsidR="003B4504" w:rsidRPr="008573C5">
        <w:t>or in</w:t>
      </w:r>
      <w:r w:rsidR="007A5FB2">
        <w:t xml:space="preserve">, </w:t>
      </w:r>
      <w:r w:rsidR="003B4504" w:rsidRPr="008573C5">
        <w:t xml:space="preserve">error </w:t>
      </w:r>
      <w:r w:rsidR="007A5FB2">
        <w:t>discloses</w:t>
      </w:r>
      <w:r w:rsidRPr="008573C5">
        <w:t xml:space="preserve"> that the financial statements </w:t>
      </w:r>
      <w:r w:rsidR="007A5FB2">
        <w:t>a</w:t>
      </w:r>
      <w:r w:rsidRPr="008573C5">
        <w:t>re authorized for issue on 7</w:t>
      </w:r>
      <w:r w:rsidRPr="008573C5">
        <w:rPr>
          <w:vertAlign w:val="superscript"/>
        </w:rPr>
        <w:t>th</w:t>
      </w:r>
      <w:r w:rsidR="007A5FB2">
        <w:t xml:space="preserve"> June 2005. This i</w:t>
      </w:r>
      <w:r w:rsidRPr="008573C5">
        <w:t>s erroneously authorized by the Board of Directors and endorsed by the auditors</w:t>
      </w:r>
      <w:r w:rsidR="00DD65B3" w:rsidRPr="008573C5">
        <w:t>,</w:t>
      </w:r>
      <w:r w:rsidRPr="008573C5">
        <w:t xml:space="preserve"> one of the Big-four in the auditing industry.</w:t>
      </w:r>
    </w:p>
    <w:p w:rsidR="00FF5EDF" w:rsidRPr="008573C5" w:rsidRDefault="00FF5EDF" w:rsidP="004A665C">
      <w:pPr>
        <w:autoSpaceDE w:val="0"/>
        <w:autoSpaceDN w:val="0"/>
        <w:adjustRightInd w:val="0"/>
        <w:spacing w:line="360" w:lineRule="auto"/>
        <w:jc w:val="both"/>
        <w:rPr>
          <w:lang w:eastAsia="en-GB"/>
        </w:rPr>
      </w:pPr>
      <w:r w:rsidRPr="008573C5">
        <w:rPr>
          <w:b/>
        </w:rPr>
        <w:t>IAS 12</w:t>
      </w:r>
      <w:r w:rsidRPr="008573C5">
        <w:rPr>
          <w:b/>
        </w:rPr>
        <w:tab/>
        <w:t xml:space="preserve">(Income Taxes): </w:t>
      </w:r>
      <w:r w:rsidRPr="008573C5">
        <w:t xml:space="preserve">The requirement of IAS 12 as drawn on the questionnaire </w:t>
      </w:r>
      <w:r w:rsidR="007A5FB2">
        <w:t>i</w:t>
      </w:r>
      <w:r w:rsidRPr="008573C5">
        <w:t>s not disclosed by most companies. Most of these companies d</w:t>
      </w:r>
      <w:r w:rsidR="007A5FB2">
        <w:t>o</w:t>
      </w:r>
      <w:r w:rsidRPr="008573C5">
        <w:t xml:space="preserve"> not </w:t>
      </w:r>
      <w:r w:rsidRPr="008573C5">
        <w:rPr>
          <w:lang w:eastAsia="en-GB"/>
        </w:rPr>
        <w:t>provide an explanation of the relationship between tax expense (income) and accounting profit in the form required. They also d</w:t>
      </w:r>
      <w:r w:rsidR="007A5FB2">
        <w:rPr>
          <w:lang w:eastAsia="en-GB"/>
        </w:rPr>
        <w:t>o</w:t>
      </w:r>
      <w:r w:rsidRPr="008573C5">
        <w:rPr>
          <w:lang w:eastAsia="en-GB"/>
        </w:rPr>
        <w:t xml:space="preserve"> not give</w:t>
      </w:r>
      <w:r w:rsidRPr="008573C5">
        <w:t xml:space="preserve"> details of deductible temporary differences, unused tax losses, and unused tax credits except for three companies.</w:t>
      </w:r>
    </w:p>
    <w:p w:rsidR="00FF5EDF" w:rsidRPr="008573C5" w:rsidRDefault="00FF5EDF" w:rsidP="004A665C">
      <w:pPr>
        <w:spacing w:after="120" w:line="360" w:lineRule="auto"/>
        <w:jc w:val="both"/>
      </w:pPr>
      <w:r w:rsidRPr="008573C5">
        <w:rPr>
          <w:b/>
        </w:rPr>
        <w:t>IAS 14</w:t>
      </w:r>
      <w:r w:rsidR="00234CA0" w:rsidRPr="008573C5">
        <w:rPr>
          <w:b/>
        </w:rPr>
        <w:t xml:space="preserve"> (</w:t>
      </w:r>
      <w:r w:rsidRPr="008573C5">
        <w:rPr>
          <w:b/>
        </w:rPr>
        <w:t xml:space="preserve">Segment Reporting): </w:t>
      </w:r>
      <w:r w:rsidRPr="008573C5">
        <w:t xml:space="preserve">IAS 14 </w:t>
      </w:r>
      <w:r w:rsidR="00234CA0" w:rsidRPr="008573C5">
        <w:t>does</w:t>
      </w:r>
      <w:r w:rsidRPr="008573C5">
        <w:t xml:space="preserve"> not have an equivalent standard in Niger</w:t>
      </w:r>
      <w:r w:rsidR="007A5FB2">
        <w:t>ia as at December, 2006 which i</w:t>
      </w:r>
      <w:r w:rsidRPr="008573C5">
        <w:t>s the p</w:t>
      </w:r>
      <w:r w:rsidR="007A5FB2">
        <w:t>eriod of study. This standard i</w:t>
      </w:r>
      <w:r w:rsidRPr="008573C5">
        <w:t>s ignored by</w:t>
      </w:r>
      <w:r w:rsidR="003B4504" w:rsidRPr="008573C5">
        <w:t xml:space="preserve"> most of the companies.</w:t>
      </w:r>
      <w:r w:rsidR="007A5FB2">
        <w:t xml:space="preserve"> Only ten companies disclose</w:t>
      </w:r>
      <w:r w:rsidRPr="008573C5">
        <w:t xml:space="preserve"> information regarding segme</w:t>
      </w:r>
      <w:r w:rsidR="00A266B7">
        <w:t>nt reporting. The requirement i</w:t>
      </w:r>
      <w:r w:rsidRPr="008573C5">
        <w:t>s partially disclosed by five of them while the other five fully compl</w:t>
      </w:r>
      <w:r w:rsidR="00A266B7">
        <w:t>y</w:t>
      </w:r>
      <w:r w:rsidRPr="008573C5">
        <w:t xml:space="preserve"> with it.</w:t>
      </w:r>
    </w:p>
    <w:p w:rsidR="00FF5EDF" w:rsidRPr="008573C5" w:rsidRDefault="00FF5EDF" w:rsidP="004A665C">
      <w:pPr>
        <w:spacing w:after="120" w:line="360" w:lineRule="auto"/>
        <w:jc w:val="both"/>
      </w:pPr>
      <w:r w:rsidRPr="008573C5">
        <w:rPr>
          <w:b/>
        </w:rPr>
        <w:t xml:space="preserve">IAS 16 (Property, Plant and Equipment): </w:t>
      </w:r>
      <w:r w:rsidRPr="008573C5">
        <w:t>IAS 16 is the equivalent of SAS 3 but IAS 16 has additional disclosures. It is observed that fifty four companies compl</w:t>
      </w:r>
      <w:r w:rsidR="00A266B7">
        <w:t>y</w:t>
      </w:r>
      <w:r w:rsidRPr="008573C5">
        <w:t xml:space="preserve"> with the additional requirements while others ignore it. Most companies</w:t>
      </w:r>
      <w:r w:rsidRPr="008573C5">
        <w:rPr>
          <w:bCs/>
          <w:lang w:eastAsia="en-GB"/>
        </w:rPr>
        <w:t xml:space="preserve"> disclose the amount of expenditure recogni</w:t>
      </w:r>
      <w:r w:rsidR="00A266B7">
        <w:rPr>
          <w:bCs/>
          <w:lang w:eastAsia="en-GB"/>
        </w:rPr>
        <w:t>se</w:t>
      </w:r>
      <w:r w:rsidRPr="008573C5">
        <w:rPr>
          <w:bCs/>
          <w:lang w:eastAsia="en-GB"/>
        </w:rPr>
        <w:t xml:space="preserve"> in the carrying amount of PPE in the course of its construction. Majority also recognized </w:t>
      </w:r>
      <w:r w:rsidRPr="008573C5">
        <w:rPr>
          <w:lang w:eastAsia="en-GB"/>
        </w:rPr>
        <w:t>the existence of PPE whose title is restricted and pledged as security for liabilities, but on a negative pledge</w:t>
      </w:r>
      <w:r w:rsidR="003B4504" w:rsidRPr="008573C5">
        <w:rPr>
          <w:lang w:eastAsia="en-GB"/>
        </w:rPr>
        <w:t>,</w:t>
      </w:r>
      <w:r w:rsidRPr="008573C5">
        <w:rPr>
          <w:lang w:eastAsia="en-GB"/>
        </w:rPr>
        <w:t xml:space="preserve"> thereby making their amounts unascertained.</w:t>
      </w:r>
    </w:p>
    <w:p w:rsidR="00FF5EDF" w:rsidRPr="008573C5" w:rsidRDefault="00FF5EDF" w:rsidP="004A665C">
      <w:pPr>
        <w:autoSpaceDE w:val="0"/>
        <w:autoSpaceDN w:val="0"/>
        <w:adjustRightInd w:val="0"/>
        <w:spacing w:line="360" w:lineRule="auto"/>
        <w:jc w:val="both"/>
      </w:pPr>
      <w:r w:rsidRPr="008573C5">
        <w:rPr>
          <w:b/>
        </w:rPr>
        <w:t>IAS 18 (Revenue)</w:t>
      </w:r>
      <w:r w:rsidRPr="008573C5">
        <w:t xml:space="preserve">:  IAS 18 at present </w:t>
      </w:r>
      <w:r w:rsidR="00DD65B3" w:rsidRPr="008573C5">
        <w:t>does</w:t>
      </w:r>
      <w:r w:rsidRPr="008573C5">
        <w:t xml:space="preserve"> not have an equivalent standard in Nigeria. Analysis reveals that seventy five out of the ninety sampled companies d</w:t>
      </w:r>
      <w:r w:rsidR="00A266B7">
        <w:rPr>
          <w:lang w:eastAsia="en-GB"/>
        </w:rPr>
        <w:t>isclose</w:t>
      </w:r>
      <w:r w:rsidRPr="008573C5">
        <w:rPr>
          <w:lang w:eastAsia="en-GB"/>
        </w:rPr>
        <w:t xml:space="preserve"> the amount of each significant category of revenue recognised during the period, including revenue arising from the sale of goods, the rendering of services, interest, royalties; and dividends.</w:t>
      </w:r>
    </w:p>
    <w:p w:rsidR="00FF5EDF" w:rsidRPr="008573C5" w:rsidRDefault="00FF5EDF" w:rsidP="004A665C">
      <w:pPr>
        <w:spacing w:after="120" w:line="360" w:lineRule="auto"/>
        <w:jc w:val="both"/>
      </w:pPr>
      <w:r w:rsidRPr="008573C5">
        <w:rPr>
          <w:b/>
        </w:rPr>
        <w:t>IAS 20 (Accounting for Government Grants and Disclosure of Government Assistance):</w:t>
      </w:r>
      <w:r w:rsidRPr="008573C5">
        <w:t xml:space="preserve"> The Nigerian accounting standard does not have a</w:t>
      </w:r>
      <w:r w:rsidR="00693DC2" w:rsidRPr="008573C5">
        <w:t>n</w:t>
      </w:r>
      <w:r w:rsidRPr="008573C5">
        <w:t xml:space="preserve"> equivalent version of IAS 20. According to the analysis</w:t>
      </w:r>
      <w:r w:rsidR="008C4022">
        <w:t>,</w:t>
      </w:r>
      <w:r w:rsidRPr="008573C5">
        <w:t xml:space="preserve"> no company account</w:t>
      </w:r>
      <w:r w:rsidR="008C4022">
        <w:t>s</w:t>
      </w:r>
      <w:r w:rsidRPr="008573C5">
        <w:t xml:space="preserve"> for or disclose</w:t>
      </w:r>
      <w:r w:rsidR="008C4022">
        <w:t>s</w:t>
      </w:r>
      <w:r w:rsidRPr="008573C5">
        <w:t xml:space="preserve"> any information relating to government grants and assistance. This suggests that the Nigerian Government does not give grant or assistance in form of technical and mar</w:t>
      </w:r>
      <w:r w:rsidR="003B4504" w:rsidRPr="008573C5">
        <w:t>keting advice to the</w:t>
      </w:r>
      <w:r w:rsidRPr="008573C5">
        <w:t xml:space="preserve"> listed companies in Nigeria.</w:t>
      </w:r>
    </w:p>
    <w:p w:rsidR="00FF5EDF" w:rsidRPr="008573C5" w:rsidRDefault="00FF5EDF" w:rsidP="004A665C">
      <w:pPr>
        <w:spacing w:line="360" w:lineRule="auto"/>
        <w:jc w:val="both"/>
      </w:pPr>
      <w:r w:rsidRPr="008573C5">
        <w:rPr>
          <w:b/>
        </w:rPr>
        <w:t xml:space="preserve">IAS 21 (The Effects of Changes in Foreign Exchange Rates): </w:t>
      </w:r>
      <w:r w:rsidRPr="008573C5">
        <w:t>The equivalent Nigerian standard is SAS 7. Only eight banks in the banking industry recorded information on additional required disclosure on IAS 21. They particularly disclosed net exchange differences classified in a separate component of equity, and also a reconciliation of the amount at the beginning and end of the period. Other requirement</w:t>
      </w:r>
      <w:r w:rsidR="00693DC2" w:rsidRPr="008573C5">
        <w:t>s</w:t>
      </w:r>
      <w:r w:rsidRPr="008573C5">
        <w:t>, such as the reason for using a different presentation currency to report for their foreign operations w</w:t>
      </w:r>
      <w:r w:rsidR="00693DC2" w:rsidRPr="008573C5">
        <w:t>ere</w:t>
      </w:r>
      <w:r w:rsidRPr="008573C5">
        <w:t xml:space="preserve"> totally ignored by all the companies.</w:t>
      </w:r>
    </w:p>
    <w:p w:rsidR="00FF5EDF" w:rsidRPr="008573C5" w:rsidRDefault="00FF5EDF" w:rsidP="000E49C7">
      <w:pPr>
        <w:spacing w:before="100" w:beforeAutospacing="1" w:after="100" w:afterAutospacing="1" w:line="360" w:lineRule="auto"/>
        <w:jc w:val="both"/>
      </w:pPr>
      <w:r w:rsidRPr="008573C5">
        <w:rPr>
          <w:b/>
        </w:rPr>
        <w:t xml:space="preserve">IAS 23 (Borrowing Costs): </w:t>
      </w:r>
      <w:r w:rsidRPr="008573C5">
        <w:t>IAS 23 does not have an equivalent Nigerian standard but notwithstanding, twelve companies disclosed information on it. Out of these twelve, only two companies, Presco Plc a</w:t>
      </w:r>
      <w:r w:rsidR="00C77BA6" w:rsidRPr="008573C5">
        <w:t>n a</w:t>
      </w:r>
      <w:r w:rsidRPr="008573C5">
        <w:t>gricultural company and Ecobank Transnational Incorporated, a foreign listed company met all the disclosure requirements. Disclosure</w:t>
      </w:r>
      <w:r w:rsidR="00693DC2" w:rsidRPr="008573C5">
        <w:t>s</w:t>
      </w:r>
      <w:r w:rsidRPr="008573C5">
        <w:t xml:space="preserve"> include accounting policy adopted for borrowing costs, the amount of borrowing cost capitalised during the period and the capitalisation rate used to determine the amount of borrowing costs eligible for the capitalization.</w:t>
      </w:r>
    </w:p>
    <w:p w:rsidR="00FF5EDF" w:rsidRPr="008573C5" w:rsidRDefault="00FF5EDF" w:rsidP="004A665C">
      <w:pPr>
        <w:spacing w:line="360" w:lineRule="auto"/>
        <w:jc w:val="both"/>
      </w:pPr>
      <w:r w:rsidRPr="008573C5">
        <w:rPr>
          <w:b/>
        </w:rPr>
        <w:t>IAS 24 (Related Party Disclosures):</w:t>
      </w:r>
      <w:r w:rsidRPr="008573C5">
        <w:t xml:space="preserve"> Related party disclosure, IAS 24 does not have a counterpart standard in Nigeria</w:t>
      </w:r>
      <w:r w:rsidR="001D58CD" w:rsidRPr="008573C5">
        <w:t>,</w:t>
      </w:r>
      <w:r w:rsidRPr="008573C5">
        <w:t xml:space="preserve"> but disclosures re</w:t>
      </w:r>
      <w:r w:rsidR="001D58CD" w:rsidRPr="008573C5">
        <w:t>garding</w:t>
      </w:r>
      <w:r w:rsidRPr="008573C5">
        <w:t xml:space="preserve"> to related parties are expected to be </w:t>
      </w:r>
      <w:r w:rsidR="001D58CD" w:rsidRPr="008573C5">
        <w:t>made</w:t>
      </w:r>
      <w:r w:rsidRPr="008573C5">
        <w:t xml:space="preserve"> in SAS 2. More than two-third (sixty seven) of the sampled companies reported on related party transactions. Other</w:t>
      </w:r>
      <w:r w:rsidR="001D58CD" w:rsidRPr="008573C5">
        <w:t>s</w:t>
      </w:r>
      <w:r w:rsidRPr="008573C5">
        <w:t xml:space="preserve"> particularly in</w:t>
      </w:r>
      <w:r w:rsidR="008C4022">
        <w:t xml:space="preserve"> the insurance industry ignore</w:t>
      </w:r>
      <w:r w:rsidRPr="008573C5">
        <w:t xml:space="preserve"> information pertaining to this. This is expected because their transactions are mostly indigenous.</w:t>
      </w:r>
    </w:p>
    <w:p w:rsidR="00FF5EDF" w:rsidRPr="008573C5" w:rsidRDefault="00FF5EDF" w:rsidP="004A665C">
      <w:pPr>
        <w:spacing w:after="120" w:line="360" w:lineRule="auto"/>
        <w:jc w:val="both"/>
        <w:rPr>
          <w:lang w:eastAsia="en-GB"/>
        </w:rPr>
      </w:pPr>
      <w:r w:rsidRPr="008573C5">
        <w:rPr>
          <w:b/>
        </w:rPr>
        <w:t xml:space="preserve">IAS 27 (Consolidated and Separate Financial Statements): </w:t>
      </w:r>
      <w:r w:rsidRPr="008573C5">
        <w:t>The Nigerian equivalent standard to IAS 27 came into being in 2008. Du</w:t>
      </w:r>
      <w:r w:rsidR="008C4022">
        <w:t>ring the period considered it i</w:t>
      </w:r>
      <w:r w:rsidRPr="008573C5">
        <w:t>s observed that almost half of</w:t>
      </w:r>
      <w:r w:rsidR="008C4022">
        <w:t xml:space="preserve"> the companies (forty) present</w:t>
      </w:r>
      <w:r w:rsidRPr="008573C5">
        <w:t xml:space="preserve"> consolidated accounts. M</w:t>
      </w:r>
      <w:r w:rsidR="001E4A94">
        <w:t>ost of these companies disclose</w:t>
      </w:r>
      <w:r w:rsidRPr="008573C5">
        <w:t xml:space="preserve"> </w:t>
      </w:r>
      <w:r w:rsidRPr="008573C5">
        <w:rPr>
          <w:lang w:eastAsia="en-GB"/>
        </w:rPr>
        <w:t>in the consolidated financial statements the names of sign</w:t>
      </w:r>
      <w:r w:rsidR="001E4A94">
        <w:rPr>
          <w:lang w:eastAsia="en-GB"/>
        </w:rPr>
        <w:t xml:space="preserve">ificant subsidiaries but fail </w:t>
      </w:r>
      <w:r w:rsidRPr="008573C5">
        <w:rPr>
          <w:lang w:eastAsia="en-GB"/>
        </w:rPr>
        <w:t xml:space="preserve">to </w:t>
      </w:r>
      <w:r w:rsidRPr="008573C5">
        <w:t xml:space="preserve">disclose </w:t>
      </w:r>
      <w:r w:rsidRPr="008573C5">
        <w:rPr>
          <w:lang w:eastAsia="en-GB"/>
        </w:rPr>
        <w:t>country of incorporation or residence of significant subsidiaries.</w:t>
      </w:r>
    </w:p>
    <w:p w:rsidR="00FF5EDF" w:rsidRPr="008573C5" w:rsidRDefault="00234CA0" w:rsidP="004A665C">
      <w:pPr>
        <w:spacing w:line="360" w:lineRule="auto"/>
        <w:jc w:val="both"/>
        <w:rPr>
          <w:lang w:eastAsia="en-GB"/>
        </w:rPr>
      </w:pPr>
      <w:r w:rsidRPr="008573C5">
        <w:rPr>
          <w:b/>
        </w:rPr>
        <w:t>IAS 28 (</w:t>
      </w:r>
      <w:r w:rsidR="00FF5EDF" w:rsidRPr="008573C5">
        <w:rPr>
          <w:b/>
        </w:rPr>
        <w:t xml:space="preserve">Investment In Associates): </w:t>
      </w:r>
      <w:r w:rsidR="001E4A94">
        <w:t>There i</w:t>
      </w:r>
      <w:r w:rsidR="00FF5EDF" w:rsidRPr="008573C5">
        <w:t>s no equivalent standard to IAS 28 in December 2006, the period of study</w:t>
      </w:r>
      <w:r w:rsidR="001E4A94">
        <w:t>. Only a few companies disclose</w:t>
      </w:r>
      <w:r w:rsidR="00FF5EDF" w:rsidRPr="008573C5">
        <w:t xml:space="preserve"> information related to investment in associates such as listings of significant associates, method used in accounting for them and </w:t>
      </w:r>
      <w:r w:rsidR="00FF5EDF" w:rsidRPr="008573C5">
        <w:rPr>
          <w:lang w:eastAsia="en-GB"/>
        </w:rPr>
        <w:t>fair value of investments in associates.</w:t>
      </w:r>
    </w:p>
    <w:p w:rsidR="00FF5EDF" w:rsidRPr="008573C5" w:rsidRDefault="00FF5EDF" w:rsidP="004A665C">
      <w:pPr>
        <w:spacing w:after="120" w:line="360" w:lineRule="auto"/>
        <w:jc w:val="both"/>
      </w:pPr>
      <w:r w:rsidRPr="008573C5">
        <w:rPr>
          <w:b/>
        </w:rPr>
        <w:t xml:space="preserve">IAS 31 (Interests in Joint Venture): </w:t>
      </w:r>
      <w:r w:rsidRPr="008573C5">
        <w:t>IAS 31 does not have an equivalent accounting standard in Nigeria</w:t>
      </w:r>
      <w:r w:rsidR="00DD65B3" w:rsidRPr="008573C5">
        <w:t xml:space="preserve"> as at December 2006</w:t>
      </w:r>
      <w:r w:rsidRPr="008573C5">
        <w:t>. Analysis reveals that only one company, May and Baker Nigerian Plc, in the health care industry disclose</w:t>
      </w:r>
      <w:r w:rsidR="00F01FEB">
        <w:t>s</w:t>
      </w:r>
      <w:r w:rsidRPr="008573C5">
        <w:t xml:space="preserve"> information pertaining to interests in joint venture.</w:t>
      </w:r>
    </w:p>
    <w:p w:rsidR="00FF5EDF" w:rsidRPr="008573C5" w:rsidRDefault="00FF5EDF" w:rsidP="004A665C">
      <w:pPr>
        <w:spacing w:line="360" w:lineRule="auto"/>
        <w:jc w:val="both"/>
        <w:rPr>
          <w:b/>
        </w:rPr>
      </w:pPr>
      <w:r w:rsidRPr="008573C5">
        <w:rPr>
          <w:b/>
        </w:rPr>
        <w:t xml:space="preserve">IAS 32 (Financial Instruments Presentation): </w:t>
      </w:r>
      <w:r w:rsidRPr="008573C5">
        <w:t>Financial instruments presentation standard, IAS 32 does not have an equivalent Nigerian standard. Even though the disclosure provisions ha</w:t>
      </w:r>
      <w:r w:rsidR="00693DC2" w:rsidRPr="008573C5">
        <w:t>ve</w:t>
      </w:r>
      <w:r w:rsidRPr="008573C5">
        <w:t xml:space="preserve"> been superseded by IFR</w:t>
      </w:r>
      <w:r w:rsidR="00F01FEB">
        <w:t>S 7 as at 2007, this standard i</w:t>
      </w:r>
      <w:r w:rsidRPr="008573C5">
        <w:t>s considered for the study based on the period of study. The analysis reveals that only the banking industry adhered to the disclosure provisions requirement with a disclosure range between 67% and 100%. Due to the nature of the banking b</w:t>
      </w:r>
      <w:r w:rsidR="00F01FEB">
        <w:t>usiness, all the banks disclose</w:t>
      </w:r>
      <w:r w:rsidRPr="008573C5">
        <w:t xml:space="preserve"> the accounting policies and methods adopted in classifying financial assets, financial liabilities, and equity instrument.</w:t>
      </w:r>
    </w:p>
    <w:p w:rsidR="00FF5EDF" w:rsidRPr="008573C5" w:rsidRDefault="00FF5EDF" w:rsidP="004A665C">
      <w:pPr>
        <w:spacing w:after="120" w:line="360" w:lineRule="auto"/>
        <w:jc w:val="both"/>
      </w:pPr>
      <w:r w:rsidRPr="008573C5">
        <w:rPr>
          <w:b/>
        </w:rPr>
        <w:t xml:space="preserve">IAS 36 (Impairment of Assets): </w:t>
      </w:r>
      <w:r w:rsidRPr="008573C5">
        <w:t>There exists no equivalent standard to IAS 36 in Nigeria. The disclosure</w:t>
      </w:r>
      <w:r w:rsidR="00F01FEB">
        <w:t xml:space="preserve"> requirement of this standard i</w:t>
      </w:r>
      <w:r w:rsidRPr="008573C5">
        <w:t>s partially disclosed by eighteen companies</w:t>
      </w:r>
      <w:r w:rsidR="00F01FEB">
        <w:t>,</w:t>
      </w:r>
      <w:r w:rsidRPr="008573C5">
        <w:t xml:space="preserve"> majority from the banking and petroleum industries. Many</w:t>
      </w:r>
      <w:r w:rsidR="00F01FEB">
        <w:t xml:space="preserve"> of the companies only disclose</w:t>
      </w:r>
      <w:r w:rsidRPr="008573C5">
        <w:t xml:space="preserve"> the policies adopted for impairmen</w:t>
      </w:r>
      <w:r w:rsidR="00F01FEB">
        <w:t>t losses but some of them fail</w:t>
      </w:r>
      <w:r w:rsidRPr="008573C5">
        <w:t xml:space="preserve"> to narrate the main events and circumstances resulting in the impairment loss</w:t>
      </w:r>
    </w:p>
    <w:p w:rsidR="00FF5EDF" w:rsidRPr="008573C5" w:rsidRDefault="00FF5EDF" w:rsidP="004A665C">
      <w:pPr>
        <w:spacing w:after="120" w:line="360" w:lineRule="auto"/>
        <w:jc w:val="both"/>
        <w:rPr>
          <w:b/>
        </w:rPr>
      </w:pPr>
      <w:r w:rsidRPr="008573C5">
        <w:rPr>
          <w:b/>
        </w:rPr>
        <w:t xml:space="preserve">IAS 37 (Provisions, Contingent Liabilities, and Contingent Assets): </w:t>
      </w:r>
      <w:r w:rsidRPr="008573C5">
        <w:t>The equivalent Nigerian standard of IAS 37 is SAS 23 which bec</w:t>
      </w:r>
      <w:r w:rsidR="000B6BB1">
        <w:t>ame</w:t>
      </w:r>
      <w:r w:rsidRPr="008573C5">
        <w:t xml:space="preserve"> effective o</w:t>
      </w:r>
      <w:r w:rsidR="000B6BB1">
        <w:t>n 31st December, 2006. IAS 37 i</w:t>
      </w:r>
      <w:r w:rsidRPr="008573C5">
        <w:t>s only considered for companies with year end before 31</w:t>
      </w:r>
      <w:r w:rsidRPr="008573C5">
        <w:rPr>
          <w:vertAlign w:val="superscript"/>
        </w:rPr>
        <w:t>st</w:t>
      </w:r>
      <w:r w:rsidRPr="008573C5">
        <w:t xml:space="preserve"> December. Out of all the comp</w:t>
      </w:r>
      <w:r w:rsidR="001C3856" w:rsidRPr="008573C5">
        <w:t>anies, twenty three companies (</w:t>
      </w:r>
      <w:r w:rsidR="000B6BB1">
        <w:t>majorly banks) disclose</w:t>
      </w:r>
      <w:r w:rsidRPr="008573C5">
        <w:t xml:space="preserve"> information relating to IAS 37 alth</w:t>
      </w:r>
      <w:r w:rsidR="000B6BB1">
        <w:t>ough its Nigerian counterpart i</w:t>
      </w:r>
      <w:r w:rsidRPr="008573C5">
        <w:t>s not in force at the end of their accounting period.</w:t>
      </w:r>
    </w:p>
    <w:p w:rsidR="00FF5EDF" w:rsidRPr="008573C5" w:rsidRDefault="000B6BB1" w:rsidP="004A665C">
      <w:pPr>
        <w:spacing w:after="120" w:line="360" w:lineRule="auto"/>
        <w:jc w:val="both"/>
      </w:pPr>
      <w:r>
        <w:rPr>
          <w:b/>
        </w:rPr>
        <w:t>IAS 38 (</w:t>
      </w:r>
      <w:r w:rsidR="00FF5EDF" w:rsidRPr="008573C5">
        <w:rPr>
          <w:b/>
        </w:rPr>
        <w:t>Intangible Assets):</w:t>
      </w:r>
      <w:r w:rsidR="00FF5EDF" w:rsidRPr="008573C5">
        <w:t xml:space="preserve"> IAS 38 does not have an equivalent Nigerian standard. Part of this standard is captured in SAS 2 under Other Long-term assets. The analysis shows that</w:t>
      </w:r>
      <w:r>
        <w:t xml:space="preserve"> only twelve companies disclose</w:t>
      </w:r>
      <w:r w:rsidR="00FF5EDF" w:rsidRPr="008573C5">
        <w:t xml:space="preserve"> information on intangible assets. This implies that most of the listed companies in Nigeria</w:t>
      </w:r>
      <w:r w:rsidR="00234CA0" w:rsidRPr="008573C5">
        <w:t xml:space="preserve"> do</w:t>
      </w:r>
      <w:r w:rsidR="00FF5EDF" w:rsidRPr="008573C5">
        <w:t xml:space="preserve"> not have intangible assets. </w:t>
      </w:r>
      <w:r>
        <w:t>Out of the twelve that disclose</w:t>
      </w:r>
      <w:r w:rsidR="00FF5EDF" w:rsidRPr="008573C5">
        <w:t xml:space="preserve"> information on IAS 38, six of them are </w:t>
      </w:r>
      <w:r>
        <w:t>from the banking sector. This i</w:t>
      </w:r>
      <w:r w:rsidR="00FF5EDF" w:rsidRPr="008573C5">
        <w:t xml:space="preserve">s expected because of the just concluded consolidation exercise in the banking industry.  </w:t>
      </w:r>
    </w:p>
    <w:p w:rsidR="00FF5EDF" w:rsidRPr="008573C5" w:rsidRDefault="00FF5EDF" w:rsidP="004A665C">
      <w:pPr>
        <w:spacing w:line="360" w:lineRule="auto"/>
        <w:jc w:val="both"/>
      </w:pPr>
      <w:r w:rsidRPr="008573C5">
        <w:rPr>
          <w:b/>
        </w:rPr>
        <w:t xml:space="preserve">IAS 40 (Investment Property): </w:t>
      </w:r>
      <w:r w:rsidRPr="008573C5">
        <w:t>IAS 40 does not have an equivalent standard in Nigeria. In this study only ten companies seem to disclose information on investment properties. These companies are in the conglomerate, banking and insu</w:t>
      </w:r>
      <w:r w:rsidR="000B6BB1">
        <w:t>rance industries. They disclose</w:t>
      </w:r>
      <w:r w:rsidRPr="008573C5">
        <w:t xml:space="preserve"> the accounting method on whether the</w:t>
      </w:r>
      <w:r w:rsidR="000B6BB1">
        <w:t xml:space="preserve"> fair value or the cost model i</w:t>
      </w:r>
      <w:r w:rsidRPr="008573C5">
        <w:t>s used.</w:t>
      </w:r>
    </w:p>
    <w:p w:rsidR="00FF5EDF" w:rsidRPr="008573C5" w:rsidRDefault="00FF5EDF" w:rsidP="004A665C">
      <w:pPr>
        <w:spacing w:line="360" w:lineRule="auto"/>
        <w:jc w:val="both"/>
      </w:pPr>
      <w:r w:rsidRPr="008573C5">
        <w:rPr>
          <w:b/>
        </w:rPr>
        <w:t>IFRS 2</w:t>
      </w:r>
      <w:r w:rsidR="003B4504" w:rsidRPr="008573C5">
        <w:rPr>
          <w:b/>
        </w:rPr>
        <w:t xml:space="preserve"> </w:t>
      </w:r>
      <w:r w:rsidRPr="008573C5">
        <w:rPr>
          <w:b/>
        </w:rPr>
        <w:t xml:space="preserve">(Share-based Payment): </w:t>
      </w:r>
      <w:r w:rsidRPr="008573C5">
        <w:t>Share based payment does not have an equivalent standard in Nigeria and seems not to be common in Nigerian companies. Analysis r</w:t>
      </w:r>
      <w:r w:rsidR="00F96F6D">
        <w:t>eveals that no company discloses</w:t>
      </w:r>
      <w:r w:rsidRPr="008573C5">
        <w:t xml:space="preserve"> any information on share based payment.</w:t>
      </w:r>
    </w:p>
    <w:p w:rsidR="00FF5EDF" w:rsidRPr="008573C5" w:rsidRDefault="00FF5EDF" w:rsidP="004A665C">
      <w:pPr>
        <w:spacing w:line="360" w:lineRule="auto"/>
        <w:jc w:val="both"/>
      </w:pPr>
      <w:r w:rsidRPr="008573C5">
        <w:rPr>
          <w:b/>
        </w:rPr>
        <w:t xml:space="preserve">IFRS 3 (Business Combinations): </w:t>
      </w:r>
      <w:r w:rsidRPr="008573C5">
        <w:t>IFRS 3 doesn’t have a Nigerian counterpart. Analysis shows that only the banks including t</w:t>
      </w:r>
      <w:r w:rsidR="00F96F6D">
        <w:t>he foreign listed bank disclose</w:t>
      </w:r>
      <w:r w:rsidRPr="008573C5">
        <w:t xml:space="preserve"> information on business combinations</w:t>
      </w:r>
      <w:r w:rsidR="00F96F6D">
        <w:t>. The Nigerian banking system i</w:t>
      </w:r>
      <w:r w:rsidRPr="008573C5">
        <w:t xml:space="preserve">s recently revitalized by beefing up the minimum capital base to N25million. This exercise has resulted </w:t>
      </w:r>
      <w:r w:rsidR="00F96F6D">
        <w:t>in</w:t>
      </w:r>
      <w:r w:rsidRPr="008573C5">
        <w:t xml:space="preserve"> a wave of mergers and acquisitions. The resultant consolidation process resulted to business combinations which the banks ha</w:t>
      </w:r>
      <w:r w:rsidR="00F96F6D">
        <w:t>ve</w:t>
      </w:r>
      <w:r w:rsidRPr="008573C5">
        <w:t xml:space="preserve"> t</w:t>
      </w:r>
      <w:r w:rsidR="00F96F6D">
        <w:t>o account for and since there i</w:t>
      </w:r>
      <w:r w:rsidRPr="008573C5">
        <w:t>s no Nigerian standard dealing with this issue, they all res</w:t>
      </w:r>
      <w:r w:rsidR="00F96F6D">
        <w:t>ort</w:t>
      </w:r>
      <w:r w:rsidRPr="008573C5">
        <w:t xml:space="preserve"> to the use of international standards.</w:t>
      </w:r>
    </w:p>
    <w:p w:rsidR="00FB6B48" w:rsidRPr="008573C5" w:rsidRDefault="00FB6B48" w:rsidP="00FB6B48">
      <w:pPr>
        <w:spacing w:line="480" w:lineRule="auto"/>
        <w:jc w:val="both"/>
        <w:rPr>
          <w:rFonts w:ascii="Times" w:hAnsi="Times" w:cs="Times"/>
          <w:b/>
        </w:rPr>
      </w:pPr>
    </w:p>
    <w:p w:rsidR="00FB6B48" w:rsidRPr="008573C5" w:rsidRDefault="00FB6B48" w:rsidP="00FB6B48">
      <w:pPr>
        <w:spacing w:line="480" w:lineRule="auto"/>
        <w:jc w:val="both"/>
        <w:rPr>
          <w:rFonts w:ascii="Times" w:hAnsi="Times" w:cs="Times"/>
          <w:b/>
        </w:rPr>
      </w:pPr>
      <w:r w:rsidRPr="008573C5">
        <w:rPr>
          <w:rFonts w:ascii="Times" w:hAnsi="Times" w:cs="Times"/>
          <w:b/>
        </w:rPr>
        <w:t>4.1.1.3</w:t>
      </w:r>
      <w:r w:rsidRPr="008573C5">
        <w:rPr>
          <w:rFonts w:ascii="Times" w:hAnsi="Times" w:cs="Times"/>
          <w:b/>
        </w:rPr>
        <w:tab/>
        <w:t xml:space="preserve">Descriptive Statistics of </w:t>
      </w:r>
      <w:r w:rsidR="00D36F43" w:rsidRPr="008573C5">
        <w:rPr>
          <w:rFonts w:ascii="Times" w:hAnsi="Times" w:cs="Times"/>
          <w:b/>
        </w:rPr>
        <w:t>Voluntary Disclosures</w:t>
      </w:r>
      <w:r w:rsidRPr="008573C5">
        <w:rPr>
          <w:rFonts w:ascii="Times" w:hAnsi="Times" w:cs="Times"/>
          <w:b/>
        </w:rPr>
        <w:t xml:space="preserve"> </w:t>
      </w:r>
    </w:p>
    <w:p w:rsidR="00FF5EDF" w:rsidRPr="008573C5" w:rsidRDefault="00FB6B48" w:rsidP="00FB6B48">
      <w:pPr>
        <w:spacing w:line="360" w:lineRule="auto"/>
        <w:jc w:val="both"/>
        <w:rPr>
          <w:rFonts w:ascii="Times" w:hAnsi="Times" w:cs="Times"/>
        </w:rPr>
      </w:pPr>
      <w:r w:rsidRPr="008573C5">
        <w:rPr>
          <w:rFonts w:ascii="Times" w:hAnsi="Times" w:cs="Times"/>
        </w:rPr>
        <w:t>Table 4.0</w:t>
      </w:r>
      <w:r w:rsidR="00FF5EDF" w:rsidRPr="008573C5">
        <w:rPr>
          <w:rFonts w:ascii="Times" w:hAnsi="Times" w:cs="Times"/>
        </w:rPr>
        <w:t>1</w:t>
      </w:r>
      <w:r w:rsidRPr="008573C5">
        <w:rPr>
          <w:rFonts w:ascii="Times" w:hAnsi="Times" w:cs="Times"/>
        </w:rPr>
        <w:t xml:space="preserve"> (page </w:t>
      </w:r>
      <w:r w:rsidR="000E49C7" w:rsidRPr="008573C5">
        <w:rPr>
          <w:rFonts w:ascii="Times" w:hAnsi="Times" w:cs="Times"/>
        </w:rPr>
        <w:t>97</w:t>
      </w:r>
      <w:r w:rsidRPr="008573C5">
        <w:rPr>
          <w:rFonts w:ascii="Times" w:hAnsi="Times" w:cs="Times"/>
        </w:rPr>
        <w:t>)</w:t>
      </w:r>
      <w:r w:rsidR="00FF5EDF" w:rsidRPr="008573C5">
        <w:rPr>
          <w:rFonts w:ascii="Times" w:hAnsi="Times" w:cs="Times"/>
        </w:rPr>
        <w:t xml:space="preserve"> indicates the index of other voluntary d</w:t>
      </w:r>
      <w:r w:rsidR="0008212E">
        <w:rPr>
          <w:rFonts w:ascii="Times" w:hAnsi="Times" w:cs="Times"/>
        </w:rPr>
        <w:t>isclosures. The minimum index i</w:t>
      </w:r>
      <w:r w:rsidR="00FF5EDF" w:rsidRPr="008573C5">
        <w:rPr>
          <w:rFonts w:ascii="Times" w:hAnsi="Times" w:cs="Times"/>
        </w:rPr>
        <w:t>s quite low at 0.050 while the maximum is .70 with a mean of 0.374. Analysis suggests that most company discloses voluntary items minimally. The item-by-item analysis</w:t>
      </w:r>
      <w:r w:rsidRPr="008573C5">
        <w:rPr>
          <w:rFonts w:ascii="Times" w:hAnsi="Times" w:cs="Times"/>
        </w:rPr>
        <w:t xml:space="preserve"> is as follows:</w:t>
      </w:r>
    </w:p>
    <w:p w:rsidR="00FB6B48" w:rsidRPr="008573C5" w:rsidRDefault="00FB6B48" w:rsidP="00FB6B48">
      <w:pPr>
        <w:spacing w:line="360" w:lineRule="auto"/>
        <w:jc w:val="both"/>
        <w:rPr>
          <w:rFonts w:ascii="Times" w:hAnsi="Times" w:cs="Times"/>
        </w:rPr>
      </w:pPr>
    </w:p>
    <w:p w:rsidR="00FF5EDF" w:rsidRPr="008573C5" w:rsidRDefault="00FF5EDF" w:rsidP="004A665C">
      <w:pPr>
        <w:spacing w:after="120" w:line="360" w:lineRule="auto"/>
        <w:jc w:val="both"/>
      </w:pPr>
      <w:r w:rsidRPr="008573C5">
        <w:rPr>
          <w:b/>
        </w:rPr>
        <w:t>Financial highlights:</w:t>
      </w:r>
      <w:r w:rsidRPr="008573C5">
        <w:t xml:space="preserve"> Nine of</w:t>
      </w:r>
      <w:r w:rsidR="0008212E">
        <w:t xml:space="preserve"> the ninety sampled companies do</w:t>
      </w:r>
      <w:r w:rsidRPr="008573C5">
        <w:t xml:space="preserve"> not disclose the financial highlights within the context of the annu</w:t>
      </w:r>
      <w:r w:rsidR="0008212E">
        <w:t>al report. Fifteen companies have</w:t>
      </w:r>
      <w:r w:rsidRPr="008573C5">
        <w:t xml:space="preserve"> a brief highl</w:t>
      </w:r>
      <w:r w:rsidR="0008212E">
        <w:t>ight, while the others present</w:t>
      </w:r>
      <w:r w:rsidRPr="008573C5">
        <w:t xml:space="preserve"> a comprehensive highlight, showing the major profit and loss items, major balance sheet items, per share data and number of employees.</w:t>
      </w:r>
    </w:p>
    <w:p w:rsidR="00FF5EDF" w:rsidRPr="008573C5" w:rsidRDefault="00FF5EDF" w:rsidP="004A665C">
      <w:pPr>
        <w:spacing w:after="120" w:line="360" w:lineRule="auto"/>
        <w:jc w:val="both"/>
      </w:pPr>
      <w:r w:rsidRPr="008573C5">
        <w:rPr>
          <w:b/>
        </w:rPr>
        <w:t xml:space="preserve">Forecast of performance for the next year: </w:t>
      </w:r>
      <w:r w:rsidRPr="008573C5">
        <w:t xml:space="preserve">This item is not recorded by any of the </w:t>
      </w:r>
      <w:r w:rsidR="0008212E">
        <w:t>companies. No company forecasts</w:t>
      </w:r>
      <w:r w:rsidRPr="008573C5">
        <w:t xml:space="preserve"> the performance for the following year in quantitative terms. Most of the companies refer to their future expectations qualitatively within the context of the Chairman’s statement.</w:t>
      </w:r>
    </w:p>
    <w:p w:rsidR="00FF5EDF" w:rsidRPr="008573C5" w:rsidRDefault="00FF5EDF" w:rsidP="004A665C">
      <w:pPr>
        <w:spacing w:after="120" w:line="360" w:lineRule="auto"/>
        <w:jc w:val="both"/>
      </w:pPr>
      <w:r w:rsidRPr="008573C5">
        <w:rPr>
          <w:b/>
        </w:rPr>
        <w:t>Share Price at accounting year end</w:t>
      </w:r>
      <w:r w:rsidRPr="008573C5">
        <w:t>: The share price of the</w:t>
      </w:r>
      <w:r w:rsidR="0018794C">
        <w:t xml:space="preserve"> listed companies at year end i</w:t>
      </w:r>
      <w:r w:rsidRPr="008573C5">
        <w:t>s only disclosed by forty companies, while others d</w:t>
      </w:r>
      <w:r w:rsidR="0018794C">
        <w:t>o</w:t>
      </w:r>
      <w:r w:rsidRPr="008573C5">
        <w:t xml:space="preserve"> not bother to disclose it. Disclosures of </w:t>
      </w:r>
      <w:r w:rsidR="0018794C">
        <w:t>share prices by most companies a</w:t>
      </w:r>
      <w:r w:rsidR="00693DC2" w:rsidRPr="008573C5">
        <w:t>re</w:t>
      </w:r>
      <w:r w:rsidRPr="008573C5">
        <w:t xml:space="preserve"> incorporated in the financial highlight as part of the per share data information.</w:t>
      </w:r>
    </w:p>
    <w:p w:rsidR="00FF5EDF" w:rsidRPr="008573C5" w:rsidRDefault="00FF5EDF" w:rsidP="004A665C">
      <w:pPr>
        <w:spacing w:after="120" w:line="360" w:lineRule="auto"/>
        <w:jc w:val="both"/>
      </w:pPr>
      <w:r w:rsidRPr="008573C5">
        <w:rPr>
          <w:b/>
        </w:rPr>
        <w:t xml:space="preserve">Corporate Social Responsibility Report: </w:t>
      </w:r>
      <w:r w:rsidRPr="008573C5">
        <w:t>Co</w:t>
      </w:r>
      <w:r w:rsidR="003D2307">
        <w:t>rporate social responsibility i</w:t>
      </w:r>
      <w:r w:rsidRPr="008573C5">
        <w:t>s embarked on by all the listed companies. Some reports are brief while others are quite comprehensive. Out of the ninety companies only ten companies disclose their social responsibilities in details. Others ma</w:t>
      </w:r>
      <w:r w:rsidR="003D2307">
        <w:t>k</w:t>
      </w:r>
      <w:r w:rsidRPr="008573C5">
        <w:t>e brief disclosures on donations, employee welfare and employment of disabled staff usually as an integral part of the Directors report. Companies that ma</w:t>
      </w:r>
      <w:r w:rsidR="003D2307">
        <w:t>ke comprehensive reports gi</w:t>
      </w:r>
      <w:r w:rsidRPr="008573C5">
        <w:t>ve additional information relating to education, health, welfare, culture and sports.</w:t>
      </w:r>
    </w:p>
    <w:p w:rsidR="00FF5EDF" w:rsidRPr="008573C5" w:rsidRDefault="00FF5EDF" w:rsidP="000E49C7">
      <w:pPr>
        <w:spacing w:before="100" w:beforeAutospacing="1" w:after="100" w:afterAutospacing="1" w:line="360" w:lineRule="auto"/>
        <w:jc w:val="both"/>
      </w:pPr>
      <w:r w:rsidRPr="008573C5">
        <w:rPr>
          <w:b/>
        </w:rPr>
        <w:t xml:space="preserve">Corporate Governance Report: </w:t>
      </w:r>
      <w:r w:rsidRPr="008573C5">
        <w:t xml:space="preserve">Corporate governance </w:t>
      </w:r>
      <w:r w:rsidR="00A11EAF" w:rsidRPr="008573C5">
        <w:t xml:space="preserve">related information </w:t>
      </w:r>
      <w:r w:rsidR="003D2307">
        <w:t>i</w:t>
      </w:r>
      <w:r w:rsidRPr="008573C5">
        <w:t>s disclosed by fifty five companies. Out of</w:t>
      </w:r>
      <w:r w:rsidR="003D2307">
        <w:t xml:space="preserve"> these, only twenty companies gi</w:t>
      </w:r>
      <w:r w:rsidRPr="008573C5">
        <w:t>ve detailed d</w:t>
      </w:r>
      <w:r w:rsidR="003D2307">
        <w:t>isclosure. Others only disclose</w:t>
      </w:r>
      <w:r w:rsidRPr="008573C5">
        <w:t xml:space="preserve"> it briefly as part of the Directors repo</w:t>
      </w:r>
      <w:r w:rsidR="003D2307">
        <w:t>rt. Among the companies that mak</w:t>
      </w:r>
      <w:r w:rsidRPr="008573C5">
        <w:t xml:space="preserve">e a comprehensive disclosure is First Bank of Nigeria Plc. </w:t>
      </w:r>
      <w:r w:rsidR="003D2307">
        <w:t>It voluntarily complies</w:t>
      </w:r>
      <w:r w:rsidRPr="008573C5">
        <w:t xml:space="preserve"> with the provisions of the “Code of Best Practices on Corporate Governance” by disclosing items such as Board structure, the roles of the Board, executive committee, Board audit, Board Remuneration and Board meetings.</w:t>
      </w:r>
    </w:p>
    <w:p w:rsidR="00FF5EDF" w:rsidRPr="008573C5" w:rsidRDefault="00FF5EDF" w:rsidP="00FB6B48">
      <w:pPr>
        <w:spacing w:line="360" w:lineRule="auto"/>
        <w:jc w:val="both"/>
        <w:rPr>
          <w:i/>
        </w:rPr>
      </w:pPr>
      <w:r w:rsidRPr="008573C5">
        <w:rPr>
          <w:b/>
        </w:rPr>
        <w:t>Performance Trend for the past Five Years using Graphs:</w:t>
      </w:r>
      <w:r w:rsidRPr="008573C5">
        <w:t xml:space="preserve"> The performance </w:t>
      </w:r>
      <w:r w:rsidR="003D2307">
        <w:t>trend for the past five years i</w:t>
      </w:r>
      <w:r w:rsidRPr="008573C5">
        <w:t>s charted on graphs by forty two companies. The charts contain graphs on some performance indicators such as profit before tax, shareholders’ fund, total assets, total liabilities and gross earnings.</w:t>
      </w:r>
    </w:p>
    <w:p w:rsidR="00FF5EDF" w:rsidRPr="008573C5" w:rsidRDefault="00FF5EDF" w:rsidP="00FB6B48">
      <w:pPr>
        <w:spacing w:before="100" w:beforeAutospacing="1" w:after="100" w:afterAutospacing="1" w:line="360" w:lineRule="auto"/>
        <w:jc w:val="both"/>
      </w:pPr>
      <w:r w:rsidRPr="008573C5">
        <w:rPr>
          <w:b/>
        </w:rPr>
        <w:t xml:space="preserve">Environmental Liabilities and Cost: </w:t>
      </w:r>
      <w:r w:rsidRPr="008573C5">
        <w:t>Envir</w:t>
      </w:r>
      <w:r w:rsidR="00521C15">
        <w:t>onmental liabilities and costs a</w:t>
      </w:r>
      <w:r w:rsidR="00693DC2" w:rsidRPr="008573C5">
        <w:t>re</w:t>
      </w:r>
      <w:r w:rsidRPr="008573C5">
        <w:t xml:space="preserve"> not disclosed by the companies except for Gu</w:t>
      </w:r>
      <w:r w:rsidR="00521C15">
        <w:t>aranty Trust Bank that discloses</w:t>
      </w:r>
      <w:r w:rsidRPr="008573C5">
        <w:t xml:space="preserve"> it briefly. </w:t>
      </w:r>
    </w:p>
    <w:p w:rsidR="00FF5EDF" w:rsidRPr="008573C5" w:rsidRDefault="00FF5EDF" w:rsidP="00FB6B48">
      <w:pPr>
        <w:spacing w:before="100" w:beforeAutospacing="1" w:after="100" w:afterAutospacing="1" w:line="360" w:lineRule="auto"/>
        <w:jc w:val="both"/>
      </w:pPr>
      <w:r w:rsidRPr="008573C5">
        <w:rPr>
          <w:b/>
        </w:rPr>
        <w:t xml:space="preserve">Donations </w:t>
      </w:r>
      <w:r w:rsidR="00521C15">
        <w:t>– Donations a</w:t>
      </w:r>
      <w:r w:rsidR="00693DC2" w:rsidRPr="008573C5">
        <w:t>re</w:t>
      </w:r>
      <w:r w:rsidRPr="008573C5">
        <w:t xml:space="preserve"> disclosed by sixty four companies. M</w:t>
      </w:r>
      <w:r w:rsidR="00521C15">
        <w:t>ost of these companies disclose</w:t>
      </w:r>
      <w:r w:rsidRPr="008573C5">
        <w:t xml:space="preserve"> t</w:t>
      </w:r>
      <w:r w:rsidR="00521C15">
        <w:t>he organizations the donation i</w:t>
      </w:r>
      <w:r w:rsidRPr="008573C5">
        <w:t>s given and</w:t>
      </w:r>
      <w:r w:rsidR="00521C15">
        <w:t xml:space="preserve"> the corresponding amount. It i</w:t>
      </w:r>
      <w:r w:rsidRPr="008573C5">
        <w:t>s observed that one out of the sixty four companies d</w:t>
      </w:r>
      <w:r w:rsidR="00521C15">
        <w:t>oes</w:t>
      </w:r>
      <w:r w:rsidRPr="008573C5">
        <w:t xml:space="preserve"> not give a detailed disclosure.</w:t>
      </w:r>
    </w:p>
    <w:p w:rsidR="00FF5EDF" w:rsidRPr="008573C5" w:rsidRDefault="00FF5EDF" w:rsidP="00FB6B48">
      <w:pPr>
        <w:spacing w:before="100" w:beforeAutospacing="1" w:after="100" w:afterAutospacing="1" w:line="360" w:lineRule="auto"/>
        <w:jc w:val="both"/>
      </w:pPr>
      <w:r w:rsidRPr="008573C5">
        <w:rPr>
          <w:b/>
        </w:rPr>
        <w:t>Risk Management issues associated with the Organization</w:t>
      </w:r>
      <w:r w:rsidRPr="008573C5">
        <w:t>: The risk management iss</w:t>
      </w:r>
      <w:r w:rsidR="00521C15">
        <w:t>ue associated with the company i</w:t>
      </w:r>
      <w:r w:rsidRPr="008573C5">
        <w:t>s not disclosed by majority of the companies. A few companies particularly in the banking sector disclose this in the Directors</w:t>
      </w:r>
      <w:r w:rsidR="00693DC2" w:rsidRPr="008573C5">
        <w:t>’</w:t>
      </w:r>
      <w:r w:rsidRPr="008573C5">
        <w:t xml:space="preserve"> report.</w:t>
      </w:r>
    </w:p>
    <w:p w:rsidR="00FF5EDF" w:rsidRPr="008573C5" w:rsidRDefault="00FF5EDF" w:rsidP="004A665C">
      <w:pPr>
        <w:spacing w:line="360" w:lineRule="auto"/>
        <w:jc w:val="both"/>
      </w:pPr>
      <w:r w:rsidRPr="008573C5">
        <w:rPr>
          <w:b/>
        </w:rPr>
        <w:t>Unclaimed dividend analysis:</w:t>
      </w:r>
      <w:r w:rsidR="00521C15">
        <w:t xml:space="preserve"> Unclaimed dividend i</w:t>
      </w:r>
      <w:r w:rsidRPr="008573C5">
        <w:t>s only analyzed by thirty two companies</w:t>
      </w:r>
      <w:r w:rsidR="00693DC2" w:rsidRPr="008573C5">
        <w:t>. Of</w:t>
      </w:r>
      <w:r w:rsidRPr="008573C5">
        <w:t xml:space="preserve"> these companies</w:t>
      </w:r>
      <w:r w:rsidR="00693DC2" w:rsidRPr="008573C5">
        <w:t>,</w:t>
      </w:r>
      <w:r w:rsidRPr="008573C5">
        <w:t xml:space="preserve"> eighteen d</w:t>
      </w:r>
      <w:r w:rsidR="00521C15">
        <w:t>o</w:t>
      </w:r>
      <w:r w:rsidRPr="008573C5">
        <w:t xml:space="preserve"> not analyse in details. Companies that ma</w:t>
      </w:r>
      <w:r w:rsidR="00521C15">
        <w:t>k</w:t>
      </w:r>
      <w:r w:rsidRPr="008573C5">
        <w:t>e disclosure g</w:t>
      </w:r>
      <w:r w:rsidR="00521C15">
        <w:t>i</w:t>
      </w:r>
      <w:r w:rsidRPr="008573C5">
        <w:t xml:space="preserve">ve information on dividend warrant number, year of issue, date declared and total amount. Some companies even </w:t>
      </w:r>
      <w:r w:rsidR="00521C15">
        <w:t>go</w:t>
      </w:r>
      <w:r w:rsidRPr="008573C5">
        <w:t xml:space="preserve"> to the extent of disclosing the names of the shareholders that </w:t>
      </w:r>
      <w:r w:rsidR="00521C15">
        <w:t>a</w:t>
      </w:r>
      <w:r w:rsidR="00A11EAF" w:rsidRPr="008573C5">
        <w:t xml:space="preserve">re </w:t>
      </w:r>
      <w:r w:rsidRPr="008573C5">
        <w:t>yet to collect their dividend.</w:t>
      </w:r>
    </w:p>
    <w:p w:rsidR="00FF5EDF" w:rsidRPr="008573C5" w:rsidRDefault="002E11C4" w:rsidP="00D45B16">
      <w:pPr>
        <w:spacing w:before="100" w:beforeAutospacing="1" w:after="100" w:afterAutospacing="1" w:line="360" w:lineRule="auto"/>
        <w:rPr>
          <w:b/>
          <w:sz w:val="28"/>
          <w:szCs w:val="28"/>
        </w:rPr>
      </w:pPr>
      <w:r w:rsidRPr="008573C5">
        <w:rPr>
          <w:b/>
          <w:sz w:val="28"/>
          <w:szCs w:val="28"/>
        </w:rPr>
        <w:t>4.1.2</w:t>
      </w:r>
      <w:r w:rsidRPr="008573C5">
        <w:rPr>
          <w:b/>
          <w:sz w:val="28"/>
          <w:szCs w:val="28"/>
        </w:rPr>
        <w:tab/>
      </w:r>
      <w:r w:rsidR="00FF5EDF" w:rsidRPr="008573C5">
        <w:rPr>
          <w:b/>
          <w:sz w:val="28"/>
          <w:szCs w:val="28"/>
        </w:rPr>
        <w:t>Descriptive Statistics of Independent Variables</w:t>
      </w:r>
    </w:p>
    <w:p w:rsidR="00521C15" w:rsidRDefault="00FF5EDF" w:rsidP="00D45B16">
      <w:pPr>
        <w:spacing w:line="360" w:lineRule="auto"/>
        <w:jc w:val="both"/>
        <w:rPr>
          <w:rFonts w:ascii="TimesNewRomanPSMT" w:hAnsi="TimesNewRomanPSMT" w:cs="TimesNewRomanPSMT"/>
        </w:rPr>
      </w:pPr>
      <w:r w:rsidRPr="008573C5">
        <w:rPr>
          <w:rFonts w:ascii="TimesNewRomanPSMT" w:hAnsi="TimesNewRomanPSMT" w:cs="TimesNewRomanPSMT"/>
        </w:rPr>
        <w:t xml:space="preserve">The independent variables are company size (proxied by total assets, turnover, shareholders fund, number of employees, and number of shareholders), profitability, leverage, </w:t>
      </w:r>
      <w:r w:rsidR="00156E9A" w:rsidRPr="008573C5">
        <w:rPr>
          <w:rFonts w:ascii="TimesNewRomanPSMT" w:hAnsi="TimesNewRomanPSMT" w:cs="TimesNewRomanPSMT"/>
        </w:rPr>
        <w:t>company age</w:t>
      </w:r>
      <w:r w:rsidRPr="008573C5">
        <w:rPr>
          <w:rFonts w:ascii="TimesNewRomanPSMT" w:hAnsi="TimesNewRomanPSMT" w:cs="TimesNewRomanPSMT"/>
        </w:rPr>
        <w:t xml:space="preserve">, industry, multinational parent and size of audit firm. While the size, profitability, leverage and </w:t>
      </w:r>
      <w:r w:rsidR="00BD73DA" w:rsidRPr="008573C5">
        <w:rPr>
          <w:rFonts w:ascii="TimesNewRomanPSMT" w:hAnsi="TimesNewRomanPSMT" w:cs="TimesNewRomanPSMT"/>
        </w:rPr>
        <w:t>company age</w:t>
      </w:r>
      <w:r w:rsidRPr="008573C5">
        <w:rPr>
          <w:rFonts w:ascii="TimesNewRomanPSMT" w:hAnsi="TimesNewRomanPSMT" w:cs="TimesNewRomanPSMT"/>
        </w:rPr>
        <w:t xml:space="preserve"> variables are continuous, the others are not.</w:t>
      </w:r>
    </w:p>
    <w:p w:rsidR="00FF5EDF" w:rsidRPr="008573C5" w:rsidRDefault="00FF5EDF" w:rsidP="00D45B16">
      <w:pPr>
        <w:spacing w:line="360" w:lineRule="auto"/>
        <w:jc w:val="both"/>
      </w:pPr>
      <w:r w:rsidRPr="008573C5">
        <w:t xml:space="preserve"> </w:t>
      </w:r>
    </w:p>
    <w:p w:rsidR="00FF5EDF" w:rsidRPr="008573C5" w:rsidRDefault="00FB1D8E" w:rsidP="00D45B16">
      <w:pPr>
        <w:spacing w:line="480" w:lineRule="auto"/>
        <w:jc w:val="center"/>
        <w:rPr>
          <w:b/>
          <w:sz w:val="28"/>
          <w:szCs w:val="28"/>
        </w:rPr>
      </w:pPr>
      <w:r w:rsidRPr="008573C5">
        <w:rPr>
          <w:b/>
          <w:sz w:val="28"/>
          <w:szCs w:val="28"/>
        </w:rPr>
        <w:t>Table 4.05</w:t>
      </w:r>
      <w:r w:rsidR="00FF5EDF" w:rsidRPr="008573C5">
        <w:rPr>
          <w:b/>
          <w:sz w:val="28"/>
          <w:szCs w:val="28"/>
        </w:rPr>
        <w:t>: Descriptive Statistics of Company Size by Sector</w:t>
      </w:r>
    </w:p>
    <w:p w:rsidR="00FF5EDF" w:rsidRPr="008573C5" w:rsidRDefault="006E22C9" w:rsidP="00D45B16">
      <w:pPr>
        <w:spacing w:line="480" w:lineRule="auto"/>
        <w:rPr>
          <w:b/>
        </w:rPr>
      </w:pPr>
      <w:r>
        <w:rPr>
          <w:b/>
        </w:rPr>
      </w:r>
      <w:r>
        <w:rPr>
          <w:b/>
        </w:rPr>
        <w:pict>
          <v:group id="_x0000_s46184" editas="canvas" style="width:475.45pt;height:235.25pt;mso-position-horizontal-relative:char;mso-position-vertical-relative:line" coordsize="9509,4705">
            <o:lock v:ext="edit" aspectratio="t"/>
            <v:shape id="_x0000_s46185" type="#_x0000_t75" style="position:absolute;width:9509;height:4705" o:preferrelative="f">
              <v:fill o:detectmouseclick="t"/>
              <v:path o:extrusionok="t" o:connecttype="none"/>
              <o:lock v:ext="edit" text="t"/>
            </v:shape>
            <v:rect id="_x0000_s46186" style="position:absolute;left:130;top:130;width:9250;height:403" stroked="f"/>
            <v:rect id="_x0000_s46187" style="position:absolute;left:4424;top:158;width:109;height:276;mso-wrap-style:none" filled="f" stroked="f">
              <v:textbox style="mso-next-textbox:#_x0000_s46187;mso-fit-shape-to-text:t" inset="0,0,0,0">
                <w:txbxContent>
                  <w:p w:rsidR="00CB6FAE" w:rsidRDefault="00CB6FAE" w:rsidP="00FF5EDF"/>
                </w:txbxContent>
              </v:textbox>
            </v:rect>
            <v:rect id="_x0000_s46188" style="position:absolute;left:3184;top:1253;width:1383;height:302" stroked="f"/>
            <v:rect id="_x0000_s46189" style="position:absolute;left:3414;top:1282;width:1052;height:207;mso-wrap-style:none" filled="f" stroked="f">
              <v:textbox style="mso-next-textbox:#_x0000_s46189;mso-fit-shape-to-text:t" inset="0,0,0,0">
                <w:txbxContent>
                  <w:p w:rsidR="00CB6FAE" w:rsidRDefault="00CB6FAE" w:rsidP="00FF5EDF">
                    <w:r>
                      <w:rPr>
                        <w:rFonts w:ascii="Arial" w:hAnsi="Arial" w:cs="Arial"/>
                        <w:color w:val="000000"/>
                        <w:sz w:val="18"/>
                        <w:szCs w:val="18"/>
                      </w:rPr>
                      <w:t>197766678.7</w:t>
                    </w:r>
                  </w:p>
                </w:txbxContent>
              </v:textbox>
            </v:rect>
            <v:rect id="_x0000_s46190" style="position:absolute;left:4539;top:1253;width:1340;height:302" stroked="f"/>
            <v:rect id="_x0000_s46191" style="position:absolute;left:4726;top:1282;width:1052;height:207;mso-wrap-style:none" filled="f" stroked="f">
              <v:textbox style="mso-next-textbox:#_x0000_s46191;mso-fit-shape-to-text:t" inset="0,0,0,0">
                <w:txbxContent>
                  <w:p w:rsidR="00CB6FAE" w:rsidRDefault="00CB6FAE" w:rsidP="00FF5EDF">
                    <w:r>
                      <w:rPr>
                        <w:rFonts w:ascii="Arial" w:hAnsi="Arial" w:cs="Arial"/>
                        <w:color w:val="000000"/>
                        <w:sz w:val="18"/>
                        <w:szCs w:val="18"/>
                      </w:rPr>
                      <w:t>20790938.66</w:t>
                    </w:r>
                  </w:p>
                </w:txbxContent>
              </v:textbox>
            </v:rect>
            <v:rect id="_x0000_s46192" style="position:absolute;left:5850;top:1253;width:1138;height:302" stroked="f"/>
            <v:rect id="_x0000_s46193" style="position:absolute;left:6051;top:1282;width:801;height:207;mso-wrap-style:none" filled="f" stroked="f">
              <v:textbox style="mso-next-textbox:#_x0000_s46193;mso-fit-shape-to-text:t" inset="0,0,0,0">
                <w:txbxContent>
                  <w:p w:rsidR="00CB6FAE" w:rsidRDefault="00CB6FAE" w:rsidP="00FF5EDF">
                    <w:r>
                      <w:rPr>
                        <w:rFonts w:ascii="Arial" w:hAnsi="Arial" w:cs="Arial"/>
                        <w:color w:val="000000"/>
                        <w:sz w:val="18"/>
                        <w:szCs w:val="18"/>
                      </w:rPr>
                      <w:t>26786659</w:t>
                    </w:r>
                  </w:p>
                </w:txbxContent>
              </v:textbox>
            </v:rect>
            <v:rect id="_x0000_s46194" style="position:absolute;left:6959;top:1253;width:1225;height:302" stroked="f"/>
            <v:rect id="_x0000_s46195" style="position:absolute;left:7291;top:1282;width:751;height:207;mso-wrap-style:none" filled="f" stroked="f">
              <v:textbox style="mso-next-textbox:#_x0000_s46195;mso-fit-shape-to-text:t" inset="0,0,0,0">
                <w:txbxContent>
                  <w:p w:rsidR="00CB6FAE" w:rsidRDefault="00CB6FAE" w:rsidP="00FF5EDF">
                    <w:r>
                      <w:rPr>
                        <w:rFonts w:ascii="Arial" w:hAnsi="Arial" w:cs="Arial"/>
                        <w:color w:val="000000"/>
                        <w:sz w:val="18"/>
                        <w:szCs w:val="18"/>
                      </w:rPr>
                      <w:t>92362.68</w:t>
                    </w:r>
                  </w:p>
                </w:txbxContent>
              </v:textbox>
            </v:rect>
            <v:rect id="_x0000_s46196" style="position:absolute;left:8155;top:1253;width:1225;height:302" stroked="f"/>
            <v:rect id="_x0000_s46197" style="position:absolute;left:8573;top:1282;width:651;height:207;mso-wrap-style:none" filled="f" stroked="f">
              <v:textbox style="mso-next-textbox:#_x0000_s46197;mso-fit-shape-to-text:t" inset="0,0,0,0">
                <w:txbxContent>
                  <w:p w:rsidR="00CB6FAE" w:rsidRDefault="00CB6FAE" w:rsidP="00FF5EDF">
                    <w:r>
                      <w:rPr>
                        <w:rFonts w:ascii="Arial" w:hAnsi="Arial" w:cs="Arial"/>
                        <w:color w:val="000000"/>
                        <w:sz w:val="18"/>
                        <w:szCs w:val="18"/>
                      </w:rPr>
                      <w:t>1943.78</w:t>
                    </w:r>
                  </w:p>
                </w:txbxContent>
              </v:textbox>
            </v:rect>
            <v:rect id="_x0000_s46198" style="position:absolute;left:3184;top:1526;width:1383;height:303" stroked="f"/>
            <v:rect id="_x0000_s46199" style="position:absolute;left:3717;top:1555;width:701;height:207;mso-wrap-style:none" filled="f" stroked="f">
              <v:textbox style="mso-next-textbox:#_x0000_s46199;mso-fit-shape-to-text:t" inset="0,0,0,0">
                <w:txbxContent>
                  <w:p w:rsidR="00CB6FAE" w:rsidRDefault="00CB6FAE" w:rsidP="00FF5EDF">
                    <w:r>
                      <w:rPr>
                        <w:rFonts w:ascii="Arial" w:hAnsi="Arial" w:cs="Arial"/>
                        <w:color w:val="000000"/>
                        <w:sz w:val="18"/>
                        <w:szCs w:val="18"/>
                      </w:rPr>
                      <w:t>1022815</w:t>
                    </w:r>
                  </w:p>
                </w:txbxContent>
              </v:textbox>
            </v:rect>
            <v:rect id="_x0000_s46200" style="position:absolute;left:4539;top:1526;width:1340;height:303" stroked="f"/>
            <v:rect id="_x0000_s46201" style="position:absolute;left:5115;top:1555;width:601;height:207;mso-wrap-style:none" filled="f" stroked="f">
              <v:textbox style="mso-next-textbox:#_x0000_s46201;mso-fit-shape-to-text:t" inset="0,0,0,0">
                <w:txbxContent>
                  <w:p w:rsidR="00CB6FAE" w:rsidRDefault="00CB6FAE" w:rsidP="00FF5EDF">
                    <w:r>
                      <w:rPr>
                        <w:rFonts w:ascii="Arial" w:hAnsi="Arial" w:cs="Arial"/>
                        <w:color w:val="000000"/>
                        <w:sz w:val="18"/>
                        <w:szCs w:val="18"/>
                      </w:rPr>
                      <w:t>835700</w:t>
                    </w:r>
                  </w:p>
                </w:txbxContent>
              </v:textbox>
            </v:rect>
            <v:rect id="_x0000_s46202" style="position:absolute;left:5850;top:1526;width:1138;height:303" stroked="f"/>
            <v:rect id="_x0000_s46203" style="position:absolute;left:6224;top:1555;width:601;height:207;mso-wrap-style:none" filled="f" stroked="f">
              <v:textbox style="mso-next-textbox:#_x0000_s46203;mso-fit-shape-to-text:t" inset="0,0,0,0">
                <w:txbxContent>
                  <w:p w:rsidR="00CB6FAE" w:rsidRDefault="00CB6FAE" w:rsidP="00FF5EDF">
                    <w:r>
                      <w:rPr>
                        <w:rFonts w:ascii="Arial" w:hAnsi="Arial" w:cs="Arial"/>
                        <w:color w:val="000000"/>
                        <w:sz w:val="18"/>
                        <w:szCs w:val="18"/>
                      </w:rPr>
                      <w:t>369484</w:t>
                    </w:r>
                  </w:p>
                </w:txbxContent>
              </v:textbox>
            </v:rect>
            <v:rect id="_x0000_s46204" style="position:absolute;left:6959;top:1526;width:1225;height:303" stroked="f"/>
            <v:rect id="_x0000_s46205" style="position:absolute;left:7680;top:1555;width:301;height:207;mso-wrap-style:none" filled="f" stroked="f">
              <v:textbox style="mso-next-textbox:#_x0000_s46205;mso-fit-shape-to-text:t" inset="0,0,0,0">
                <w:txbxContent>
                  <w:p w:rsidR="00CB6FAE" w:rsidRDefault="00CB6FAE" w:rsidP="00FF5EDF">
                    <w:r>
                      <w:rPr>
                        <w:rFonts w:ascii="Arial" w:hAnsi="Arial" w:cs="Arial"/>
                        <w:color w:val="000000"/>
                        <w:sz w:val="18"/>
                        <w:szCs w:val="18"/>
                      </w:rPr>
                      <w:t>739</w:t>
                    </w:r>
                  </w:p>
                </w:txbxContent>
              </v:textbox>
            </v:rect>
            <v:rect id="_x0000_s46206" style="position:absolute;left:8155;top:1526;width:1225;height:303" stroked="f"/>
            <v:rect id="_x0000_s46207" style="position:absolute;left:8962;top:1555;width:201;height:207;mso-wrap-style:none" filled="f" stroked="f">
              <v:textbox style="mso-next-textbox:#_x0000_s46207;mso-fit-shape-to-text:t" inset="0,0,0,0">
                <w:txbxContent>
                  <w:p w:rsidR="00CB6FAE" w:rsidRDefault="00CB6FAE" w:rsidP="00FF5EDF">
                    <w:r>
                      <w:rPr>
                        <w:rFonts w:ascii="Arial" w:hAnsi="Arial" w:cs="Arial"/>
                        <w:color w:val="000000"/>
                        <w:sz w:val="18"/>
                        <w:szCs w:val="18"/>
                      </w:rPr>
                      <w:t>68</w:t>
                    </w:r>
                  </w:p>
                </w:txbxContent>
              </v:textbox>
            </v:rect>
            <v:rect id="_x0000_s46208" style="position:absolute;left:3184;top:1800;width:1383;height:302" stroked="f"/>
            <v:rect id="_x0000_s46209" style="position:absolute;left:3544;top:1829;width:901;height:207;mso-wrap-style:none" filled="f" stroked="f">
              <v:textbox style="mso-next-textbox:#_x0000_s46209;mso-fit-shape-to-text:t" inset="0,0,0,0">
                <w:txbxContent>
                  <w:p w:rsidR="00CB6FAE" w:rsidRDefault="00CB6FAE" w:rsidP="00FF5EDF">
                    <w:r>
                      <w:rPr>
                        <w:rFonts w:ascii="Arial" w:hAnsi="Arial" w:cs="Arial"/>
                        <w:color w:val="000000"/>
                        <w:sz w:val="18"/>
                        <w:szCs w:val="18"/>
                      </w:rPr>
                      <w:t>884137000</w:t>
                    </w:r>
                  </w:p>
                </w:txbxContent>
              </v:textbox>
            </v:rect>
            <v:rect id="_x0000_s46210" style="position:absolute;left:4539;top:1800;width:1340;height:302" stroked="f"/>
            <v:rect id="_x0000_s46211" style="position:absolute;left:4942;top:1829;width:801;height:207;mso-wrap-style:none" filled="f" stroked="f">
              <v:textbox style="mso-next-textbox:#_x0000_s46211;mso-fit-shape-to-text:t" inset="0,0,0,0">
                <w:txbxContent>
                  <w:p w:rsidR="00CB6FAE" w:rsidRDefault="00CB6FAE" w:rsidP="00FF5EDF">
                    <w:r>
                      <w:rPr>
                        <w:rFonts w:ascii="Arial" w:hAnsi="Arial" w:cs="Arial"/>
                        <w:color w:val="000000"/>
                        <w:sz w:val="18"/>
                        <w:szCs w:val="18"/>
                      </w:rPr>
                      <w:t>90447000</w:t>
                    </w:r>
                  </w:p>
                </w:txbxContent>
              </v:textbox>
            </v:rect>
            <v:rect id="_x0000_s46212" style="position:absolute;left:5850;top:1800;width:1138;height:302" stroked="f"/>
            <v:rect id="_x0000_s46213" style="position:absolute;left:6095;top:1829;width:776;height:207;mso-wrap-style:none" filled="f" stroked="f">
              <v:textbox style="mso-next-textbox:#_x0000_s46213;mso-fit-shape-to-text:t" inset="0,0,0,0">
                <w:txbxContent>
                  <w:p w:rsidR="00CB6FAE" w:rsidRDefault="00CB6FAE" w:rsidP="00FF5EDF">
                    <w:r>
                      <w:rPr>
                        <w:rFonts w:ascii="Arial" w:hAnsi="Arial" w:cs="Arial"/>
                        <w:color w:val="000000"/>
                        <w:sz w:val="18"/>
                        <w:szCs w:val="18"/>
                      </w:rPr>
                      <w:t>1.01E+08</w:t>
                    </w:r>
                  </w:p>
                </w:txbxContent>
              </v:textbox>
            </v:rect>
            <v:rect id="_x0000_s46214" style="position:absolute;left:6959;top:1800;width:1225;height:302" stroked="f"/>
            <v:rect id="_x0000_s46215" style="position:absolute;left:7420;top:1829;width:601;height:207;mso-wrap-style:none" filled="f" stroked="f">
              <v:textbox style="mso-next-textbox:#_x0000_s46215;mso-fit-shape-to-text:t" inset="0,0,0,0">
                <w:txbxContent>
                  <w:p w:rsidR="00CB6FAE" w:rsidRDefault="00CB6FAE" w:rsidP="00FF5EDF">
                    <w:r>
                      <w:rPr>
                        <w:rFonts w:ascii="Arial" w:hAnsi="Arial" w:cs="Arial"/>
                        <w:color w:val="000000"/>
                        <w:sz w:val="18"/>
                        <w:szCs w:val="18"/>
                      </w:rPr>
                      <w:t>321809</w:t>
                    </w:r>
                  </w:p>
                </w:txbxContent>
              </v:textbox>
            </v:rect>
            <v:rect id="_x0000_s46216" style="position:absolute;left:8155;top:1800;width:1225;height:302" stroked="f"/>
            <v:rect id="_x0000_s46217" style="position:absolute;left:8789;top:1829;width:401;height:207;mso-wrap-style:none" filled="f" stroked="f">
              <v:textbox style="mso-next-textbox:#_x0000_s46217;mso-fit-shape-to-text:t" inset="0,0,0,0">
                <w:txbxContent>
                  <w:p w:rsidR="00CB6FAE" w:rsidRDefault="00CB6FAE" w:rsidP="00FF5EDF">
                    <w:r>
                      <w:rPr>
                        <w:rFonts w:ascii="Arial" w:hAnsi="Arial" w:cs="Arial"/>
                        <w:color w:val="000000"/>
                        <w:sz w:val="18"/>
                        <w:szCs w:val="18"/>
                      </w:rPr>
                      <w:t>7844</w:t>
                    </w:r>
                  </w:p>
                </w:txbxContent>
              </v:textbox>
            </v:rect>
            <v:rect id="_x0000_s46218" style="position:absolute;left:3184;top:2074;width:1383;height:302" stroked="f"/>
            <v:rect id="_x0000_s46219" style="position:absolute;left:3414;top:2102;width:1052;height:207;mso-wrap-style:none" filled="f" stroked="f">
              <v:textbox style="mso-next-textbox:#_x0000_s46219;mso-fit-shape-to-text:t" inset="0,0,0,0">
                <w:txbxContent>
                  <w:p w:rsidR="00CB6FAE" w:rsidRDefault="00CB6FAE" w:rsidP="00FF5EDF">
                    <w:r>
                      <w:rPr>
                        <w:rFonts w:ascii="Arial" w:hAnsi="Arial" w:cs="Arial"/>
                        <w:color w:val="000000"/>
                        <w:sz w:val="18"/>
                        <w:szCs w:val="18"/>
                      </w:rPr>
                      <w:t>240897005.3</w:t>
                    </w:r>
                  </w:p>
                </w:txbxContent>
              </v:textbox>
            </v:rect>
            <v:rect id="_x0000_s46220" style="position:absolute;left:4539;top:2074;width:1340;height:302" stroked="f"/>
            <v:rect id="_x0000_s46221" style="position:absolute;left:4726;top:2102;width:1052;height:207;mso-wrap-style:none" filled="f" stroked="f">
              <v:textbox style="mso-next-textbox:#_x0000_s46221;mso-fit-shape-to-text:t" inset="0,0,0,0">
                <w:txbxContent>
                  <w:p w:rsidR="00CB6FAE" w:rsidRDefault="00CB6FAE" w:rsidP="00FF5EDF">
                    <w:r>
                      <w:rPr>
                        <w:rFonts w:ascii="Arial" w:hAnsi="Arial" w:cs="Arial"/>
                        <w:color w:val="000000"/>
                        <w:sz w:val="18"/>
                        <w:szCs w:val="18"/>
                      </w:rPr>
                      <w:t>24222233.61</w:t>
                    </w:r>
                  </w:p>
                </w:txbxContent>
              </v:textbox>
            </v:rect>
            <v:rect id="_x0000_s46222" style="position:absolute;left:5850;top:2074;width:1138;height:302" stroked="f"/>
            <v:rect id="_x0000_s46223" style="position:absolute;left:6051;top:2102;width:801;height:207;mso-wrap-style:none" filled="f" stroked="f">
              <v:textbox style="mso-next-textbox:#_x0000_s46223;mso-fit-shape-to-text:t" inset="0,0,0,0">
                <w:txbxContent>
                  <w:p w:rsidR="00CB6FAE" w:rsidRDefault="00CB6FAE" w:rsidP="00FF5EDF">
                    <w:r>
                      <w:rPr>
                        <w:rFonts w:ascii="Arial" w:hAnsi="Arial" w:cs="Arial"/>
                        <w:color w:val="000000"/>
                        <w:sz w:val="18"/>
                        <w:szCs w:val="18"/>
                      </w:rPr>
                      <w:t>26806873</w:t>
                    </w:r>
                  </w:p>
                </w:txbxContent>
              </v:textbox>
            </v:rect>
            <v:rect id="_x0000_s46224" style="position:absolute;left:6959;top:2074;width:1225;height:302" stroked="f"/>
            <v:rect id="_x0000_s46225" style="position:absolute;left:7291;top:2102;width:751;height:207;mso-wrap-style:none" filled="f" stroked="f">
              <v:textbox style="mso-next-textbox:#_x0000_s46225;mso-fit-shape-to-text:t" inset="0,0,0,0">
                <w:txbxContent>
                  <w:p w:rsidR="00CB6FAE" w:rsidRDefault="00CB6FAE" w:rsidP="00FF5EDF">
                    <w:r>
                      <w:rPr>
                        <w:rFonts w:ascii="Arial" w:hAnsi="Arial" w:cs="Arial"/>
                        <w:color w:val="000000"/>
                        <w:sz w:val="18"/>
                        <w:szCs w:val="18"/>
                      </w:rPr>
                      <w:t>97952.88</w:t>
                    </w:r>
                  </w:p>
                </w:txbxContent>
              </v:textbox>
            </v:rect>
            <v:rect id="_x0000_s46226" style="position:absolute;left:8155;top:2074;width:1225;height:302" stroked="f"/>
            <v:rect id="_x0000_s46227" style="position:absolute;left:8573;top:2102;width:651;height:207;mso-wrap-style:none" filled="f" stroked="f">
              <v:textbox style="mso-next-textbox:#_x0000_s46227;mso-fit-shape-to-text:t" inset="0,0,0,0">
                <w:txbxContent>
                  <w:p w:rsidR="00CB6FAE" w:rsidRDefault="00CB6FAE" w:rsidP="00FF5EDF">
                    <w:r>
                      <w:rPr>
                        <w:rFonts w:ascii="Arial" w:hAnsi="Arial" w:cs="Arial"/>
                        <w:color w:val="000000"/>
                        <w:sz w:val="18"/>
                        <w:szCs w:val="18"/>
                      </w:rPr>
                      <w:t>2227.91</w:t>
                    </w:r>
                  </w:p>
                </w:txbxContent>
              </v:textbox>
            </v:rect>
            <v:rect id="_x0000_s46228" style="position:absolute;left:3184;top:2347;width:1383;height:303" stroked="f"/>
            <v:rect id="_x0000_s46229" style="position:absolute;left:3414;top:2376;width:1052;height:207;mso-wrap-style:none" filled="f" stroked="f">
              <v:textbox style="mso-next-textbox:#_x0000_s46229;mso-fit-shape-to-text:t" inset="0,0,0,0">
                <w:txbxContent>
                  <w:p w:rsidR="00CB6FAE" w:rsidRDefault="00CB6FAE" w:rsidP="00FF5EDF">
                    <w:r>
                      <w:rPr>
                        <w:rFonts w:ascii="Arial" w:hAnsi="Arial" w:cs="Arial"/>
                        <w:color w:val="000000"/>
                        <w:sz w:val="18"/>
                        <w:szCs w:val="18"/>
                      </w:rPr>
                      <w:t>14679604.93</w:t>
                    </w:r>
                  </w:p>
                </w:txbxContent>
              </v:textbox>
            </v:rect>
            <v:rect id="_x0000_s46230" style="position:absolute;left:4539;top:2347;width:1340;height:303" stroked="f"/>
            <v:rect id="_x0000_s46231" style="position:absolute;left:4726;top:2376;width:1052;height:207;mso-wrap-style:none" filled="f" stroked="f">
              <v:textbox style="mso-next-textbox:#_x0000_s46231;mso-fit-shape-to-text:t" inset="0,0,0,0">
                <w:txbxContent>
                  <w:p w:rsidR="00CB6FAE" w:rsidRDefault="00CB6FAE" w:rsidP="00FF5EDF">
                    <w:r>
                      <w:rPr>
                        <w:rFonts w:ascii="Arial" w:hAnsi="Arial" w:cs="Arial"/>
                        <w:color w:val="000000"/>
                        <w:sz w:val="18"/>
                        <w:szCs w:val="18"/>
                      </w:rPr>
                      <w:t>20402272.56</w:t>
                    </w:r>
                  </w:p>
                </w:txbxContent>
              </v:textbox>
            </v:rect>
            <v:rect id="_x0000_s46232" style="position:absolute;left:5850;top:2347;width:1138;height:303" stroked="f"/>
            <v:rect id="_x0000_s46233" style="position:absolute;left:6138;top:2376;width:701;height:207;mso-wrap-style:none" filled="f" stroked="f">
              <v:textbox style="mso-next-textbox:#_x0000_s46233;mso-fit-shape-to-text:t" inset="0,0,0,0">
                <w:txbxContent>
                  <w:p w:rsidR="00CB6FAE" w:rsidRDefault="00CB6FAE" w:rsidP="00FF5EDF">
                    <w:r>
                      <w:rPr>
                        <w:rFonts w:ascii="Arial" w:hAnsi="Arial" w:cs="Arial"/>
                        <w:color w:val="000000"/>
                        <w:sz w:val="18"/>
                        <w:szCs w:val="18"/>
                      </w:rPr>
                      <w:t>6210637</w:t>
                    </w:r>
                  </w:p>
                </w:txbxContent>
              </v:textbox>
            </v:rect>
            <v:rect id="_x0000_s46234" style="position:absolute;left:6959;top:2347;width:1225;height:303" stroked="f"/>
            <v:rect id="_x0000_s46235" style="position:absolute;left:7291;top:2376;width:751;height:207;mso-wrap-style:none" filled="f" stroked="f">
              <v:textbox style="mso-next-textbox:#_x0000_s46235;mso-fit-shape-to-text:t" inset="0,0,0,0">
                <w:txbxContent>
                  <w:p w:rsidR="00CB6FAE" w:rsidRDefault="00CB6FAE" w:rsidP="00FF5EDF">
                    <w:r>
                      <w:rPr>
                        <w:rFonts w:ascii="Arial" w:hAnsi="Arial" w:cs="Arial"/>
                        <w:color w:val="000000"/>
                        <w:sz w:val="18"/>
                        <w:szCs w:val="18"/>
                      </w:rPr>
                      <w:t>45413.25</w:t>
                    </w:r>
                  </w:p>
                </w:txbxContent>
              </v:textbox>
            </v:rect>
            <v:rect id="_x0000_s46236" style="position:absolute;left:8155;top:2347;width:1225;height:303" stroked="f"/>
            <v:rect id="_x0000_s46237" style="position:absolute;left:8573;top:2376;width:651;height:207;mso-wrap-style:none" filled="f" stroked="f">
              <v:textbox style="mso-next-textbox:#_x0000_s46237;mso-fit-shape-to-text:t" inset="0,0,0,0">
                <w:txbxContent>
                  <w:p w:rsidR="00CB6FAE" w:rsidRDefault="00CB6FAE" w:rsidP="00FF5EDF">
                    <w:r>
                      <w:rPr>
                        <w:rFonts w:ascii="Arial" w:hAnsi="Arial" w:cs="Arial"/>
                        <w:color w:val="000000"/>
                        <w:sz w:val="18"/>
                        <w:szCs w:val="18"/>
                      </w:rPr>
                      <w:t>1067.67</w:t>
                    </w:r>
                  </w:p>
                </w:txbxContent>
              </v:textbox>
            </v:rect>
            <v:rect id="_x0000_s46238" style="position:absolute;left:3184;top:2621;width:1383;height:302" stroked="f"/>
            <v:rect id="_x0000_s46239" style="position:absolute;left:3890;top:2650;width:501;height:207;mso-wrap-style:none" filled="f" stroked="f">
              <v:textbox style="mso-next-textbox:#_x0000_s46239;mso-fit-shape-to-text:t" inset="0,0,0,0">
                <w:txbxContent>
                  <w:p w:rsidR="00CB6FAE" w:rsidRDefault="00CB6FAE" w:rsidP="00FF5EDF">
                    <w:r>
                      <w:rPr>
                        <w:rFonts w:ascii="Arial" w:hAnsi="Arial" w:cs="Arial"/>
                        <w:color w:val="000000"/>
                        <w:sz w:val="18"/>
                        <w:szCs w:val="18"/>
                      </w:rPr>
                      <w:t>91983</w:t>
                    </w:r>
                  </w:p>
                </w:txbxContent>
              </v:textbox>
            </v:rect>
            <v:rect id="_x0000_s46240" style="position:absolute;left:4539;top:2621;width:1340;height:302" stroked="f"/>
            <v:rect id="_x0000_s46241" style="position:absolute;left:5202;top:2650;width:501;height:207;mso-wrap-style:none" filled="f" stroked="f">
              <v:textbox style="mso-next-textbox:#_x0000_s46241;mso-fit-shape-to-text:t" inset="0,0,0,0">
                <w:txbxContent>
                  <w:p w:rsidR="00CB6FAE" w:rsidRDefault="00CB6FAE" w:rsidP="00FF5EDF">
                    <w:r>
                      <w:rPr>
                        <w:rFonts w:ascii="Arial" w:hAnsi="Arial" w:cs="Arial"/>
                        <w:color w:val="000000"/>
                        <w:sz w:val="18"/>
                        <w:szCs w:val="18"/>
                      </w:rPr>
                      <w:t>79572</w:t>
                    </w:r>
                  </w:p>
                </w:txbxContent>
              </v:textbox>
            </v:rect>
            <v:rect id="_x0000_s46242" style="position:absolute;left:5850;top:2621;width:1138;height:302" stroked="f"/>
            <v:rect id="_x0000_s46243" style="position:absolute;left:6311;top:2650;width:501;height:207;mso-wrap-style:none" filled="f" stroked="f">
              <v:textbox style="mso-next-textbox:#_x0000_s46243;mso-fit-shape-to-text:t" inset="0,0,0,0">
                <w:txbxContent>
                  <w:p w:rsidR="00CB6FAE" w:rsidRDefault="00CB6FAE" w:rsidP="00FF5EDF">
                    <w:r>
                      <w:rPr>
                        <w:rFonts w:ascii="Arial" w:hAnsi="Arial" w:cs="Arial"/>
                        <w:color w:val="000000"/>
                        <w:sz w:val="18"/>
                        <w:szCs w:val="18"/>
                      </w:rPr>
                      <w:t>34519</w:t>
                    </w:r>
                  </w:p>
                </w:txbxContent>
              </v:textbox>
            </v:rect>
            <v:rect id="_x0000_s46244" style="position:absolute;left:6959;top:2621;width:1225;height:302" stroked="f"/>
            <v:rect id="_x0000_s46245" style="position:absolute;left:7680;top:2650;width:301;height:207;mso-wrap-style:none" filled="f" stroked="f">
              <v:textbox style="mso-next-textbox:#_x0000_s46245;mso-fit-shape-to-text:t" inset="0,0,0,0">
                <w:txbxContent>
                  <w:p w:rsidR="00CB6FAE" w:rsidRDefault="00CB6FAE" w:rsidP="00FF5EDF">
                    <w:r>
                      <w:rPr>
                        <w:rFonts w:ascii="Arial" w:hAnsi="Arial" w:cs="Arial"/>
                        <w:color w:val="000000"/>
                        <w:sz w:val="18"/>
                        <w:szCs w:val="18"/>
                      </w:rPr>
                      <w:t>910</w:t>
                    </w:r>
                  </w:p>
                </w:txbxContent>
              </v:textbox>
            </v:rect>
            <v:rect id="_x0000_s46246" style="position:absolute;left:8155;top:2621;width:1225;height:302" stroked="f"/>
            <v:rect id="_x0000_s46247" style="position:absolute;left:8962;top:2650;width:201;height:207;mso-wrap-style:none" filled="f" stroked="f">
              <v:textbox style="mso-next-textbox:#_x0000_s46247;mso-fit-shape-to-text:t" inset="0,0,0,0">
                <w:txbxContent>
                  <w:p w:rsidR="00CB6FAE" w:rsidRDefault="00CB6FAE" w:rsidP="00FF5EDF">
                    <w:r>
                      <w:rPr>
                        <w:rFonts w:ascii="Arial" w:hAnsi="Arial" w:cs="Arial"/>
                        <w:color w:val="000000"/>
                        <w:sz w:val="18"/>
                        <w:szCs w:val="18"/>
                      </w:rPr>
                      <w:t>33</w:t>
                    </w:r>
                  </w:p>
                </w:txbxContent>
              </v:textbox>
            </v:rect>
            <v:rect id="_x0000_s46248" style="position:absolute;left:3184;top:2894;width:1383;height:303" stroked="f"/>
            <v:rect id="_x0000_s46249" style="position:absolute;left:3630;top:2923;width:801;height:207;mso-wrap-style:none" filled="f" stroked="f">
              <v:textbox style="mso-next-textbox:#_x0000_s46249;mso-fit-shape-to-text:t" inset="0,0,0,0">
                <w:txbxContent>
                  <w:p w:rsidR="00CB6FAE" w:rsidRDefault="00CB6FAE" w:rsidP="00FF5EDF">
                    <w:r>
                      <w:rPr>
                        <w:rFonts w:ascii="Arial" w:hAnsi="Arial" w:cs="Arial"/>
                        <w:color w:val="000000"/>
                        <w:sz w:val="18"/>
                        <w:szCs w:val="18"/>
                      </w:rPr>
                      <w:t>92436519</w:t>
                    </w:r>
                  </w:p>
                </w:txbxContent>
              </v:textbox>
            </v:rect>
            <v:rect id="_x0000_s46250" style="position:absolute;left:4539;top:2894;width:1340;height:303" stroked="f"/>
            <v:rect id="_x0000_s46251" style="position:absolute;left:4856;top:2923;width:901;height:207;mso-wrap-style:none" filled="f" stroked="f">
              <v:textbox style="mso-next-textbox:#_x0000_s46251;mso-fit-shape-to-text:t" inset="0,0,0,0">
                <w:txbxContent>
                  <w:p w:rsidR="00CB6FAE" w:rsidRDefault="00CB6FAE" w:rsidP="00FF5EDF">
                    <w:r>
                      <w:rPr>
                        <w:rFonts w:ascii="Arial" w:hAnsi="Arial" w:cs="Arial"/>
                        <w:color w:val="000000"/>
                        <w:sz w:val="18"/>
                        <w:szCs w:val="18"/>
                      </w:rPr>
                      <w:t>209078938</w:t>
                    </w:r>
                  </w:p>
                </w:txbxContent>
              </v:textbox>
            </v:rect>
            <v:rect id="_x0000_s46252" style="position:absolute;left:5850;top:2894;width:1138;height:303" stroked="f"/>
            <v:rect id="_x0000_s46253" style="position:absolute;left:6051;top:2923;width:801;height:207;mso-wrap-style:none" filled="f" stroked="f">
              <v:textbox style="mso-next-textbox:#_x0000_s46253;mso-fit-shape-to-text:t" inset="0,0,0,0">
                <w:txbxContent>
                  <w:p w:rsidR="00CB6FAE" w:rsidRDefault="00CB6FAE" w:rsidP="00FF5EDF">
                    <w:r>
                      <w:rPr>
                        <w:rFonts w:ascii="Arial" w:hAnsi="Arial" w:cs="Arial"/>
                        <w:color w:val="000000"/>
                        <w:sz w:val="18"/>
                        <w:szCs w:val="18"/>
                      </w:rPr>
                      <w:t>36249393</w:t>
                    </w:r>
                  </w:p>
                </w:txbxContent>
              </v:textbox>
            </v:rect>
            <v:rect id="_x0000_s46254" style="position:absolute;left:6959;top:2894;width:1225;height:303" stroked="f"/>
            <v:rect id="_x0000_s46255" style="position:absolute;left:7420;top:2923;width:601;height:207;mso-wrap-style:none" filled="f" stroked="f">
              <v:textbox style="mso-next-textbox:#_x0000_s46255;mso-fit-shape-to-text:t" inset="0,0,0,0">
                <w:txbxContent>
                  <w:p w:rsidR="00CB6FAE" w:rsidRDefault="00CB6FAE" w:rsidP="00FF5EDF">
                    <w:r>
                      <w:rPr>
                        <w:rFonts w:ascii="Arial" w:hAnsi="Arial" w:cs="Arial"/>
                        <w:color w:val="000000"/>
                        <w:sz w:val="18"/>
                        <w:szCs w:val="18"/>
                      </w:rPr>
                      <w:t>282754</w:t>
                    </w:r>
                  </w:p>
                </w:txbxContent>
              </v:textbox>
            </v:rect>
            <v:rect id="_x0000_s46256" style="position:absolute;left:8155;top:2894;width:1225;height:303" stroked="f"/>
            <v:rect id="_x0000_s46257" style="position:absolute;left:8789;top:2923;width:401;height:207;mso-wrap-style:none" filled="f" stroked="f">
              <v:textbox style="mso-next-textbox:#_x0000_s46257;mso-fit-shape-to-text:t" inset="0,0,0,0">
                <w:txbxContent>
                  <w:p w:rsidR="00CB6FAE" w:rsidRDefault="00CB6FAE" w:rsidP="00FF5EDF">
                    <w:r>
                      <w:rPr>
                        <w:rFonts w:ascii="Arial" w:hAnsi="Arial" w:cs="Arial"/>
                        <w:color w:val="000000"/>
                        <w:sz w:val="18"/>
                        <w:szCs w:val="18"/>
                      </w:rPr>
                      <w:t>9389</w:t>
                    </w:r>
                  </w:p>
                </w:txbxContent>
              </v:textbox>
            </v:rect>
            <v:rect id="_x0000_s46258" style="position:absolute;left:3184;top:3168;width:1383;height:302" stroked="f"/>
            <v:rect id="_x0000_s46259" style="position:absolute;left:3414;top:3197;width:1052;height:207;mso-wrap-style:none" filled="f" stroked="f">
              <v:textbox style="mso-next-textbox:#_x0000_s46259;mso-fit-shape-to-text:t" inset="0,0,0,0">
                <w:txbxContent>
                  <w:p w:rsidR="00CB6FAE" w:rsidRDefault="00CB6FAE" w:rsidP="00FF5EDF">
                    <w:r>
                      <w:rPr>
                        <w:rFonts w:ascii="Arial" w:hAnsi="Arial" w:cs="Arial"/>
                        <w:color w:val="000000"/>
                        <w:sz w:val="18"/>
                        <w:szCs w:val="18"/>
                      </w:rPr>
                      <w:t>19963958.89</w:t>
                    </w:r>
                  </w:p>
                </w:txbxContent>
              </v:textbox>
            </v:rect>
            <v:rect id="_x0000_s46260" style="position:absolute;left:4539;top:3168;width:1340;height:302" stroked="f"/>
            <v:rect id="_x0000_s46261" style="position:absolute;left:4726;top:3197;width:1052;height:207;mso-wrap-style:none" filled="f" stroked="f">
              <v:textbox style="mso-next-textbox:#_x0000_s46261;mso-fit-shape-to-text:t" inset="0,0,0,0">
                <w:txbxContent>
                  <w:p w:rsidR="00CB6FAE" w:rsidRDefault="00CB6FAE" w:rsidP="00FF5EDF">
                    <w:r>
                      <w:rPr>
                        <w:rFonts w:ascii="Arial" w:hAnsi="Arial" w:cs="Arial"/>
                        <w:color w:val="000000"/>
                        <w:sz w:val="18"/>
                        <w:szCs w:val="18"/>
                      </w:rPr>
                      <w:t>35842464.20</w:t>
                    </w:r>
                  </w:p>
                </w:txbxContent>
              </v:textbox>
            </v:rect>
            <v:rect id="_x0000_s46262" style="position:absolute;left:5850;top:3168;width:1138;height:302" stroked="f"/>
            <v:rect id="_x0000_s46263" style="position:absolute;left:6138;top:3197;width:701;height:207;mso-wrap-style:none" filled="f" stroked="f">
              <v:textbox style="mso-next-textbox:#_x0000_s46263;mso-fit-shape-to-text:t" inset="0,0,0,0">
                <w:txbxContent>
                  <w:p w:rsidR="00CB6FAE" w:rsidRDefault="00CB6FAE" w:rsidP="00FF5EDF">
                    <w:r>
                      <w:rPr>
                        <w:rFonts w:ascii="Arial" w:hAnsi="Arial" w:cs="Arial"/>
                        <w:color w:val="000000"/>
                        <w:sz w:val="18"/>
                        <w:szCs w:val="18"/>
                      </w:rPr>
                      <w:t>8769922</w:t>
                    </w:r>
                  </w:p>
                </w:txbxContent>
              </v:textbox>
            </v:rect>
            <v:rect id="_x0000_s46264" style="position:absolute;left:6959;top:3168;width:1225;height:302" stroked="f"/>
            <v:rect id="_x0000_s46265" style="position:absolute;left:7291;top:3197;width:751;height:207;mso-wrap-style:none" filled="f" stroked="f">
              <v:textbox style="mso-next-textbox:#_x0000_s46265;mso-fit-shape-to-text:t" inset="0,0,0,0">
                <w:txbxContent>
                  <w:p w:rsidR="00CB6FAE" w:rsidRDefault="00CB6FAE" w:rsidP="00FF5EDF">
                    <w:r>
                      <w:rPr>
                        <w:rFonts w:ascii="Arial" w:hAnsi="Arial" w:cs="Arial"/>
                        <w:color w:val="000000"/>
                        <w:sz w:val="18"/>
                        <w:szCs w:val="18"/>
                      </w:rPr>
                      <w:t>56152.09</w:t>
                    </w:r>
                  </w:p>
                </w:txbxContent>
              </v:textbox>
            </v:rect>
            <v:rect id="_x0000_s46266" style="position:absolute;left:8155;top:3168;width:1225;height:302" stroked="f"/>
            <v:rect id="_x0000_s46267" style="position:absolute;left:8573;top:3197;width:651;height:207;mso-wrap-style:none" filled="f" stroked="f">
              <v:textbox style="mso-next-textbox:#_x0000_s46267;mso-fit-shape-to-text:t" inset="0,0,0,0">
                <w:txbxContent>
                  <w:p w:rsidR="00CB6FAE" w:rsidRDefault="00CB6FAE" w:rsidP="00FF5EDF">
                    <w:r>
                      <w:rPr>
                        <w:rFonts w:ascii="Arial" w:hAnsi="Arial" w:cs="Arial"/>
                        <w:color w:val="000000"/>
                        <w:sz w:val="18"/>
                        <w:szCs w:val="18"/>
                      </w:rPr>
                      <w:t>1796.41</w:t>
                    </w:r>
                  </w:p>
                </w:txbxContent>
              </v:textbox>
            </v:rect>
            <v:rect id="_x0000_s46268" style="position:absolute;left:3184;top:3442;width:1383;height:302" stroked="f"/>
            <v:rect id="_x0000_s46269" style="position:absolute;left:3414;top:3470;width:1052;height:207;mso-wrap-style:none" filled="f" stroked="f">
              <v:textbox style="mso-next-textbox:#_x0000_s46269;mso-fit-shape-to-text:t" inset="0,0,0,0">
                <w:txbxContent>
                  <w:p w:rsidR="00CB6FAE" w:rsidRDefault="00CB6FAE" w:rsidP="00FF5EDF">
                    <w:r>
                      <w:rPr>
                        <w:rFonts w:ascii="Arial" w:hAnsi="Arial" w:cs="Arial"/>
                        <w:color w:val="000000"/>
                        <w:sz w:val="18"/>
                        <w:szCs w:val="18"/>
                      </w:rPr>
                      <w:t>73674328.70</w:t>
                    </w:r>
                  </w:p>
                </w:txbxContent>
              </v:textbox>
            </v:rect>
            <v:rect id="_x0000_s46270" style="position:absolute;left:4539;top:3442;width:1340;height:302" stroked="f"/>
            <v:rect id="_x0000_s46271" style="position:absolute;left:4726;top:3470;width:1052;height:207;mso-wrap-style:none" filled="f" stroked="f">
              <v:textbox style="mso-next-textbox:#_x0000_s46271;mso-fit-shape-to-text:t" inset="0,0,0,0">
                <w:txbxContent>
                  <w:p w:rsidR="00CB6FAE" w:rsidRDefault="00CB6FAE" w:rsidP="00FF5EDF">
                    <w:r>
                      <w:rPr>
                        <w:rFonts w:ascii="Arial" w:hAnsi="Arial" w:cs="Arial"/>
                        <w:color w:val="000000"/>
                        <w:sz w:val="18"/>
                        <w:szCs w:val="18"/>
                      </w:rPr>
                      <w:t>20527509.41</w:t>
                    </w:r>
                  </w:p>
                </w:txbxContent>
              </v:textbox>
            </v:rect>
            <v:rect id="_x0000_s46272" style="position:absolute;left:5850;top:3442;width:1138;height:302" stroked="f"/>
            <v:rect id="_x0000_s46273" style="position:absolute;left:6051;top:3470;width:801;height:207;mso-wrap-style:none" filled="f" stroked="f">
              <v:textbox style="mso-next-textbox:#_x0000_s46273;mso-fit-shape-to-text:t" inset="0,0,0,0">
                <w:txbxContent>
                  <w:p w:rsidR="00CB6FAE" w:rsidRDefault="00CB6FAE" w:rsidP="00FF5EDF">
                    <w:r>
                      <w:rPr>
                        <w:rFonts w:ascii="Arial" w:hAnsi="Arial" w:cs="Arial"/>
                        <w:color w:val="000000"/>
                        <w:sz w:val="18"/>
                        <w:szCs w:val="18"/>
                      </w:rPr>
                      <w:t>13149063</w:t>
                    </w:r>
                  </w:p>
                </w:txbxContent>
              </v:textbox>
            </v:rect>
            <v:rect id="_x0000_s46274" style="position:absolute;left:6959;top:3442;width:1225;height:302" stroked="f"/>
            <v:rect id="_x0000_s46275" style="position:absolute;left:7291;top:3470;width:751;height:207;mso-wrap-style:none" filled="f" stroked="f">
              <v:textbox style="mso-next-textbox:#_x0000_s46275;mso-fit-shape-to-text:t" inset="0,0,0,0">
                <w:txbxContent>
                  <w:p w:rsidR="00CB6FAE" w:rsidRDefault="00CB6FAE" w:rsidP="00FF5EDF">
                    <w:r>
                      <w:rPr>
                        <w:rFonts w:ascii="Arial" w:hAnsi="Arial" w:cs="Arial"/>
                        <w:color w:val="000000"/>
                        <w:sz w:val="18"/>
                        <w:szCs w:val="18"/>
                      </w:rPr>
                      <w:t>60461.14</w:t>
                    </w:r>
                  </w:p>
                </w:txbxContent>
              </v:textbox>
            </v:rect>
            <v:rect id="_x0000_s46276" style="position:absolute;left:8155;top:3442;width:1225;height:302" stroked="f"/>
            <v:rect id="_x0000_s46277" style="position:absolute;left:8573;top:3470;width:651;height:207;mso-wrap-style:none" filled="f" stroked="f">
              <v:textbox style="mso-next-textbox:#_x0000_s46277;mso-fit-shape-to-text:t" inset="0,0,0,0">
                <w:txbxContent>
                  <w:p w:rsidR="00CB6FAE" w:rsidRDefault="00CB6FAE" w:rsidP="00FF5EDF">
                    <w:r>
                      <w:rPr>
                        <w:rFonts w:ascii="Arial" w:hAnsi="Arial" w:cs="Arial"/>
                        <w:color w:val="000000"/>
                        <w:sz w:val="18"/>
                        <w:szCs w:val="18"/>
                      </w:rPr>
                      <w:t>1336.48</w:t>
                    </w:r>
                  </w:p>
                </w:txbxContent>
              </v:textbox>
            </v:rect>
            <v:rect id="_x0000_s46278" style="position:absolute;left:3184;top:3715;width:1383;height:303" stroked="f"/>
            <v:rect id="_x0000_s46279" style="position:absolute;left:3890;top:3744;width:501;height:207;mso-wrap-style:none" filled="f" stroked="f">
              <v:textbox style="mso-next-textbox:#_x0000_s46279;mso-fit-shape-to-text:t" inset="0,0,0,0">
                <w:txbxContent>
                  <w:p w:rsidR="00CB6FAE" w:rsidRDefault="00CB6FAE" w:rsidP="00FF5EDF">
                    <w:r>
                      <w:rPr>
                        <w:rFonts w:ascii="Arial" w:hAnsi="Arial" w:cs="Arial"/>
                        <w:color w:val="000000"/>
                        <w:sz w:val="18"/>
                        <w:szCs w:val="18"/>
                      </w:rPr>
                      <w:t>91983</w:t>
                    </w:r>
                  </w:p>
                </w:txbxContent>
              </v:textbox>
            </v:rect>
            <v:rect id="_x0000_s46280" style="position:absolute;left:4539;top:3715;width:1340;height:303" stroked="f"/>
            <v:rect id="_x0000_s46281" style="position:absolute;left:5202;top:3744;width:501;height:207;mso-wrap-style:none" filled="f" stroked="f">
              <v:textbox style="mso-next-textbox:#_x0000_s46281;mso-fit-shape-to-text:t" inset="0,0,0,0">
                <w:txbxContent>
                  <w:p w:rsidR="00CB6FAE" w:rsidRDefault="00CB6FAE" w:rsidP="00FF5EDF">
                    <w:r>
                      <w:rPr>
                        <w:rFonts w:ascii="Arial" w:hAnsi="Arial" w:cs="Arial"/>
                        <w:color w:val="000000"/>
                        <w:sz w:val="18"/>
                        <w:szCs w:val="18"/>
                      </w:rPr>
                      <w:t>79572</w:t>
                    </w:r>
                  </w:p>
                </w:txbxContent>
              </v:textbox>
            </v:rect>
            <v:rect id="_x0000_s46282" style="position:absolute;left:5850;top:3715;width:1138;height:303" stroked="f"/>
            <v:rect id="_x0000_s46283" style="position:absolute;left:6311;top:3744;width:501;height:207;mso-wrap-style:none" filled="f" stroked="f">
              <v:textbox style="mso-next-textbox:#_x0000_s46283;mso-fit-shape-to-text:t" inset="0,0,0,0">
                <w:txbxContent>
                  <w:p w:rsidR="00CB6FAE" w:rsidRDefault="00CB6FAE" w:rsidP="00FF5EDF">
                    <w:r>
                      <w:rPr>
                        <w:rFonts w:ascii="Arial" w:hAnsi="Arial" w:cs="Arial"/>
                        <w:color w:val="000000"/>
                        <w:sz w:val="18"/>
                        <w:szCs w:val="18"/>
                      </w:rPr>
                      <w:t>34519</w:t>
                    </w:r>
                  </w:p>
                </w:txbxContent>
              </v:textbox>
            </v:rect>
            <v:rect id="_x0000_s46284" style="position:absolute;left:6959;top:3715;width:1225;height:303" stroked="f"/>
            <v:rect id="_x0000_s46285" style="position:absolute;left:7680;top:3744;width:301;height:207;mso-wrap-style:none" filled="f" stroked="f">
              <v:textbox style="mso-next-textbox:#_x0000_s46285;mso-fit-shape-to-text:t" inset="0,0,0,0">
                <w:txbxContent>
                  <w:p w:rsidR="00CB6FAE" w:rsidRDefault="00CB6FAE" w:rsidP="00FF5EDF">
                    <w:r>
                      <w:rPr>
                        <w:rFonts w:ascii="Arial" w:hAnsi="Arial" w:cs="Arial"/>
                        <w:color w:val="000000"/>
                        <w:sz w:val="18"/>
                        <w:szCs w:val="18"/>
                      </w:rPr>
                      <w:t>739</w:t>
                    </w:r>
                  </w:p>
                </w:txbxContent>
              </v:textbox>
            </v:rect>
            <v:rect id="_x0000_s46286" style="position:absolute;left:8155;top:3715;width:1225;height:303" stroked="f"/>
            <v:rect id="_x0000_s46287" style="position:absolute;left:8962;top:3744;width:201;height:207;mso-wrap-style:none" filled="f" stroked="f">
              <v:textbox style="mso-next-textbox:#_x0000_s46287;mso-fit-shape-to-text:t" inset="0,0,0,0">
                <w:txbxContent>
                  <w:p w:rsidR="00CB6FAE" w:rsidRDefault="00CB6FAE" w:rsidP="00FF5EDF">
                    <w:r>
                      <w:rPr>
                        <w:rFonts w:ascii="Arial" w:hAnsi="Arial" w:cs="Arial"/>
                        <w:color w:val="000000"/>
                        <w:sz w:val="18"/>
                        <w:szCs w:val="18"/>
                      </w:rPr>
                      <w:t>33</w:t>
                    </w:r>
                  </w:p>
                </w:txbxContent>
              </v:textbox>
            </v:rect>
            <v:rect id="_x0000_s46288" style="position:absolute;left:3184;top:3989;width:1383;height:302" stroked="f"/>
            <v:rect id="_x0000_s46289" style="position:absolute;left:3544;top:4018;width:901;height:207;mso-wrap-style:none" filled="f" stroked="f">
              <v:textbox style="mso-next-textbox:#_x0000_s46289;mso-fit-shape-to-text:t" inset="0,0,0,0">
                <w:txbxContent>
                  <w:p w:rsidR="00CB6FAE" w:rsidRDefault="00CB6FAE" w:rsidP="00FF5EDF">
                    <w:r>
                      <w:rPr>
                        <w:rFonts w:ascii="Arial" w:hAnsi="Arial" w:cs="Arial"/>
                        <w:color w:val="000000"/>
                        <w:sz w:val="18"/>
                        <w:szCs w:val="18"/>
                      </w:rPr>
                      <w:t>884137000</w:t>
                    </w:r>
                  </w:p>
                </w:txbxContent>
              </v:textbox>
            </v:rect>
            <v:rect id="_x0000_s46290" style="position:absolute;left:4539;top:3989;width:1340;height:302" stroked="f"/>
            <v:rect id="_x0000_s46291" style="position:absolute;left:4856;top:4018;width:901;height:207;mso-wrap-style:none" filled="f" stroked="f">
              <v:textbox style="mso-next-textbox:#_x0000_s46291;mso-fit-shape-to-text:t" inset="0,0,0,0">
                <w:txbxContent>
                  <w:p w:rsidR="00CB6FAE" w:rsidRDefault="00CB6FAE" w:rsidP="00FF5EDF">
                    <w:r>
                      <w:rPr>
                        <w:rFonts w:ascii="Arial" w:hAnsi="Arial" w:cs="Arial"/>
                        <w:color w:val="000000"/>
                        <w:sz w:val="18"/>
                        <w:szCs w:val="18"/>
                      </w:rPr>
                      <w:t>209078938</w:t>
                    </w:r>
                  </w:p>
                </w:txbxContent>
              </v:textbox>
            </v:rect>
            <v:rect id="_x0000_s46292" style="position:absolute;left:5850;top:3989;width:1138;height:302" stroked="f"/>
            <v:rect id="_x0000_s46293" style="position:absolute;left:6095;top:4018;width:776;height:207;mso-wrap-style:none" filled="f" stroked="f">
              <v:textbox style="mso-next-textbox:#_x0000_s46293;mso-fit-shape-to-text:t" inset="0,0,0,0">
                <w:txbxContent>
                  <w:p w:rsidR="00CB6FAE" w:rsidRDefault="00CB6FAE" w:rsidP="00FF5EDF">
                    <w:r>
                      <w:rPr>
                        <w:rFonts w:ascii="Arial" w:hAnsi="Arial" w:cs="Arial"/>
                        <w:color w:val="000000"/>
                        <w:sz w:val="18"/>
                        <w:szCs w:val="18"/>
                      </w:rPr>
                      <w:t>1.01E+08</w:t>
                    </w:r>
                  </w:p>
                </w:txbxContent>
              </v:textbox>
            </v:rect>
            <v:rect id="_x0000_s46294" style="position:absolute;left:6959;top:3989;width:1225;height:302" stroked="f"/>
            <v:rect id="_x0000_s46295" style="position:absolute;left:7420;top:4018;width:601;height:207;mso-wrap-style:none" filled="f" stroked="f">
              <v:textbox style="mso-next-textbox:#_x0000_s46295;mso-fit-shape-to-text:t" inset="0,0,0,0">
                <w:txbxContent>
                  <w:p w:rsidR="00CB6FAE" w:rsidRDefault="00CB6FAE" w:rsidP="00FF5EDF">
                    <w:r>
                      <w:rPr>
                        <w:rFonts w:ascii="Arial" w:hAnsi="Arial" w:cs="Arial"/>
                        <w:color w:val="000000"/>
                        <w:sz w:val="18"/>
                        <w:szCs w:val="18"/>
                      </w:rPr>
                      <w:t>321809</w:t>
                    </w:r>
                  </w:p>
                </w:txbxContent>
              </v:textbox>
            </v:rect>
            <v:rect id="_x0000_s46296" style="position:absolute;left:8155;top:3989;width:1225;height:302" stroked="f"/>
            <v:rect id="_x0000_s46297" style="position:absolute;left:8789;top:4018;width:401;height:207;mso-wrap-style:none" filled="f" stroked="f">
              <v:textbox style="mso-next-textbox:#_x0000_s46297;mso-fit-shape-to-text:t" inset="0,0,0,0">
                <w:txbxContent>
                  <w:p w:rsidR="00CB6FAE" w:rsidRDefault="00CB6FAE" w:rsidP="00FF5EDF">
                    <w:r>
                      <w:rPr>
                        <w:rFonts w:ascii="Arial" w:hAnsi="Arial" w:cs="Arial"/>
                        <w:color w:val="000000"/>
                        <w:sz w:val="18"/>
                        <w:szCs w:val="18"/>
                      </w:rPr>
                      <w:t>9389</w:t>
                    </w:r>
                  </w:p>
                </w:txbxContent>
              </v:textbox>
            </v:rect>
            <v:rect id="_x0000_s46298" style="position:absolute;left:3184;top:4262;width:1383;height:303" stroked="f"/>
            <v:rect id="_x0000_s46299" style="position:absolute;left:3414;top:4291;width:1052;height:207;mso-wrap-style:none" filled="f" stroked="f">
              <v:textbox style="mso-next-textbox:#_x0000_s46299;mso-fit-shape-to-text:t" inset="0,0,0,0">
                <w:txbxContent>
                  <w:p w:rsidR="00CB6FAE" w:rsidRDefault="00CB6FAE" w:rsidP="00FF5EDF">
                    <w:r>
                      <w:rPr>
                        <w:rFonts w:ascii="Arial" w:hAnsi="Arial" w:cs="Arial"/>
                        <w:color w:val="000000"/>
                        <w:sz w:val="18"/>
                        <w:szCs w:val="18"/>
                      </w:rPr>
                      <w:t>161024225.7</w:t>
                    </w:r>
                  </w:p>
                </w:txbxContent>
              </v:textbox>
            </v:rect>
            <v:rect id="_x0000_s46300" style="position:absolute;left:4539;top:4262;width:1340;height:303" stroked="f"/>
            <v:rect id="_x0000_s46301" style="position:absolute;left:4726;top:4291;width:1052;height:207;mso-wrap-style:none" filled="f" stroked="f">
              <v:textbox style="mso-next-textbox:#_x0000_s46301;mso-fit-shape-to-text:t" inset="0,0,0,0">
                <w:txbxContent>
                  <w:p w:rsidR="00CB6FAE" w:rsidRDefault="00CB6FAE" w:rsidP="00FF5EDF">
                    <w:r>
                      <w:rPr>
                        <w:rFonts w:ascii="Arial" w:hAnsi="Arial" w:cs="Arial"/>
                        <w:color w:val="000000"/>
                        <w:sz w:val="18"/>
                        <w:szCs w:val="18"/>
                      </w:rPr>
                      <w:t>32414445.46</w:t>
                    </w:r>
                  </w:p>
                </w:txbxContent>
              </v:textbox>
            </v:rect>
            <v:rect id="_x0000_s46302" style="position:absolute;left:5850;top:4262;width:1138;height:303" stroked="f"/>
            <v:rect id="_x0000_s46303" style="position:absolute;left:6051;top:4291;width:801;height:207;mso-wrap-style:none" filled="f" stroked="f">
              <v:textbox style="mso-next-textbox:#_x0000_s46303;mso-fit-shape-to-text:t" inset="0,0,0,0">
                <w:txbxContent>
                  <w:p w:rsidR="00CB6FAE" w:rsidRDefault="00CB6FAE" w:rsidP="00FF5EDF">
                    <w:r>
                      <w:rPr>
                        <w:rFonts w:ascii="Arial" w:hAnsi="Arial" w:cs="Arial"/>
                        <w:color w:val="000000"/>
                        <w:sz w:val="18"/>
                        <w:szCs w:val="18"/>
                      </w:rPr>
                      <w:t>19573601</w:t>
                    </w:r>
                  </w:p>
                </w:txbxContent>
              </v:textbox>
            </v:rect>
            <v:rect id="_x0000_s46304" style="position:absolute;left:6959;top:4262;width:1225;height:303" stroked="f"/>
            <v:rect id="_x0000_s46305" style="position:absolute;left:7291;top:4291;width:751;height:207;mso-wrap-style:none" filled="f" stroked="f">
              <v:textbox style="mso-next-textbox:#_x0000_s46305;mso-fit-shape-to-text:t" inset="0,0,0,0">
                <w:txbxContent>
                  <w:p w:rsidR="00CB6FAE" w:rsidRDefault="00CB6FAE" w:rsidP="00FF5EDF">
                    <w:r>
                      <w:rPr>
                        <w:rFonts w:ascii="Arial" w:hAnsi="Arial" w:cs="Arial"/>
                        <w:color w:val="000000"/>
                        <w:sz w:val="18"/>
                        <w:szCs w:val="18"/>
                      </w:rPr>
                      <w:t>74874.56</w:t>
                    </w:r>
                  </w:p>
                </w:txbxContent>
              </v:textbox>
            </v:rect>
            <v:rect id="_x0000_s46306" style="position:absolute;left:8155;top:4262;width:1225;height:303" stroked="f"/>
            <v:rect id="_x0000_s46307" style="position:absolute;left:8573;top:4291;width:651;height:207;mso-wrap-style:none" filled="f" stroked="f">
              <v:textbox style="mso-next-textbox:#_x0000_s46307;mso-fit-shape-to-text:t" inset="0,0,0,0">
                <w:txbxContent>
                  <w:p w:rsidR="00CB6FAE" w:rsidRDefault="00CB6FAE" w:rsidP="00FF5EDF">
                    <w:r>
                      <w:rPr>
                        <w:rFonts w:ascii="Arial" w:hAnsi="Arial" w:cs="Arial"/>
                        <w:color w:val="000000"/>
                        <w:sz w:val="18"/>
                        <w:szCs w:val="18"/>
                      </w:rPr>
                      <w:t>1968.26</w:t>
                    </w:r>
                  </w:p>
                </w:txbxContent>
              </v:textbox>
            </v:rect>
            <v:rect id="_x0000_s46308" style="position:absolute;left:1787;top:518;width:1426;height:764" stroked="f"/>
            <v:rect id="_x0000_s46309" style="position:absolute;left:1787;top:1253;width:1426;height:302" stroked="f"/>
            <v:rect id="_x0000_s46310" style="position:absolute;left:1902;top:1267;width:451;height:207;mso-wrap-style:none" filled="f" stroked="f">
              <v:textbox style="mso-next-textbox:#_x0000_s46310;mso-fit-shape-to-text:t" inset="0,0,0,0">
                <w:txbxContent>
                  <w:p w:rsidR="00CB6FAE" w:rsidRDefault="00CB6FAE" w:rsidP="00FF5EDF">
                    <w:r>
                      <w:rPr>
                        <w:rFonts w:ascii="Arial" w:hAnsi="Arial" w:cs="Arial"/>
                        <w:color w:val="000000"/>
                        <w:sz w:val="18"/>
                        <w:szCs w:val="18"/>
                      </w:rPr>
                      <w:t>Mean</w:t>
                    </w:r>
                  </w:p>
                </w:txbxContent>
              </v:textbox>
            </v:rect>
            <v:rect id="_x0000_s46311" style="position:absolute;left:1787;top:1526;width:1426;height:303" stroked="f"/>
            <v:rect id="_x0000_s46312" style="position:absolute;left:1902;top:1541;width:731;height:207;mso-wrap-style:none" filled="f" stroked="f">
              <v:textbox style="mso-next-textbox:#_x0000_s46312;mso-fit-shape-to-text:t" inset="0,0,0,0">
                <w:txbxContent>
                  <w:p w:rsidR="00CB6FAE" w:rsidRDefault="00CB6FAE" w:rsidP="00FF5EDF">
                    <w:r>
                      <w:rPr>
                        <w:rFonts w:ascii="Arial" w:hAnsi="Arial" w:cs="Arial"/>
                        <w:color w:val="000000"/>
                        <w:sz w:val="18"/>
                        <w:szCs w:val="18"/>
                      </w:rPr>
                      <w:t>Minimum</w:t>
                    </w:r>
                  </w:p>
                </w:txbxContent>
              </v:textbox>
            </v:rect>
            <v:rect id="_x0000_s46313" style="position:absolute;left:1787;top:1800;width:1426;height:302" stroked="f"/>
            <v:rect id="_x0000_s46314" style="position:absolute;left:1902;top:1814;width:781;height:207;mso-wrap-style:none" filled="f" stroked="f">
              <v:textbox style="mso-next-textbox:#_x0000_s46314;mso-fit-shape-to-text:t" inset="0,0,0,0">
                <w:txbxContent>
                  <w:p w:rsidR="00CB6FAE" w:rsidRDefault="00CB6FAE" w:rsidP="00FF5EDF">
                    <w:r>
                      <w:rPr>
                        <w:rFonts w:ascii="Arial" w:hAnsi="Arial" w:cs="Arial"/>
                        <w:color w:val="000000"/>
                        <w:sz w:val="18"/>
                        <w:szCs w:val="18"/>
                      </w:rPr>
                      <w:t>Maximum</w:t>
                    </w:r>
                  </w:p>
                </w:txbxContent>
              </v:textbox>
            </v:rect>
            <v:rect id="_x0000_s46315" style="position:absolute;left:1787;top:2074;width:1426;height:302" stroked="f"/>
            <v:rect id="_x0000_s46316" style="position:absolute;left:1902;top:2088;width:1121;height:207;mso-wrap-style:none" filled="f" stroked="f">
              <v:textbox style="mso-next-textbox:#_x0000_s46316;mso-fit-shape-to-text:t" inset="0,0,0,0">
                <w:txbxContent>
                  <w:p w:rsidR="00CB6FAE" w:rsidRDefault="00CB6FAE" w:rsidP="00FF5EDF">
                    <w:r>
                      <w:rPr>
                        <w:rFonts w:ascii="Arial" w:hAnsi="Arial" w:cs="Arial"/>
                        <w:color w:val="000000"/>
                        <w:sz w:val="18"/>
                        <w:szCs w:val="18"/>
                      </w:rPr>
                      <w:t>Std. Deviation</w:t>
                    </w:r>
                  </w:p>
                </w:txbxContent>
              </v:textbox>
            </v:rect>
            <v:rect id="_x0000_s46317" style="position:absolute;left:1787;top:2347;width:1426;height:303" stroked="f"/>
            <v:rect id="_x0000_s46318" style="position:absolute;left:1902;top:2362;width:451;height:207;mso-wrap-style:none" filled="f" stroked="f">
              <v:textbox style="mso-next-textbox:#_x0000_s46318;mso-fit-shape-to-text:t" inset="0,0,0,0">
                <w:txbxContent>
                  <w:p w:rsidR="00CB6FAE" w:rsidRDefault="00CB6FAE" w:rsidP="00FF5EDF">
                    <w:r>
                      <w:rPr>
                        <w:rFonts w:ascii="Arial" w:hAnsi="Arial" w:cs="Arial"/>
                        <w:color w:val="000000"/>
                        <w:sz w:val="18"/>
                        <w:szCs w:val="18"/>
                      </w:rPr>
                      <w:t>Mean</w:t>
                    </w:r>
                  </w:p>
                </w:txbxContent>
              </v:textbox>
            </v:rect>
            <v:rect id="_x0000_s46319" style="position:absolute;left:1787;top:2621;width:1426;height:302" stroked="f"/>
            <v:rect id="_x0000_s46320" style="position:absolute;left:1902;top:2635;width:731;height:207;mso-wrap-style:none" filled="f" stroked="f">
              <v:textbox style="mso-next-textbox:#_x0000_s46320;mso-fit-shape-to-text:t" inset="0,0,0,0">
                <w:txbxContent>
                  <w:p w:rsidR="00CB6FAE" w:rsidRDefault="00CB6FAE" w:rsidP="00FF5EDF">
                    <w:r>
                      <w:rPr>
                        <w:rFonts w:ascii="Arial" w:hAnsi="Arial" w:cs="Arial"/>
                        <w:color w:val="000000"/>
                        <w:sz w:val="18"/>
                        <w:szCs w:val="18"/>
                      </w:rPr>
                      <w:t>Minimum</w:t>
                    </w:r>
                  </w:p>
                </w:txbxContent>
              </v:textbox>
            </v:rect>
            <v:rect id="_x0000_s46321" style="position:absolute;left:1787;top:2894;width:1426;height:303" stroked="f"/>
            <v:rect id="_x0000_s46322" style="position:absolute;left:1902;top:2909;width:781;height:207;mso-wrap-style:none" filled="f" stroked="f">
              <v:textbox style="mso-next-textbox:#_x0000_s46322;mso-fit-shape-to-text:t" inset="0,0,0,0">
                <w:txbxContent>
                  <w:p w:rsidR="00CB6FAE" w:rsidRDefault="00CB6FAE" w:rsidP="00FF5EDF">
                    <w:r>
                      <w:rPr>
                        <w:rFonts w:ascii="Arial" w:hAnsi="Arial" w:cs="Arial"/>
                        <w:color w:val="000000"/>
                        <w:sz w:val="18"/>
                        <w:szCs w:val="18"/>
                      </w:rPr>
                      <w:t>Maximum</w:t>
                    </w:r>
                  </w:p>
                </w:txbxContent>
              </v:textbox>
            </v:rect>
            <v:rect id="_x0000_s46323" style="position:absolute;left:1787;top:3168;width:1426;height:302" stroked="f"/>
            <v:rect id="_x0000_s46324" style="position:absolute;left:1902;top:3182;width:1121;height:207;mso-wrap-style:none" filled="f" stroked="f">
              <v:textbox style="mso-next-textbox:#_x0000_s46324;mso-fit-shape-to-text:t" inset="0,0,0,0">
                <w:txbxContent>
                  <w:p w:rsidR="00CB6FAE" w:rsidRDefault="00CB6FAE" w:rsidP="00FF5EDF">
                    <w:r>
                      <w:rPr>
                        <w:rFonts w:ascii="Arial" w:hAnsi="Arial" w:cs="Arial"/>
                        <w:color w:val="000000"/>
                        <w:sz w:val="18"/>
                        <w:szCs w:val="18"/>
                      </w:rPr>
                      <w:t>Std. Deviation</w:t>
                    </w:r>
                  </w:p>
                </w:txbxContent>
              </v:textbox>
            </v:rect>
            <v:rect id="_x0000_s46325" style="position:absolute;left:1787;top:3442;width:1426;height:302" stroked="f"/>
            <v:rect id="_x0000_s46326" style="position:absolute;left:1902;top:3456;width:451;height:207;mso-wrap-style:none" filled="f" stroked="f">
              <v:textbox style="mso-next-textbox:#_x0000_s46326;mso-fit-shape-to-text:t" inset="0,0,0,0">
                <w:txbxContent>
                  <w:p w:rsidR="00CB6FAE" w:rsidRDefault="00CB6FAE" w:rsidP="00FF5EDF">
                    <w:r>
                      <w:rPr>
                        <w:rFonts w:ascii="Arial" w:hAnsi="Arial" w:cs="Arial"/>
                        <w:color w:val="000000"/>
                        <w:sz w:val="18"/>
                        <w:szCs w:val="18"/>
                      </w:rPr>
                      <w:t>Mean</w:t>
                    </w:r>
                  </w:p>
                </w:txbxContent>
              </v:textbox>
            </v:rect>
            <v:rect id="_x0000_s46327" style="position:absolute;left:1787;top:3715;width:1426;height:303" stroked="f"/>
            <v:rect id="_x0000_s46328" style="position:absolute;left:1902;top:3730;width:731;height:207;mso-wrap-style:none" filled="f" stroked="f">
              <v:textbox style="mso-next-textbox:#_x0000_s46328;mso-fit-shape-to-text:t" inset="0,0,0,0">
                <w:txbxContent>
                  <w:p w:rsidR="00CB6FAE" w:rsidRDefault="00CB6FAE" w:rsidP="00FF5EDF">
                    <w:r>
                      <w:rPr>
                        <w:rFonts w:ascii="Arial" w:hAnsi="Arial" w:cs="Arial"/>
                        <w:color w:val="000000"/>
                        <w:sz w:val="18"/>
                        <w:szCs w:val="18"/>
                      </w:rPr>
                      <w:t>Minimum</w:t>
                    </w:r>
                  </w:p>
                </w:txbxContent>
              </v:textbox>
            </v:rect>
            <v:rect id="_x0000_s46329" style="position:absolute;left:1787;top:3989;width:1426;height:302" stroked="f"/>
            <v:rect id="_x0000_s46330" style="position:absolute;left:1902;top:4003;width:781;height:207;mso-wrap-style:none" filled="f" stroked="f">
              <v:textbox style="mso-next-textbox:#_x0000_s46330;mso-fit-shape-to-text:t" inset="0,0,0,0">
                <w:txbxContent>
                  <w:p w:rsidR="00CB6FAE" w:rsidRDefault="00CB6FAE" w:rsidP="00FF5EDF">
                    <w:r>
                      <w:rPr>
                        <w:rFonts w:ascii="Arial" w:hAnsi="Arial" w:cs="Arial"/>
                        <w:color w:val="000000"/>
                        <w:sz w:val="18"/>
                        <w:szCs w:val="18"/>
                      </w:rPr>
                      <w:t>Maximum</w:t>
                    </w:r>
                  </w:p>
                </w:txbxContent>
              </v:textbox>
            </v:rect>
            <v:rect id="_x0000_s46331" style="position:absolute;left:1787;top:4262;width:1426;height:303" stroked="f"/>
            <v:rect id="_x0000_s46332" style="position:absolute;left:1902;top:4277;width:1121;height:207;mso-wrap-style:none" filled="f" stroked="f">
              <v:textbox style="mso-next-textbox:#_x0000_s46332;mso-fit-shape-to-text:t" inset="0,0,0,0">
                <w:txbxContent>
                  <w:p w:rsidR="00CB6FAE" w:rsidRDefault="00CB6FAE" w:rsidP="00FF5EDF">
                    <w:r>
                      <w:rPr>
                        <w:rFonts w:ascii="Arial" w:hAnsi="Arial" w:cs="Arial"/>
                        <w:color w:val="000000"/>
                        <w:sz w:val="18"/>
                        <w:szCs w:val="18"/>
                      </w:rPr>
                      <w:t>Std. Deviation</w:t>
                    </w:r>
                  </w:p>
                </w:txbxContent>
              </v:textbox>
            </v:rect>
            <v:rect id="_x0000_s46333" style="position:absolute;left:144;top:518;width:1671;height:764" stroked="f"/>
            <v:rect id="_x0000_s46334" style="position:absolute;left:259;top:1023;width:521;height:207;mso-wrap-style:none" filled="f" stroked="f">
              <v:textbox style="mso-next-textbox:#_x0000_s46334;mso-fit-shape-to-text:t" inset="0,0,0,0">
                <w:txbxContent>
                  <w:p w:rsidR="00CB6FAE" w:rsidRDefault="00CB6FAE" w:rsidP="00FF5EDF">
                    <w:r>
                      <w:rPr>
                        <w:rFonts w:ascii="Arial" w:hAnsi="Arial" w:cs="Arial"/>
                        <w:color w:val="000000"/>
                        <w:sz w:val="18"/>
                        <w:szCs w:val="18"/>
                      </w:rPr>
                      <w:t>Sector</w:t>
                    </w:r>
                  </w:p>
                </w:txbxContent>
              </v:textbox>
            </v:rect>
            <v:rect id="_x0000_s46335" style="position:absolute;left:144;top:1253;width:1671;height:1123" stroked="f"/>
            <v:rect id="_x0000_s46336" style="position:absolute;left:259;top:1267;width:941;height:207;mso-wrap-style:none" filled="f" stroked="f">
              <v:textbox style="mso-next-textbox:#_x0000_s46336;mso-fit-shape-to-text:t" inset="0,0,0,0">
                <w:txbxContent>
                  <w:p w:rsidR="00CB6FAE" w:rsidRDefault="00CB6FAE" w:rsidP="00FF5EDF">
                    <w:r>
                      <w:rPr>
                        <w:rFonts w:ascii="Arial" w:hAnsi="Arial" w:cs="Arial"/>
                        <w:color w:val="000000"/>
                        <w:sz w:val="18"/>
                        <w:szCs w:val="18"/>
                      </w:rPr>
                      <w:t>FINANCIAL</w:t>
                    </w:r>
                  </w:p>
                </w:txbxContent>
              </v:textbox>
            </v:rect>
            <v:rect id="_x0000_s46337" style="position:absolute;left:144;top:2347;width:1671;height:1123" stroked="f"/>
            <v:rect id="_x0000_s46338" style="position:absolute;left:259;top:2362;width:1391;height:207;mso-wrap-style:none" filled="f" stroked="f">
              <v:textbox style="mso-next-textbox:#_x0000_s46338;mso-fit-shape-to-text:t" inset="0,0,0,0">
                <w:txbxContent>
                  <w:p w:rsidR="00CB6FAE" w:rsidRDefault="00CB6FAE" w:rsidP="00FF5EDF">
                    <w:r>
                      <w:rPr>
                        <w:rFonts w:ascii="Arial" w:hAnsi="Arial" w:cs="Arial"/>
                        <w:color w:val="000000"/>
                        <w:sz w:val="18"/>
                        <w:szCs w:val="18"/>
                      </w:rPr>
                      <w:t>NON FINANCIAL</w:t>
                    </w:r>
                  </w:p>
                </w:txbxContent>
              </v:textbox>
            </v:rect>
            <v:rect id="_x0000_s46339" style="position:absolute;left:144;top:3442;width:1671;height:1123" stroked="f"/>
            <v:rect id="_x0000_s46340" style="position:absolute;left:259;top:3456;width:401;height:207;mso-wrap-style:none" filled="f" stroked="f">
              <v:textbox style="mso-next-textbox:#_x0000_s46340;mso-fit-shape-to-text:t" inset="0,0,0,0">
                <w:txbxContent>
                  <w:p w:rsidR="00CB6FAE" w:rsidRDefault="00CB6FAE" w:rsidP="00FF5EDF">
                    <w:r>
                      <w:rPr>
                        <w:rFonts w:ascii="Arial" w:hAnsi="Arial" w:cs="Arial"/>
                        <w:color w:val="000000"/>
                        <w:sz w:val="18"/>
                        <w:szCs w:val="18"/>
                      </w:rPr>
                      <w:t>Total</w:t>
                    </w:r>
                  </w:p>
                </w:txbxContent>
              </v:textbox>
            </v:rect>
            <v:rect id="_x0000_s46341" style="position:absolute;left:3184;top:518;width:1383;height:764" stroked="f"/>
            <v:rect id="_x0000_s46342" style="position:absolute;left:3602;top:792;width:688;height:438" filled="f" stroked="f">
              <v:textbox style="mso-next-textbox:#_x0000_s46342" inset="0,0,0,0">
                <w:txbxContent>
                  <w:p w:rsidR="00CB6FAE" w:rsidRDefault="00CB6FAE" w:rsidP="00FF5EDF">
                    <w:r>
                      <w:rPr>
                        <w:rFonts w:ascii="Arial" w:hAnsi="Arial" w:cs="Arial"/>
                        <w:color w:val="000000"/>
                        <w:sz w:val="18"/>
                        <w:szCs w:val="18"/>
                      </w:rPr>
                      <w:t xml:space="preserve">Asset (‘N000)     </w:t>
                    </w:r>
                  </w:p>
                </w:txbxContent>
              </v:textbox>
            </v:rect>
            <v:rect id="_x0000_s46343" style="position:absolute;left:4539;top:518;width:1340;height:764" stroked="f"/>
            <v:rect id="_x0000_s46344" style="position:absolute;left:4820;top:769;width:721;height:461" filled="f" stroked="f">
              <v:textbox style="mso-next-textbox:#_x0000_s46344" inset="0,0,0,0">
                <w:txbxContent>
                  <w:p w:rsidR="00CB6FAE" w:rsidRDefault="00CB6FAE" w:rsidP="00FF5EDF">
                    <w:pPr>
                      <w:rPr>
                        <w:rFonts w:ascii="Arial" w:hAnsi="Arial" w:cs="Arial"/>
                        <w:color w:val="000000"/>
                        <w:sz w:val="18"/>
                        <w:szCs w:val="18"/>
                      </w:rPr>
                    </w:pPr>
                    <w:r>
                      <w:rPr>
                        <w:rFonts w:ascii="Arial" w:hAnsi="Arial" w:cs="Arial"/>
                        <w:color w:val="000000"/>
                        <w:sz w:val="18"/>
                        <w:szCs w:val="18"/>
                      </w:rPr>
                      <w:t>Turnover</w:t>
                    </w:r>
                  </w:p>
                  <w:p w:rsidR="00CB6FAE" w:rsidRDefault="00CB6FAE" w:rsidP="00FF5EDF">
                    <w:r>
                      <w:rPr>
                        <w:rFonts w:ascii="Arial" w:hAnsi="Arial" w:cs="Arial"/>
                        <w:color w:val="000000"/>
                        <w:sz w:val="18"/>
                        <w:szCs w:val="18"/>
                      </w:rPr>
                      <w:t>(N,000)</w:t>
                    </w:r>
                  </w:p>
                </w:txbxContent>
              </v:textbox>
            </v:rect>
            <v:rect id="_x0000_s46345" style="position:absolute;left:5714;top:504;width:1274;height:778" stroked="f"/>
            <v:rect id="_x0000_s46346" style="position:absolute;left:5994;top:562;width:818;height:278" filled="f" stroked="f">
              <v:textbox style="mso-next-textbox:#_x0000_s46346" inset="0,0,0,0">
                <w:txbxContent>
                  <w:p w:rsidR="00CB6FAE" w:rsidRDefault="00CB6FAE" w:rsidP="00FF5EDF">
                    <w:r>
                      <w:rPr>
                        <w:rFonts w:ascii="Arial" w:hAnsi="Arial" w:cs="Arial"/>
                        <w:color w:val="000000"/>
                        <w:sz w:val="18"/>
                        <w:szCs w:val="18"/>
                      </w:rPr>
                      <w:t>Sharehol</w:t>
                    </w:r>
                  </w:p>
                </w:txbxContent>
              </v:textbox>
            </v:rect>
            <v:rect id="_x0000_s46347" style="position:absolute;left:6037;top:840;width:775;height:390" filled="f" stroked="f">
              <v:textbox style="mso-next-textbox:#_x0000_s46347" inset="0,0,0,0">
                <w:txbxContent>
                  <w:p w:rsidR="00CB6FAE" w:rsidRDefault="00CB6FAE" w:rsidP="00FF5EDF">
                    <w:pPr>
                      <w:rPr>
                        <w:rFonts w:ascii="Arial" w:hAnsi="Arial" w:cs="Arial"/>
                        <w:color w:val="000000"/>
                        <w:sz w:val="18"/>
                        <w:szCs w:val="18"/>
                      </w:rPr>
                    </w:pPr>
                    <w:r>
                      <w:rPr>
                        <w:rFonts w:ascii="Arial" w:hAnsi="Arial" w:cs="Arial"/>
                        <w:color w:val="000000"/>
                        <w:sz w:val="18"/>
                        <w:szCs w:val="18"/>
                      </w:rPr>
                      <w:t>der  Fund</w:t>
                    </w:r>
                  </w:p>
                  <w:p w:rsidR="00CB6FAE" w:rsidRDefault="00CB6FAE" w:rsidP="00FF5EDF">
                    <w:pPr>
                      <w:rPr>
                        <w:rFonts w:ascii="Arial" w:hAnsi="Arial" w:cs="Arial"/>
                        <w:color w:val="000000"/>
                        <w:sz w:val="18"/>
                        <w:szCs w:val="18"/>
                      </w:rPr>
                    </w:pPr>
                    <w:r>
                      <w:rPr>
                        <w:rFonts w:ascii="Arial" w:hAnsi="Arial" w:cs="Arial"/>
                        <w:color w:val="000000"/>
                        <w:sz w:val="18"/>
                        <w:szCs w:val="18"/>
                      </w:rPr>
                      <w:t>(N’000)</w:t>
                    </w:r>
                  </w:p>
                  <w:p w:rsidR="00CB6FAE" w:rsidRDefault="00CB6FAE" w:rsidP="00FF5EDF"/>
                </w:txbxContent>
              </v:textbox>
            </v:rect>
            <v:rect id="_x0000_s46348" style="position:absolute;left:6959;top:518;width:1225;height:764" stroked="f"/>
            <v:rect id="_x0000_s46349" style="position:absolute;left:7139;top:562;width:841;height:207;mso-wrap-style:none" filled="f" stroked="f">
              <v:textbox style="mso-next-textbox:#_x0000_s46349;mso-fit-shape-to-text:t" inset="0,0,0,0">
                <w:txbxContent>
                  <w:p w:rsidR="00CB6FAE" w:rsidRDefault="00CB6FAE" w:rsidP="00FF5EDF">
                    <w:r>
                      <w:rPr>
                        <w:rFonts w:ascii="Arial" w:hAnsi="Arial" w:cs="Arial"/>
                        <w:color w:val="000000"/>
                        <w:sz w:val="18"/>
                        <w:szCs w:val="18"/>
                      </w:rPr>
                      <w:t>Number of</w:t>
                    </w:r>
                  </w:p>
                </w:txbxContent>
              </v:textbox>
            </v:rect>
            <v:rect id="_x0000_s46350" style="position:absolute;left:7153;top:792;width:791;height:207;mso-wrap-style:none" filled="f" stroked="f">
              <v:textbox style="mso-next-textbox:#_x0000_s46350;mso-fit-shape-to-text:t" inset="0,0,0,0">
                <w:txbxContent>
                  <w:p w:rsidR="00CB6FAE" w:rsidRDefault="00CB6FAE" w:rsidP="00FF5EDF">
                    <w:r>
                      <w:rPr>
                        <w:rFonts w:ascii="Arial" w:hAnsi="Arial" w:cs="Arial"/>
                        <w:color w:val="000000"/>
                        <w:sz w:val="18"/>
                        <w:szCs w:val="18"/>
                      </w:rPr>
                      <w:t>sharehold</w:t>
                    </w:r>
                  </w:p>
                </w:txbxContent>
              </v:textbox>
            </v:rect>
            <v:rect id="_x0000_s46351" style="position:absolute;left:7384;top:1023;width:251;height:207;mso-wrap-style:none" filled="f" stroked="f">
              <v:textbox style="mso-next-textbox:#_x0000_s46351;mso-fit-shape-to-text:t" inset="0,0,0,0">
                <w:txbxContent>
                  <w:p w:rsidR="00CB6FAE" w:rsidRDefault="00CB6FAE" w:rsidP="00FF5EDF">
                    <w:r>
                      <w:rPr>
                        <w:rFonts w:ascii="Arial" w:hAnsi="Arial" w:cs="Arial"/>
                        <w:color w:val="000000"/>
                        <w:sz w:val="18"/>
                        <w:szCs w:val="18"/>
                      </w:rPr>
                      <w:t>ers</w:t>
                    </w:r>
                  </w:p>
                </w:txbxContent>
              </v:textbox>
            </v:rect>
            <v:rect id="_x0000_s46352" style="position:absolute;left:8155;top:518;width:1225;height:764" stroked="f"/>
            <v:rect id="_x0000_s46353" style="position:absolute;left:8335;top:792;width:841;height:207;mso-wrap-style:none" filled="f" stroked="f">
              <v:textbox style="mso-next-textbox:#_x0000_s46353;mso-fit-shape-to-text:t" inset="0,0,0,0">
                <w:txbxContent>
                  <w:p w:rsidR="00CB6FAE" w:rsidRDefault="00CB6FAE" w:rsidP="00FF5EDF">
                    <w:r>
                      <w:rPr>
                        <w:rFonts w:ascii="Arial" w:hAnsi="Arial" w:cs="Arial"/>
                        <w:color w:val="000000"/>
                        <w:sz w:val="18"/>
                        <w:szCs w:val="18"/>
                      </w:rPr>
                      <w:t>Number of</w:t>
                    </w:r>
                  </w:p>
                </w:txbxContent>
              </v:textbox>
            </v:rect>
            <v:rect id="_x0000_s46354" style="position:absolute;left:8321;top:1023;width:871;height:207;mso-wrap-style:none" filled="f" stroked="f">
              <v:textbox style="mso-next-textbox:#_x0000_s46354;mso-fit-shape-to-text:t" inset="0,0,0,0">
                <w:txbxContent>
                  <w:p w:rsidR="00CB6FAE" w:rsidRDefault="00CB6FAE" w:rsidP="00FF5EDF">
                    <w:r>
                      <w:rPr>
                        <w:rFonts w:ascii="Arial" w:hAnsi="Arial" w:cs="Arial"/>
                        <w:color w:val="000000"/>
                        <w:sz w:val="18"/>
                        <w:szCs w:val="18"/>
                      </w:rPr>
                      <w:t>employees</w:t>
                    </w:r>
                  </w:p>
                </w:txbxContent>
              </v:textbox>
            </v:rect>
            <v:line id="_x0000_s46355" style="position:absolute" from="1787,2347" to="9351,2348" strokeweight="39e-5mm"/>
            <v:line id="_x0000_s46356" style="position:absolute" from="1787,3442" to="9351,3443" strokeweight="39e-5mm"/>
            <v:line id="_x0000_s46357" style="position:absolute" from="144,2347" to="9351,2348" strokeweight="39e-5mm"/>
            <v:line id="_x0000_s46358" style="position:absolute" from="144,3442" to="9351,3443" strokeweight="39e-5mm"/>
            <v:line id="_x0000_s46359" style="position:absolute" from="4539,518" to="4540,4536" strokeweight="39e-5mm"/>
            <v:line id="_x0000_s46360" style="position:absolute" from="5850,518" to="5851,4536" strokeweight="39e-5mm"/>
            <v:line id="_x0000_s46361" style="position:absolute" from="6959,518" to="6960,4536" strokeweight="39e-5mm"/>
            <v:line id="_x0000_s46362" style="position:absolute" from="8155,518" to="8156,4536" strokeweight="39e-5mm"/>
            <v:rect id="_x0000_s46363" style="position:absolute;left:9120;top:504;width:15;height:4003" stroked="f"/>
            <v:rect id="_x0000_s46364" style="position:absolute;left:144;top:490;width:8991;height:43" stroked="f"/>
            <v:rect id="_x0000_s46365" style="position:absolute;width:9495;height:144" stroked="f"/>
            <v:rect id="_x0000_s46366" style="position:absolute;width:144;height:4680" stroked="f"/>
            <v:rect id="_x0000_s46367" style="position:absolute;left:9351;width:158;height:4680" stroked="f"/>
            <v:rect id="_x0000_s46368" style="position:absolute;top:4536;width:9495;height:158" stroked="f"/>
            <v:line id="_x0000_s46369" style="position:absolute" from="158,533" to="159,4522" strokeweight="81e-5mm"/>
            <v:line id="_x0000_s46370" style="position:absolute" from="9337,533" to="9338,4522" strokeweight="81e-5mm"/>
            <v:line id="_x0000_s46371" style="position:absolute" from="158,533" to="9337,534" strokeweight="81e-5mm"/>
            <v:line id="_x0000_s46372" style="position:absolute" from="158,4522" to="9337,4523" strokeweight="81e-5mm"/>
            <v:line id="_x0000_s46373" style="position:absolute" from="158,1267" to="9337,1268" strokeweight="81e-5mm"/>
            <v:line id="_x0000_s46374" style="position:absolute" from="3199,533" to="3200,4522" strokeweight="81e-5mm"/>
            <w10:wrap type="none"/>
            <w10:anchorlock/>
          </v:group>
        </w:pict>
      </w:r>
    </w:p>
    <w:p w:rsidR="00BF4515" w:rsidRPr="008573C5" w:rsidRDefault="00BF4515" w:rsidP="00D45B16">
      <w:pPr>
        <w:autoSpaceDE w:val="0"/>
        <w:autoSpaceDN w:val="0"/>
        <w:adjustRightInd w:val="0"/>
        <w:jc w:val="center"/>
        <w:rPr>
          <w:rFonts w:eastAsia="Calibri"/>
          <w:b/>
          <w:bCs/>
        </w:rPr>
      </w:pPr>
      <w:r w:rsidRPr="008573C5">
        <w:rPr>
          <w:rFonts w:eastAsia="Calibri"/>
          <w:b/>
          <w:bCs/>
        </w:rPr>
        <w:t>Source: Field Study (2009)</w:t>
      </w:r>
    </w:p>
    <w:p w:rsidR="00FF5EDF" w:rsidRPr="008573C5" w:rsidRDefault="00FF5EDF" w:rsidP="00D45B16">
      <w:pPr>
        <w:spacing w:line="480" w:lineRule="auto"/>
        <w:jc w:val="center"/>
      </w:pPr>
    </w:p>
    <w:p w:rsidR="00FF5EDF" w:rsidRPr="008573C5" w:rsidRDefault="00FF5EDF" w:rsidP="00D45B16">
      <w:pPr>
        <w:spacing w:line="480" w:lineRule="auto"/>
        <w:jc w:val="center"/>
      </w:pPr>
    </w:p>
    <w:p w:rsidR="00FF5EDF" w:rsidRPr="008573C5" w:rsidRDefault="00FB1D8E" w:rsidP="00D45B16">
      <w:pPr>
        <w:spacing w:line="480" w:lineRule="auto"/>
        <w:jc w:val="center"/>
        <w:rPr>
          <w:b/>
          <w:sz w:val="28"/>
          <w:szCs w:val="28"/>
        </w:rPr>
      </w:pPr>
      <w:r w:rsidRPr="008573C5">
        <w:rPr>
          <w:b/>
          <w:sz w:val="28"/>
          <w:szCs w:val="28"/>
        </w:rPr>
        <w:t>Figure 4.01</w:t>
      </w:r>
      <w:r w:rsidR="00FF5EDF" w:rsidRPr="008573C5">
        <w:rPr>
          <w:b/>
          <w:sz w:val="28"/>
          <w:szCs w:val="28"/>
        </w:rPr>
        <w:t>: Box plot of Composite Size variable by Sector</w:t>
      </w:r>
    </w:p>
    <w:p w:rsidR="00FF5EDF" w:rsidRPr="008573C5" w:rsidRDefault="006F1BDD" w:rsidP="00D45B16">
      <w:pPr>
        <w:autoSpaceDE w:val="0"/>
        <w:autoSpaceDN w:val="0"/>
        <w:adjustRightInd w:val="0"/>
        <w:jc w:val="center"/>
        <w:rPr>
          <w:rFonts w:ascii="System" w:eastAsia="Calibri" w:hAnsi="System" w:cs="System"/>
          <w:b/>
          <w:bCs/>
          <w:sz w:val="20"/>
          <w:szCs w:val="20"/>
        </w:rPr>
      </w:pPr>
      <w:r w:rsidRPr="008573C5">
        <w:rPr>
          <w:rFonts w:ascii="System" w:eastAsia="Calibri" w:hAnsi="System" w:cs="System"/>
          <w:b/>
          <w:noProof/>
          <w:sz w:val="20"/>
          <w:szCs w:val="20"/>
        </w:rPr>
        <w:drawing>
          <wp:inline distT="0" distB="0" distL="0" distR="0">
            <wp:extent cx="3453130" cy="2764790"/>
            <wp:effectExtent l="1905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3453130" cy="2764790"/>
                    </a:xfrm>
                    <a:prstGeom prst="rect">
                      <a:avLst/>
                    </a:prstGeom>
                    <a:noFill/>
                    <a:ln w="9525">
                      <a:noFill/>
                      <a:miter lim="800000"/>
                      <a:headEnd/>
                      <a:tailEnd/>
                    </a:ln>
                  </pic:spPr>
                </pic:pic>
              </a:graphicData>
            </a:graphic>
          </wp:inline>
        </w:drawing>
      </w:r>
    </w:p>
    <w:p w:rsidR="00FF5EDF" w:rsidRPr="008573C5" w:rsidRDefault="00FF5EDF" w:rsidP="00D45B16">
      <w:pPr>
        <w:autoSpaceDE w:val="0"/>
        <w:autoSpaceDN w:val="0"/>
        <w:adjustRightInd w:val="0"/>
        <w:rPr>
          <w:rFonts w:ascii="System" w:eastAsia="Calibri" w:hAnsi="System" w:cs="System"/>
          <w:b/>
          <w:bCs/>
          <w:sz w:val="20"/>
          <w:szCs w:val="20"/>
        </w:rPr>
      </w:pPr>
    </w:p>
    <w:p w:rsidR="00BF4515" w:rsidRPr="008573C5" w:rsidRDefault="00BF4515" w:rsidP="00D45B16">
      <w:pPr>
        <w:autoSpaceDE w:val="0"/>
        <w:autoSpaceDN w:val="0"/>
        <w:adjustRightInd w:val="0"/>
        <w:jc w:val="center"/>
        <w:rPr>
          <w:rFonts w:eastAsia="Calibri"/>
          <w:b/>
          <w:bCs/>
        </w:rPr>
      </w:pPr>
      <w:r w:rsidRPr="008573C5">
        <w:rPr>
          <w:rFonts w:eastAsia="Calibri"/>
          <w:b/>
          <w:bCs/>
        </w:rPr>
        <w:t>Source: Field Study (2009)</w:t>
      </w:r>
    </w:p>
    <w:p w:rsidR="00FF5EDF" w:rsidRPr="008573C5" w:rsidRDefault="00FF5EDF" w:rsidP="00BF4515">
      <w:pPr>
        <w:autoSpaceDE w:val="0"/>
        <w:autoSpaceDN w:val="0"/>
        <w:adjustRightInd w:val="0"/>
        <w:jc w:val="center"/>
        <w:rPr>
          <w:rFonts w:ascii="System" w:eastAsia="Calibri" w:hAnsi="System" w:cs="System"/>
          <w:b/>
          <w:bCs/>
          <w:sz w:val="20"/>
          <w:szCs w:val="20"/>
        </w:rPr>
      </w:pPr>
    </w:p>
    <w:p w:rsidR="00FF5EDF" w:rsidRPr="008573C5" w:rsidRDefault="00FF5EDF" w:rsidP="00FF5EDF">
      <w:pPr>
        <w:autoSpaceDE w:val="0"/>
        <w:autoSpaceDN w:val="0"/>
        <w:adjustRightInd w:val="0"/>
        <w:jc w:val="both"/>
        <w:rPr>
          <w:rFonts w:eastAsia="Calibri"/>
          <w:b/>
          <w:bCs/>
        </w:rPr>
      </w:pPr>
    </w:p>
    <w:p w:rsidR="00FF5EDF" w:rsidRPr="008573C5" w:rsidRDefault="00FF5EDF" w:rsidP="00FF5EDF">
      <w:pPr>
        <w:autoSpaceDE w:val="0"/>
        <w:autoSpaceDN w:val="0"/>
        <w:adjustRightInd w:val="0"/>
        <w:jc w:val="both"/>
        <w:rPr>
          <w:rFonts w:eastAsia="Calibri"/>
          <w:b/>
          <w:bCs/>
        </w:rPr>
      </w:pPr>
    </w:p>
    <w:p w:rsidR="00FF5EDF" w:rsidRPr="008573C5" w:rsidRDefault="002E11C4" w:rsidP="004A665C">
      <w:pPr>
        <w:autoSpaceDE w:val="0"/>
        <w:autoSpaceDN w:val="0"/>
        <w:adjustRightInd w:val="0"/>
        <w:spacing w:line="360" w:lineRule="auto"/>
        <w:jc w:val="both"/>
        <w:rPr>
          <w:rFonts w:eastAsia="Calibri"/>
          <w:b/>
          <w:bCs/>
        </w:rPr>
      </w:pPr>
      <w:r w:rsidRPr="008573C5">
        <w:rPr>
          <w:rFonts w:eastAsia="Calibri"/>
          <w:b/>
          <w:bCs/>
        </w:rPr>
        <w:t>4.1.2.1.</w:t>
      </w:r>
      <w:r w:rsidRPr="008573C5">
        <w:rPr>
          <w:rFonts w:eastAsia="Calibri"/>
          <w:b/>
          <w:bCs/>
        </w:rPr>
        <w:tab/>
      </w:r>
      <w:r w:rsidR="00FF5EDF" w:rsidRPr="008573C5">
        <w:rPr>
          <w:rFonts w:eastAsia="Calibri"/>
          <w:b/>
          <w:bCs/>
        </w:rPr>
        <w:t>Company Size</w:t>
      </w:r>
    </w:p>
    <w:p w:rsidR="00FF5EDF" w:rsidRPr="008573C5" w:rsidRDefault="00FF5EDF" w:rsidP="000A4921">
      <w:pPr>
        <w:spacing w:before="100" w:beforeAutospacing="1" w:after="100" w:afterAutospacing="1" w:line="360" w:lineRule="auto"/>
        <w:jc w:val="both"/>
      </w:pPr>
      <w:r w:rsidRPr="008573C5">
        <w:t>The company size is proxied by two variables: factor variable and log of total assets. The factor size variable is a composite of five variables, namely, total assets, turnover, shareholders fund, number of employees and number of shareholders. Table 4.</w:t>
      </w:r>
      <w:r w:rsidR="002651DE" w:rsidRPr="008573C5">
        <w:t>05</w:t>
      </w:r>
      <w:r w:rsidRPr="008573C5">
        <w:t xml:space="preserve"> presents the descriptive statistics of all the variables by sector (financial and non-financial), while Table 4.</w:t>
      </w:r>
      <w:r w:rsidR="002651DE" w:rsidRPr="008573C5">
        <w:t>06</w:t>
      </w:r>
      <w:r w:rsidRPr="008573C5">
        <w:t xml:space="preserve"> shows the industry analysis. Each of these variables var</w:t>
      </w:r>
      <w:r w:rsidR="004302CE">
        <w:t>ies</w:t>
      </w:r>
      <w:r w:rsidRPr="008573C5">
        <w:t xml:space="preserve"> greatly, the total assets ranged from N91million to N884billion, with a mean of N73billion. The turnover range</w:t>
      </w:r>
      <w:r w:rsidR="004302CE">
        <w:t>s</w:t>
      </w:r>
      <w:r w:rsidRPr="008573C5">
        <w:t xml:space="preserve"> between N79million to N209 billion, with a mean of N20 billion. The shareholder’s fund varie</w:t>
      </w:r>
      <w:r w:rsidR="004302CE">
        <w:t>s</w:t>
      </w:r>
      <w:r w:rsidRPr="008573C5">
        <w:t xml:space="preserve"> between N34million and N101 billion, with a mean of N13 billion. The </w:t>
      </w:r>
      <w:r w:rsidR="00E76B39" w:rsidRPr="008573C5">
        <w:t>n</w:t>
      </w:r>
      <w:r w:rsidR="004302CE">
        <w:t>umber of shareholders ranges</w:t>
      </w:r>
      <w:r w:rsidRPr="008573C5">
        <w:t xml:space="preserve"> between 739 and 321,809, while the number of employees range</w:t>
      </w:r>
      <w:r w:rsidR="004302CE">
        <w:t>s</w:t>
      </w:r>
      <w:r w:rsidRPr="008573C5">
        <w:t xml:space="preserve"> between 33 and 9389. Th</w:t>
      </w:r>
      <w:r w:rsidR="004302CE">
        <w:t>e non- financial sector features</w:t>
      </w:r>
      <w:r w:rsidRPr="008573C5">
        <w:t xml:space="preserve"> the minimum value for all the variables except for number of shareholders. On the average the financial sector is more buoyant than the non-financial sector, with a higher mean for all the variables. </w:t>
      </w:r>
    </w:p>
    <w:p w:rsidR="00FF5EDF" w:rsidRPr="008573C5" w:rsidRDefault="00FF5EDF" w:rsidP="004A665C">
      <w:pPr>
        <w:spacing w:before="100" w:beforeAutospacing="1" w:after="100" w:afterAutospacing="1" w:line="360" w:lineRule="auto"/>
        <w:jc w:val="both"/>
      </w:pPr>
      <w:r w:rsidRPr="008573C5">
        <w:t>Taking a keen view at the industry analysis presented in Table 4.</w:t>
      </w:r>
      <w:r w:rsidR="002651DE" w:rsidRPr="008573C5">
        <w:t>06</w:t>
      </w:r>
      <w:r w:rsidRPr="008573C5">
        <w:t xml:space="preserve"> below, it is seen that the Banking industry ha</w:t>
      </w:r>
      <w:r w:rsidR="004302CE">
        <w:t>s</w:t>
      </w:r>
      <w:r w:rsidRPr="008573C5">
        <w:t xml:space="preserve"> the highest average for total assets with a mean of N334billion, followed by Petroleum industry with a mean of N31billion and Food and Health industry with a mean of N26billion. For the turnover, the Petroleum industry t</w:t>
      </w:r>
      <w:r w:rsidR="004302CE">
        <w:t>akes</w:t>
      </w:r>
      <w:r w:rsidRPr="008573C5">
        <w:t xml:space="preserve"> the lead (N72 billion), followed by Food and Health (N34.3 billion) and Banking (N33.8 billion). For shareholder</w:t>
      </w:r>
      <w:r w:rsidR="004302CE">
        <w:t>’s fund the Banking industry has</w:t>
      </w:r>
      <w:r w:rsidRPr="008573C5">
        <w:t xml:space="preserve"> the highest average (43 billion), followed by Conglomerate (8 billion) and Building construction (7.7 billion). For the number of shareholders, the highest is Banking (149,178), followed by Petroleum (101,807), and Conglomerate (71,403). For the banking industry took the lead (3124), followed by Conglomerate (2300) and Food and Health</w:t>
      </w:r>
      <w:r w:rsidR="00E76B39" w:rsidRPr="008573C5">
        <w:t xml:space="preserve"> (1</w:t>
      </w:r>
      <w:r w:rsidRPr="008573C5">
        <w:t>675)</w:t>
      </w:r>
      <w:r w:rsidR="001056D9" w:rsidRPr="008573C5">
        <w:t>.</w:t>
      </w:r>
    </w:p>
    <w:p w:rsidR="00DF1A07" w:rsidRDefault="00DF1A07" w:rsidP="00DF1A07">
      <w:pPr>
        <w:spacing w:before="100" w:beforeAutospacing="1" w:after="100" w:afterAutospacing="1" w:line="360" w:lineRule="auto"/>
        <w:jc w:val="both"/>
      </w:pPr>
      <w:r w:rsidRPr="008573C5">
        <w:t>General</w:t>
      </w:r>
      <w:r w:rsidR="00193FED">
        <w:t>ly, the banking industry strives</w:t>
      </w:r>
      <w:r w:rsidRPr="008573C5">
        <w:t xml:space="preserve"> to be highest for most of the size variables. The solidity of this sector is attributable to the consolidation of the Nigerian banking industry in a bid to create a sound and more secure banking system that depositors </w:t>
      </w:r>
      <w:r w:rsidR="00193FED">
        <w:t>can trust. The size variables a</w:t>
      </w:r>
      <w:r w:rsidRPr="008573C5">
        <w:t>re generally positively skewed. In</w:t>
      </w:r>
      <w:r w:rsidR="00E76B39" w:rsidRPr="008573C5">
        <w:t xml:space="preserve"> order to mitigate the effect, factor analysis is</w:t>
      </w:r>
      <w:r w:rsidRPr="008573C5">
        <w:t xml:space="preserve"> utilized. A graphical view of the box-plot of the composite size variable against t</w:t>
      </w:r>
      <w:r w:rsidR="00C4785A" w:rsidRPr="008573C5">
        <w:t>he sector is as illustrated in F</w:t>
      </w:r>
      <w:r w:rsidRPr="008573C5">
        <w:t>igure 4.01 above. Companies 20</w:t>
      </w:r>
      <w:r w:rsidR="00C4785A" w:rsidRPr="008573C5">
        <w:t xml:space="preserve"> </w:t>
      </w:r>
      <w:r w:rsidRPr="008573C5">
        <w:t>(United Bank of Africa Plc.) and 21</w:t>
      </w:r>
      <w:r w:rsidR="00E76B39" w:rsidRPr="008573C5">
        <w:t xml:space="preserve"> </w:t>
      </w:r>
      <w:r w:rsidR="00193FED">
        <w:t>(Union Bank Plc.) feature</w:t>
      </w:r>
      <w:r w:rsidR="005E7FBD">
        <w:t>d</w:t>
      </w:r>
      <w:r w:rsidRPr="008573C5">
        <w:t xml:space="preserve"> as outliers</w:t>
      </w:r>
      <w:r w:rsidR="00193FED">
        <w:t xml:space="preserve"> for the financial sector, </w:t>
      </w:r>
      <w:r w:rsidRPr="008573C5">
        <w:t>while companies 24 (Nigerian Breweries Plc.) and 84</w:t>
      </w:r>
      <w:r w:rsidR="00E76B39" w:rsidRPr="008573C5">
        <w:t xml:space="preserve"> (</w:t>
      </w:r>
      <w:r w:rsidR="00193FED">
        <w:t>Oando Plc.)  feature</w:t>
      </w:r>
      <w:r w:rsidR="005E7FBD">
        <w:t>d</w:t>
      </w:r>
      <w:r w:rsidRPr="008573C5">
        <w:t xml:space="preserve"> as outliers for the non-financial sector.</w:t>
      </w:r>
    </w:p>
    <w:p w:rsidR="00521C15" w:rsidRPr="008573C5" w:rsidRDefault="00521C15" w:rsidP="00521C15">
      <w:pPr>
        <w:spacing w:line="480" w:lineRule="auto"/>
        <w:rPr>
          <w:b/>
        </w:rPr>
      </w:pPr>
      <w:r w:rsidRPr="008573C5">
        <w:rPr>
          <w:b/>
        </w:rPr>
        <w:t>4.1.2.2</w:t>
      </w:r>
      <w:r w:rsidRPr="008573C5">
        <w:rPr>
          <w:b/>
        </w:rPr>
        <w:tab/>
        <w:t>Profitability</w:t>
      </w:r>
    </w:p>
    <w:p w:rsidR="00521C15" w:rsidRPr="008573C5" w:rsidRDefault="00521C15" w:rsidP="00521C15">
      <w:pPr>
        <w:spacing w:line="360" w:lineRule="auto"/>
        <w:jc w:val="both"/>
        <w:rPr>
          <w:b/>
          <w:bCs/>
        </w:rPr>
      </w:pPr>
      <w:r w:rsidRPr="008573C5">
        <w:rPr>
          <w:bCs/>
        </w:rPr>
        <w:t>Table 4.07</w:t>
      </w:r>
      <w:r w:rsidR="00193FED">
        <w:rPr>
          <w:bCs/>
        </w:rPr>
        <w:t xml:space="preserve"> shows that profitability ranges</w:t>
      </w:r>
      <w:r w:rsidRPr="008573C5">
        <w:rPr>
          <w:bCs/>
        </w:rPr>
        <w:t xml:space="preserve"> from 0.0278 to 0.3384 for the </w:t>
      </w:r>
      <w:r w:rsidR="00193FED">
        <w:rPr>
          <w:bCs/>
        </w:rPr>
        <w:t>financial sector while it ranges</w:t>
      </w:r>
      <w:r w:rsidRPr="008573C5">
        <w:rPr>
          <w:bCs/>
        </w:rPr>
        <w:t xml:space="preserve"> from -2.1204 to 1.1027 for the non-financial sector, with an overall mean of 0.207083. According to Table 4.08, Petroleum industry recor</w:t>
      </w:r>
      <w:r w:rsidR="00193FED">
        <w:rPr>
          <w:bCs/>
        </w:rPr>
        <w:t>ds</w:t>
      </w:r>
      <w:r w:rsidRPr="008573C5">
        <w:rPr>
          <w:bCs/>
        </w:rPr>
        <w:t xml:space="preserve"> the highest profitability (return on equity) with a mean ratio of 0.5502, followed by building and Construction (0.351860), then by Food and Health (0.287708). The Agriculture industry is worst off with a mean of -0.631700, which implies that the average equity capital has been eroded. On scrutinizing the data critically it is obser</w:t>
      </w:r>
      <w:r w:rsidR="00193FED">
        <w:rPr>
          <w:bCs/>
        </w:rPr>
        <w:t>ved that Livestock feeds appear</w:t>
      </w:r>
      <w:r w:rsidRPr="008573C5">
        <w:rPr>
          <w:bCs/>
        </w:rPr>
        <w:t xml:space="preserve"> as an outlier in the box plot presented in Figure 4.02. It record</w:t>
      </w:r>
      <w:r w:rsidR="00193FED">
        <w:rPr>
          <w:bCs/>
        </w:rPr>
        <w:t>s</w:t>
      </w:r>
      <w:r w:rsidRPr="008573C5">
        <w:rPr>
          <w:bCs/>
        </w:rPr>
        <w:t xml:space="preserve"> an abnormal equity of N-343,406,000, with a return on equity of -2.1204. This implies that the entire equity of the Livestock feeds Plc. has been eroded. The high profitability ratio of the Petroleum marketing industry is attributable to the fact that petroleum is Nigeria’s main source of income, since the discovery of Oil in Nigeria in the early 1960’s. Unfortunately</w:t>
      </w:r>
      <w:r w:rsidR="00193FED">
        <w:rPr>
          <w:bCs/>
        </w:rPr>
        <w:t>, the</w:t>
      </w:r>
      <w:r w:rsidRPr="008573C5">
        <w:rPr>
          <w:bCs/>
        </w:rPr>
        <w:t xml:space="preserve"> agricultural sector which had been previously Nigeria’s main stay is now relegated and neglected. </w:t>
      </w:r>
    </w:p>
    <w:p w:rsidR="00521C15" w:rsidRPr="008573C5" w:rsidRDefault="00521C15" w:rsidP="00DF1A07">
      <w:pPr>
        <w:spacing w:before="100" w:beforeAutospacing="1" w:after="100" w:afterAutospacing="1" w:line="360" w:lineRule="auto"/>
        <w:jc w:val="both"/>
      </w:pPr>
    </w:p>
    <w:p w:rsidR="00FF5EDF" w:rsidRPr="008573C5" w:rsidRDefault="009664A4" w:rsidP="00FB1D8E">
      <w:pPr>
        <w:jc w:val="center"/>
        <w:rPr>
          <w:rFonts w:ascii="System" w:eastAsia="Calibri" w:hAnsi="System" w:cs="System"/>
          <w:b/>
          <w:bCs/>
        </w:rPr>
      </w:pPr>
      <w:r w:rsidRPr="008573C5">
        <w:rPr>
          <w:b/>
          <w:sz w:val="28"/>
          <w:szCs w:val="28"/>
        </w:rPr>
        <w:t>T</w:t>
      </w:r>
      <w:r w:rsidR="00FB1D8E" w:rsidRPr="008573C5">
        <w:rPr>
          <w:b/>
          <w:sz w:val="28"/>
          <w:szCs w:val="28"/>
        </w:rPr>
        <w:t>able 4.06</w:t>
      </w:r>
      <w:r w:rsidR="00FF5EDF" w:rsidRPr="008573C5">
        <w:rPr>
          <w:b/>
          <w:sz w:val="28"/>
          <w:szCs w:val="28"/>
        </w:rPr>
        <w:t>: Descriptive Statistics of Company Size by Industry</w:t>
      </w:r>
      <w:r w:rsidR="006E22C9" w:rsidRPr="006E22C9">
        <w:rPr>
          <w:b/>
          <w:sz w:val="28"/>
          <w:szCs w:val="28"/>
        </w:rPr>
      </w:r>
      <w:r w:rsidR="006E22C9">
        <w:rPr>
          <w:b/>
          <w:sz w:val="28"/>
          <w:szCs w:val="28"/>
        </w:rPr>
        <w:pict>
          <v:group id="_x0000_s62682" editas="canvas" style="width:500.2pt;height:602.2pt;mso-position-horizontal-relative:char;mso-position-vertical-relative:line" coordsize="10004,12044">
            <o:lock v:ext="edit" aspectratio="t"/>
            <v:shape id="_x0000_s62681" type="#_x0000_t75" style="position:absolute;width:10004;height:12044" o:preferrelative="f">
              <v:fill o:detectmouseclick="t"/>
              <v:path o:extrusionok="t" o:connecttype="none"/>
              <o:lock v:ext="edit" text="t"/>
            </v:shape>
            <v:group id="_x0000_s62883" style="position:absolute;left:126;top:126;width:9752;height:6458" coordorigin="126,126" coordsize="9752,6458">
              <v:rect id="_x0000_s62683" style="position:absolute;left:126;top:126;width:9752;height:393" stroked="f"/>
              <v:rect id="_x0000_s62684" style="position:absolute;left:4680;top:154;width:109;height:276;mso-wrap-style:none" filled="f" stroked="f">
                <v:textbox style="mso-next-textbox:#_x0000_s62684;mso-fit-shape-to-text:t" inset="0,0,0,0">
                  <w:txbxContent>
                    <w:p w:rsidR="00CB6FAE" w:rsidRDefault="00CB6FAE"/>
                  </w:txbxContent>
                </v:textbox>
              </v:rect>
              <v:rect id="_x0000_s62685" style="position:absolute;left:3265;top:1221;width:1471;height:295" stroked="f"/>
              <v:rect id="_x0000_s62686" style="position:absolute;left:3699;top:1249;width:951;height:207;mso-wrap-style:none" filled="f" stroked="f">
                <v:textbox style="mso-next-textbox:#_x0000_s62686;mso-fit-shape-to-text:t" inset="0,0,0,0">
                  <w:txbxContent>
                    <w:p w:rsidR="00CB6FAE" w:rsidRDefault="00CB6FAE">
                      <w:r>
                        <w:rPr>
                          <w:rFonts w:ascii="Arial" w:hAnsi="Arial" w:cs="Arial"/>
                          <w:color w:val="000000"/>
                          <w:sz w:val="18"/>
                          <w:szCs w:val="18"/>
                        </w:rPr>
                        <w:t>3746881.00</w:t>
                      </w:r>
                    </w:p>
                  </w:txbxContent>
                </v:textbox>
              </v:rect>
              <v:rect id="_x0000_s62687" style="position:absolute;left:4708;top:1221;width:1345;height:295" stroked="f"/>
              <v:rect id="_x0000_s62688" style="position:absolute;left:5016;top:1249;width:951;height:207;mso-wrap-style:none" filled="f" stroked="f">
                <v:textbox style="mso-next-textbox:#_x0000_s62688;mso-fit-shape-to-text:t" inset="0,0,0,0">
                  <w:txbxContent>
                    <w:p w:rsidR="00CB6FAE" w:rsidRDefault="00CB6FAE">
                      <w:r>
                        <w:rPr>
                          <w:rFonts w:ascii="Arial" w:hAnsi="Arial" w:cs="Arial"/>
                          <w:color w:val="000000"/>
                          <w:sz w:val="18"/>
                          <w:szCs w:val="18"/>
                        </w:rPr>
                        <w:t>1801849.00</w:t>
                      </w:r>
                    </w:p>
                  </w:txbxContent>
                </v:textbox>
              </v:rect>
              <v:rect id="_x0000_s62689" style="position:absolute;left:6025;top:1221;width:1359;height:295" stroked="f"/>
              <v:rect id="_x0000_s62690" style="position:absolute;left:6347;top:1249;width:951;height:207;mso-wrap-style:none" filled="f" stroked="f">
                <v:textbox style="mso-next-textbox:#_x0000_s62690;mso-fit-shape-to-text:t" inset="0,0,0,0">
                  <w:txbxContent>
                    <w:p w:rsidR="00CB6FAE" w:rsidRDefault="00CB6FAE">
                      <w:r>
                        <w:rPr>
                          <w:rFonts w:ascii="Arial" w:hAnsi="Arial" w:cs="Arial"/>
                          <w:color w:val="000000"/>
                          <w:sz w:val="18"/>
                          <w:szCs w:val="18"/>
                        </w:rPr>
                        <w:t>3354501.00</w:t>
                      </w:r>
                    </w:p>
                  </w:txbxContent>
                </v:textbox>
              </v:rect>
              <v:rect id="_x0000_s62691" style="position:absolute;left:7356;top:1221;width:1359;height:295" stroked="f"/>
              <v:rect id="_x0000_s62692" style="position:absolute;left:7931;top:1249;width:651;height:207;mso-wrap-style:none" filled="f" stroked="f">
                <v:textbox style="mso-next-textbox:#_x0000_s62692;mso-fit-shape-to-text:t" inset="0,0,0,0">
                  <w:txbxContent>
                    <w:p w:rsidR="00CB6FAE" w:rsidRDefault="00CB6FAE">
                      <w:r>
                        <w:rPr>
                          <w:rFonts w:ascii="Arial" w:hAnsi="Arial" w:cs="Arial"/>
                          <w:color w:val="000000"/>
                          <w:sz w:val="18"/>
                          <w:szCs w:val="18"/>
                        </w:rPr>
                        <w:t>9652.50</w:t>
                      </w:r>
                    </w:p>
                  </w:txbxContent>
                </v:textbox>
              </v:rect>
              <v:rect id="_x0000_s62693" style="position:absolute;left:8687;top:1221;width:1191;height:295" stroked="f"/>
              <v:rect id="_x0000_s62694" style="position:absolute;left:9178;top:1249;width:551;height:207;mso-wrap-style:none" filled="f" stroked="f">
                <v:textbox style="mso-next-textbox:#_x0000_s62694;mso-fit-shape-to-text:t" inset="0,0,0,0">
                  <w:txbxContent>
                    <w:p w:rsidR="00CB6FAE" w:rsidRDefault="00CB6FAE">
                      <w:r>
                        <w:rPr>
                          <w:rFonts w:ascii="Arial" w:hAnsi="Arial" w:cs="Arial"/>
                          <w:color w:val="000000"/>
                          <w:sz w:val="18"/>
                          <w:szCs w:val="18"/>
                        </w:rPr>
                        <w:t>552.67</w:t>
                      </w:r>
                    </w:p>
                  </w:txbxContent>
                </v:textbox>
              </v:rect>
              <v:rect id="_x0000_s62695" style="position:absolute;left:3265;top:1488;width:1471;height:295" stroked="f"/>
              <v:rect id="_x0000_s62696" style="position:absolute;left:3994;top:1516;width:601;height:207;mso-wrap-style:none" filled="f" stroked="f">
                <v:textbox style="mso-next-textbox:#_x0000_s62696;mso-fit-shape-to-text:t" inset="0,0,0,0">
                  <w:txbxContent>
                    <w:p w:rsidR="00CB6FAE" w:rsidRDefault="00CB6FAE">
                      <w:r>
                        <w:rPr>
                          <w:rFonts w:ascii="Arial" w:hAnsi="Arial" w:cs="Arial"/>
                          <w:color w:val="000000"/>
                          <w:sz w:val="18"/>
                          <w:szCs w:val="18"/>
                        </w:rPr>
                        <w:t>321737</w:t>
                      </w:r>
                    </w:p>
                  </w:txbxContent>
                </v:textbox>
              </v:rect>
              <v:rect id="_x0000_s62697" style="position:absolute;left:4708;top:1488;width:1345;height:295" stroked="f"/>
              <v:rect id="_x0000_s62698" style="position:absolute;left:5311;top:1516;width:601;height:207;mso-wrap-style:none" filled="f" stroked="f">
                <v:textbox style="mso-next-textbox:#_x0000_s62698;mso-fit-shape-to-text:t" inset="0,0,0,0">
                  <w:txbxContent>
                    <w:p w:rsidR="00CB6FAE" w:rsidRDefault="00CB6FAE">
                      <w:r>
                        <w:rPr>
                          <w:rFonts w:ascii="Arial" w:hAnsi="Arial" w:cs="Arial"/>
                          <w:color w:val="000000"/>
                          <w:sz w:val="18"/>
                          <w:szCs w:val="18"/>
                        </w:rPr>
                        <w:t>560018</w:t>
                      </w:r>
                    </w:p>
                  </w:txbxContent>
                </v:textbox>
              </v:rect>
              <v:rect id="_x0000_s62699" style="position:absolute;left:6025;top:1488;width:1359;height:295" stroked="f"/>
              <v:rect id="_x0000_s62700" style="position:absolute;left:6557;top:1516;width:701;height:207;mso-wrap-style:none" filled="f" stroked="f">
                <v:textbox style="mso-next-textbox:#_x0000_s62700;mso-fit-shape-to-text:t" inset="0,0,0,0">
                  <w:txbxContent>
                    <w:p w:rsidR="00CB6FAE" w:rsidRDefault="00CB6FAE">
                      <w:r>
                        <w:rPr>
                          <w:rFonts w:ascii="Arial" w:hAnsi="Arial" w:cs="Arial"/>
                          <w:color w:val="000000"/>
                          <w:sz w:val="18"/>
                          <w:szCs w:val="18"/>
                        </w:rPr>
                        <w:t>2155681</w:t>
                      </w:r>
                    </w:p>
                  </w:txbxContent>
                </v:textbox>
              </v:rect>
              <v:rect id="_x0000_s62701" style="position:absolute;left:7356;top:1488;width:1359;height:295" stroked="f"/>
              <v:rect id="_x0000_s62702" style="position:absolute;left:8141;top:1516;width:401;height:207;mso-wrap-style:none" filled="f" stroked="f">
                <v:textbox style="mso-next-textbox:#_x0000_s62702;mso-fit-shape-to-text:t" inset="0,0,0,0">
                  <w:txbxContent>
                    <w:p w:rsidR="00CB6FAE" w:rsidRDefault="00CB6FAE">
                      <w:r>
                        <w:rPr>
                          <w:rFonts w:ascii="Arial" w:hAnsi="Arial" w:cs="Arial"/>
                          <w:color w:val="000000"/>
                          <w:sz w:val="18"/>
                          <w:szCs w:val="18"/>
                        </w:rPr>
                        <w:t>6723</w:t>
                      </w:r>
                    </w:p>
                  </w:txbxContent>
                </v:textbox>
              </v:rect>
              <v:rect id="_x0000_s62703" style="position:absolute;left:8687;top:1488;width:1191;height:295" stroked="f"/>
              <v:rect id="_x0000_s62704" style="position:absolute;left:9472;top:1516;width:201;height:207;mso-wrap-style:none" filled="f" stroked="f">
                <v:textbox style="mso-next-textbox:#_x0000_s62704;mso-fit-shape-to-text:t" inset="0,0,0,0">
                  <w:txbxContent>
                    <w:p w:rsidR="00CB6FAE" w:rsidRDefault="00CB6FAE">
                      <w:r>
                        <w:rPr>
                          <w:rFonts w:ascii="Arial" w:hAnsi="Arial" w:cs="Arial"/>
                          <w:color w:val="000000"/>
                          <w:sz w:val="18"/>
                          <w:szCs w:val="18"/>
                        </w:rPr>
                        <w:t>73</w:t>
                      </w:r>
                    </w:p>
                  </w:txbxContent>
                </v:textbox>
              </v:rect>
              <v:rect id="_x0000_s62705" style="position:absolute;left:3265;top:1755;width:1471;height:294" stroked="f"/>
              <v:rect id="_x0000_s62706" style="position:absolute;left:3909;top:1783;width:701;height:207;mso-wrap-style:none" filled="f" stroked="f">
                <v:textbox style="mso-next-textbox:#_x0000_s62706;mso-fit-shape-to-text:t" inset="0,0,0,0">
                  <w:txbxContent>
                    <w:p w:rsidR="00CB6FAE" w:rsidRDefault="00CB6FAE">
                      <w:r>
                        <w:rPr>
                          <w:rFonts w:ascii="Arial" w:hAnsi="Arial" w:cs="Arial"/>
                          <w:color w:val="000000"/>
                          <w:sz w:val="18"/>
                          <w:szCs w:val="18"/>
                        </w:rPr>
                        <w:t>6425205</w:t>
                      </w:r>
                    </w:p>
                  </w:txbxContent>
                </v:textbox>
              </v:rect>
              <v:rect id="_x0000_s62707" style="position:absolute;left:4708;top:1755;width:1345;height:294" stroked="f"/>
              <v:rect id="_x0000_s62708" style="position:absolute;left:5226;top:1783;width:701;height:207;mso-wrap-style:none" filled="f" stroked="f">
                <v:textbox style="mso-next-textbox:#_x0000_s62708;mso-fit-shape-to-text:t" inset="0,0,0,0">
                  <w:txbxContent>
                    <w:p w:rsidR="00CB6FAE" w:rsidRDefault="00CB6FAE">
                      <w:r>
                        <w:rPr>
                          <w:rFonts w:ascii="Arial" w:hAnsi="Arial" w:cs="Arial"/>
                          <w:color w:val="000000"/>
                          <w:sz w:val="18"/>
                          <w:szCs w:val="18"/>
                        </w:rPr>
                        <w:t>2740784</w:t>
                      </w:r>
                    </w:p>
                  </w:txbxContent>
                </v:textbox>
              </v:rect>
              <v:rect id="_x0000_s62709" style="position:absolute;left:6025;top:1755;width:1359;height:294" stroked="f"/>
              <v:rect id="_x0000_s62710" style="position:absolute;left:6557;top:1783;width:701;height:207;mso-wrap-style:none" filled="f" stroked="f">
                <v:textbox style="mso-next-textbox:#_x0000_s62710;mso-fit-shape-to-text:t" inset="0,0,0,0">
                  <w:txbxContent>
                    <w:p w:rsidR="00CB6FAE" w:rsidRDefault="00CB6FAE">
                      <w:r>
                        <w:rPr>
                          <w:rFonts w:ascii="Arial" w:hAnsi="Arial" w:cs="Arial"/>
                          <w:color w:val="000000"/>
                          <w:sz w:val="18"/>
                          <w:szCs w:val="18"/>
                        </w:rPr>
                        <w:t>4553321</w:t>
                      </w:r>
                    </w:p>
                  </w:txbxContent>
                </v:textbox>
              </v:rect>
              <v:rect id="_x0000_s62711" style="position:absolute;left:7356;top:1755;width:1359;height:294" stroked="f"/>
              <v:rect id="_x0000_s62712" style="position:absolute;left:8057;top:1783;width:501;height:207;mso-wrap-style:none" filled="f" stroked="f">
                <v:textbox style="mso-next-textbox:#_x0000_s62712;mso-fit-shape-to-text:t" inset="0,0,0,0">
                  <w:txbxContent>
                    <w:p w:rsidR="00CB6FAE" w:rsidRDefault="00CB6FAE">
                      <w:r>
                        <w:rPr>
                          <w:rFonts w:ascii="Arial" w:hAnsi="Arial" w:cs="Arial"/>
                          <w:color w:val="000000"/>
                          <w:sz w:val="18"/>
                          <w:szCs w:val="18"/>
                        </w:rPr>
                        <w:t>12582</w:t>
                      </w:r>
                    </w:p>
                  </w:txbxContent>
                </v:textbox>
              </v:rect>
              <v:rect id="_x0000_s62713" style="position:absolute;left:8687;top:1755;width:1191;height:294" stroked="f"/>
              <v:rect id="_x0000_s62714" style="position:absolute;left:9304;top:1783;width:401;height:207;mso-wrap-style:none" filled="f" stroked="f">
                <v:textbox style="mso-next-textbox:#_x0000_s62714;mso-fit-shape-to-text:t" inset="0,0,0,0">
                  <w:txbxContent>
                    <w:p w:rsidR="00CB6FAE" w:rsidRDefault="00CB6FAE">
                      <w:r>
                        <w:rPr>
                          <w:rFonts w:ascii="Arial" w:hAnsi="Arial" w:cs="Arial"/>
                          <w:color w:val="000000"/>
                          <w:sz w:val="18"/>
                          <w:szCs w:val="18"/>
                        </w:rPr>
                        <w:t>1214</w:t>
                      </w:r>
                    </w:p>
                  </w:txbxContent>
                </v:textbox>
              </v:rect>
              <v:rect id="_x0000_s62715" style="position:absolute;left:3265;top:2021;width:1471;height:295" stroked="f"/>
              <v:rect id="_x0000_s62716" style="position:absolute;left:3699;top:2049;width:951;height:207;mso-wrap-style:none" filled="f" stroked="f">
                <v:textbox style="mso-next-textbox:#_x0000_s62716;mso-fit-shape-to-text:t" inset="0,0,0,0">
                  <w:txbxContent>
                    <w:p w:rsidR="00CB6FAE" w:rsidRDefault="00CB6FAE">
                      <w:r>
                        <w:rPr>
                          <w:rFonts w:ascii="Arial" w:hAnsi="Arial" w:cs="Arial"/>
                          <w:color w:val="000000"/>
                          <w:sz w:val="18"/>
                          <w:szCs w:val="18"/>
                        </w:rPr>
                        <w:t>3119516.87</w:t>
                      </w:r>
                    </w:p>
                  </w:txbxContent>
                </v:textbox>
              </v:rect>
              <v:rect id="_x0000_s62717" style="position:absolute;left:4708;top:2021;width:1345;height:295" stroked="f"/>
              <v:rect id="_x0000_s62718" style="position:absolute;left:5016;top:2049;width:951;height:207;mso-wrap-style:none" filled="f" stroked="f">
                <v:textbox style="mso-next-textbox:#_x0000_s62718;mso-fit-shape-to-text:t" inset="0,0,0,0">
                  <w:txbxContent>
                    <w:p w:rsidR="00CB6FAE" w:rsidRDefault="00CB6FAE">
                      <w:r>
                        <w:rPr>
                          <w:rFonts w:ascii="Arial" w:hAnsi="Arial" w:cs="Arial"/>
                          <w:color w:val="000000"/>
                          <w:sz w:val="18"/>
                          <w:szCs w:val="18"/>
                        </w:rPr>
                        <w:t>1121492.12</w:t>
                      </w:r>
                    </w:p>
                  </w:txbxContent>
                </v:textbox>
              </v:rect>
              <v:rect id="_x0000_s62719" style="position:absolute;left:6025;top:2021;width:1359;height:295" stroked="f"/>
              <v:rect id="_x0000_s62720" style="position:absolute;left:6347;top:2049;width:951;height:207;mso-wrap-style:none" filled="f" stroked="f">
                <v:textbox style="mso-next-textbox:#_x0000_s62720;mso-fit-shape-to-text:t" inset="0,0,0,0">
                  <w:txbxContent>
                    <w:p w:rsidR="00CB6FAE" w:rsidRDefault="00CB6FAE">
                      <w:r>
                        <w:rPr>
                          <w:rFonts w:ascii="Arial" w:hAnsi="Arial" w:cs="Arial"/>
                          <w:color w:val="000000"/>
                          <w:sz w:val="18"/>
                          <w:szCs w:val="18"/>
                        </w:rPr>
                        <w:t>1695387.50</w:t>
                      </w:r>
                    </w:p>
                  </w:txbxContent>
                </v:textbox>
              </v:rect>
              <v:rect id="_x0000_s62721" style="position:absolute;left:7356;top:2021;width:1359;height:295" stroked="f"/>
              <v:rect id="_x0000_s62722" style="position:absolute;left:7931;top:2049;width:651;height:207;mso-wrap-style:none" filled="f" stroked="f">
                <v:textbox style="mso-next-textbox:#_x0000_s62722;mso-fit-shape-to-text:t" inset="0,0,0,0">
                  <w:txbxContent>
                    <w:p w:rsidR="00CB6FAE" w:rsidRDefault="00CB6FAE">
                      <w:r>
                        <w:rPr>
                          <w:rFonts w:ascii="Arial" w:hAnsi="Arial" w:cs="Arial"/>
                          <w:color w:val="000000"/>
                          <w:sz w:val="18"/>
                          <w:szCs w:val="18"/>
                        </w:rPr>
                        <w:t>4142.94</w:t>
                      </w:r>
                    </w:p>
                  </w:txbxContent>
                </v:textbox>
              </v:rect>
              <v:rect id="_x0000_s62723" style="position:absolute;left:8687;top:2021;width:1191;height:295" stroked="f"/>
              <v:rect id="_x0000_s62724" style="position:absolute;left:9178;top:2049;width:551;height:207;mso-wrap-style:none" filled="f" stroked="f">
                <v:textbox style="mso-next-textbox:#_x0000_s62724;mso-fit-shape-to-text:t" inset="0,0,0,0">
                  <w:txbxContent>
                    <w:p w:rsidR="00CB6FAE" w:rsidRDefault="00CB6FAE">
                      <w:r>
                        <w:rPr>
                          <w:rFonts w:ascii="Arial" w:hAnsi="Arial" w:cs="Arial"/>
                          <w:color w:val="000000"/>
                          <w:sz w:val="18"/>
                          <w:szCs w:val="18"/>
                        </w:rPr>
                        <w:t>591.80</w:t>
                      </w:r>
                    </w:p>
                  </w:txbxContent>
                </v:textbox>
              </v:rect>
              <v:rect id="_x0000_s62725" style="position:absolute;left:3265;top:2288;width:1471;height:295" stroked="f"/>
              <v:rect id="_x0000_s62726" style="position:absolute;left:3699;top:2316;width:951;height:207;mso-wrap-style:none" filled="f" stroked="f">
                <v:textbox style="mso-next-textbox:#_x0000_s62726;mso-fit-shape-to-text:t" inset="0,0,0,0">
                  <w:txbxContent>
                    <w:p w:rsidR="00CB6FAE" w:rsidRDefault="00CB6FAE">
                      <w:r>
                        <w:rPr>
                          <w:rFonts w:ascii="Arial" w:hAnsi="Arial" w:cs="Arial"/>
                          <w:color w:val="000000"/>
                          <w:sz w:val="18"/>
                          <w:szCs w:val="18"/>
                        </w:rPr>
                        <w:t>4996838.80</w:t>
                      </w:r>
                    </w:p>
                  </w:txbxContent>
                </v:textbox>
              </v:rect>
              <v:rect id="_x0000_s62727" style="position:absolute;left:4708;top:2288;width:1345;height:295" stroked="f"/>
              <v:rect id="_x0000_s62728" style="position:absolute;left:5016;top:2316;width:951;height:207;mso-wrap-style:none" filled="f" stroked="f">
                <v:textbox style="mso-next-textbox:#_x0000_s62728;mso-fit-shape-to-text:t" inset="0,0,0,0">
                  <w:txbxContent>
                    <w:p w:rsidR="00CB6FAE" w:rsidRDefault="00CB6FAE">
                      <w:r>
                        <w:rPr>
                          <w:rFonts w:ascii="Arial" w:hAnsi="Arial" w:cs="Arial"/>
                          <w:color w:val="000000"/>
                          <w:sz w:val="18"/>
                          <w:szCs w:val="18"/>
                        </w:rPr>
                        <w:t>4998878.27</w:t>
                      </w:r>
                    </w:p>
                  </w:txbxContent>
                </v:textbox>
              </v:rect>
              <v:rect id="_x0000_s62729" style="position:absolute;left:6025;top:2288;width:1359;height:295" stroked="f"/>
              <v:rect id="_x0000_s62730" style="position:absolute;left:6347;top:2316;width:951;height:207;mso-wrap-style:none" filled="f" stroked="f">
                <v:textbox style="mso-next-textbox:#_x0000_s62730;mso-fit-shape-to-text:t" inset="0,0,0,0">
                  <w:txbxContent>
                    <w:p w:rsidR="00CB6FAE" w:rsidRDefault="00CB6FAE">
                      <w:r>
                        <w:rPr>
                          <w:rFonts w:ascii="Arial" w:hAnsi="Arial" w:cs="Arial"/>
                          <w:color w:val="000000"/>
                          <w:sz w:val="18"/>
                          <w:szCs w:val="18"/>
                        </w:rPr>
                        <w:t>2005026.33</w:t>
                      </w:r>
                    </w:p>
                  </w:txbxContent>
                </v:textbox>
              </v:rect>
              <v:rect id="_x0000_s62731" style="position:absolute;left:7356;top:2288;width:1359;height:295" stroked="f"/>
              <v:rect id="_x0000_s62732" style="position:absolute;left:7846;top:2316;width:751;height:207;mso-wrap-style:none" filled="f" stroked="f">
                <v:textbox style="mso-next-textbox:#_x0000_s62732;mso-fit-shape-to-text:t" inset="0,0,0,0">
                  <w:txbxContent>
                    <w:p w:rsidR="00CB6FAE" w:rsidRDefault="00CB6FAE">
                      <w:r>
                        <w:rPr>
                          <w:rFonts w:ascii="Arial" w:hAnsi="Arial" w:cs="Arial"/>
                          <w:color w:val="000000"/>
                          <w:sz w:val="18"/>
                          <w:szCs w:val="18"/>
                        </w:rPr>
                        <w:t>20763.70</w:t>
                      </w:r>
                    </w:p>
                  </w:txbxContent>
                </v:textbox>
              </v:rect>
              <v:rect id="_x0000_s62733" style="position:absolute;left:8687;top:2288;width:1191;height:295" stroked="f"/>
              <v:rect id="_x0000_s62734" style="position:absolute;left:9178;top:2316;width:551;height:207;mso-wrap-style:none" filled="f" stroked="f">
                <v:textbox style="mso-next-textbox:#_x0000_s62734;mso-fit-shape-to-text:t" inset="0,0,0,0">
                  <w:txbxContent>
                    <w:p w:rsidR="00CB6FAE" w:rsidRDefault="00CB6FAE">
                      <w:r>
                        <w:rPr>
                          <w:rFonts w:ascii="Arial" w:hAnsi="Arial" w:cs="Arial"/>
                          <w:color w:val="000000"/>
                          <w:sz w:val="18"/>
                          <w:szCs w:val="18"/>
                        </w:rPr>
                        <w:t>981.53</w:t>
                      </w:r>
                    </w:p>
                  </w:txbxContent>
                </v:textbox>
              </v:rect>
              <v:rect id="_x0000_s62735" style="position:absolute;left:3265;top:2555;width:1471;height:295" stroked="f"/>
              <v:rect id="_x0000_s62736" style="position:absolute;left:3994;top:2583;width:601;height:207;mso-wrap-style:none" filled="f" stroked="f">
                <v:textbox style="mso-next-textbox:#_x0000_s62736;mso-fit-shape-to-text:t" inset="0,0,0,0">
                  <w:txbxContent>
                    <w:p w:rsidR="00CB6FAE" w:rsidRDefault="00CB6FAE">
                      <w:r>
                        <w:rPr>
                          <w:rFonts w:ascii="Arial" w:hAnsi="Arial" w:cs="Arial"/>
                          <w:color w:val="000000"/>
                          <w:sz w:val="18"/>
                          <w:szCs w:val="18"/>
                        </w:rPr>
                        <w:t>356909</w:t>
                      </w:r>
                    </w:p>
                  </w:txbxContent>
                </v:textbox>
              </v:rect>
              <v:rect id="_x0000_s62737" style="position:absolute;left:4708;top:2555;width:1345;height:295" stroked="f"/>
              <v:rect id="_x0000_s62738" style="position:absolute;left:5311;top:2583;width:601;height:207;mso-wrap-style:none" filled="f" stroked="f">
                <v:textbox style="mso-next-textbox:#_x0000_s62738;mso-fit-shape-to-text:t" inset="0,0,0,0">
                  <w:txbxContent>
                    <w:p w:rsidR="00CB6FAE" w:rsidRDefault="00CB6FAE">
                      <w:r>
                        <w:rPr>
                          <w:rFonts w:ascii="Arial" w:hAnsi="Arial" w:cs="Arial"/>
                          <w:color w:val="000000"/>
                          <w:sz w:val="18"/>
                          <w:szCs w:val="18"/>
                        </w:rPr>
                        <w:t>592093</w:t>
                      </w:r>
                    </w:p>
                  </w:txbxContent>
                </v:textbox>
              </v:rect>
              <v:rect id="_x0000_s62739" style="position:absolute;left:6025;top:2555;width:1359;height:295" stroked="f"/>
              <v:rect id="_x0000_s62740" style="position:absolute;left:6726;top:2583;width:501;height:207;mso-wrap-style:none" filled="f" stroked="f">
                <v:textbox style="mso-next-textbox:#_x0000_s62740;mso-fit-shape-to-text:t" inset="0,0,0,0">
                  <w:txbxContent>
                    <w:p w:rsidR="00CB6FAE" w:rsidRDefault="00CB6FAE">
                      <w:r>
                        <w:rPr>
                          <w:rFonts w:ascii="Arial" w:hAnsi="Arial" w:cs="Arial"/>
                          <w:color w:val="000000"/>
                          <w:sz w:val="18"/>
                          <w:szCs w:val="18"/>
                        </w:rPr>
                        <w:t>34519</w:t>
                      </w:r>
                    </w:p>
                  </w:txbxContent>
                </v:textbox>
              </v:rect>
              <v:rect id="_x0000_s62741" style="position:absolute;left:7356;top:2555;width:1359;height:295" stroked="f"/>
              <v:rect id="_x0000_s62742" style="position:absolute;left:8141;top:2583;width:401;height:207;mso-wrap-style:none" filled="f" stroked="f">
                <v:textbox style="mso-next-textbox:#_x0000_s62742;mso-fit-shape-to-text:t" inset="0,0,0,0">
                  <w:txbxContent>
                    <w:p w:rsidR="00CB6FAE" w:rsidRDefault="00CB6FAE">
                      <w:r>
                        <w:rPr>
                          <w:rFonts w:ascii="Arial" w:hAnsi="Arial" w:cs="Arial"/>
                          <w:color w:val="000000"/>
                          <w:sz w:val="18"/>
                          <w:szCs w:val="18"/>
                        </w:rPr>
                        <w:t>3175</w:t>
                      </w:r>
                    </w:p>
                  </w:txbxContent>
                </v:textbox>
              </v:rect>
              <v:rect id="_x0000_s62743" style="position:absolute;left:8687;top:2555;width:1191;height:295" stroked="f"/>
              <v:rect id="_x0000_s62744" style="position:absolute;left:9472;top:2583;width:201;height:207;mso-wrap-style:none" filled="f" stroked="f">
                <v:textbox style="mso-next-textbox:#_x0000_s62744;mso-fit-shape-to-text:t" inset="0,0,0,0">
                  <w:txbxContent>
                    <w:p w:rsidR="00CB6FAE" w:rsidRDefault="00CB6FAE">
                      <w:r>
                        <w:rPr>
                          <w:rFonts w:ascii="Arial" w:hAnsi="Arial" w:cs="Arial"/>
                          <w:color w:val="000000"/>
                          <w:sz w:val="18"/>
                          <w:szCs w:val="18"/>
                        </w:rPr>
                        <w:t>52</w:t>
                      </w:r>
                    </w:p>
                  </w:txbxContent>
                </v:textbox>
              </v:rect>
              <v:rect id="_x0000_s62745" style="position:absolute;left:3265;top:2822;width:1471;height:294" stroked="f"/>
              <v:rect id="_x0000_s62746" style="position:absolute;left:3825;top:2850;width:801;height:207;mso-wrap-style:none" filled="f" stroked="f">
                <v:textbox style="mso-next-textbox:#_x0000_s62746;mso-fit-shape-to-text:t" inset="0,0,0,0">
                  <w:txbxContent>
                    <w:p w:rsidR="00CB6FAE" w:rsidRDefault="00CB6FAE">
                      <w:r>
                        <w:rPr>
                          <w:rFonts w:ascii="Arial" w:hAnsi="Arial" w:cs="Arial"/>
                          <w:color w:val="000000"/>
                          <w:sz w:val="18"/>
                          <w:szCs w:val="18"/>
                        </w:rPr>
                        <w:t>19502326</w:t>
                      </w:r>
                    </w:p>
                  </w:txbxContent>
                </v:textbox>
              </v:rect>
              <v:rect id="_x0000_s62747" style="position:absolute;left:4708;top:2822;width:1345;height:294" stroked="f"/>
              <v:rect id="_x0000_s62748" style="position:absolute;left:5142;top:2850;width:801;height:207;mso-wrap-style:none" filled="f" stroked="f">
                <v:textbox style="mso-next-textbox:#_x0000_s62748;mso-fit-shape-to-text:t" inset="0,0,0,0">
                  <w:txbxContent>
                    <w:p w:rsidR="00CB6FAE" w:rsidRDefault="00CB6FAE">
                      <w:r>
                        <w:rPr>
                          <w:rFonts w:ascii="Arial" w:hAnsi="Arial" w:cs="Arial"/>
                          <w:color w:val="000000"/>
                          <w:sz w:val="18"/>
                          <w:szCs w:val="18"/>
                        </w:rPr>
                        <w:t>19993483</w:t>
                      </w:r>
                    </w:p>
                  </w:txbxContent>
                </v:textbox>
              </v:rect>
              <v:rect id="_x0000_s62749" style="position:absolute;left:6025;top:2822;width:1359;height:294" stroked="f"/>
              <v:rect id="_x0000_s62750" style="position:absolute;left:6557;top:2850;width:701;height:207;mso-wrap-style:none" filled="f" stroked="f">
                <v:textbox style="mso-next-textbox:#_x0000_s62750;mso-fit-shape-to-text:t" inset="0,0,0,0">
                  <w:txbxContent>
                    <w:p w:rsidR="00CB6FAE" w:rsidRDefault="00CB6FAE">
                      <w:r>
                        <w:rPr>
                          <w:rFonts w:ascii="Arial" w:hAnsi="Arial" w:cs="Arial"/>
                          <w:color w:val="000000"/>
                          <w:sz w:val="18"/>
                          <w:szCs w:val="18"/>
                        </w:rPr>
                        <w:t>9016410</w:t>
                      </w:r>
                    </w:p>
                  </w:txbxContent>
                </v:textbox>
              </v:rect>
              <v:rect id="_x0000_s62751" style="position:absolute;left:7356;top:2822;width:1359;height:294" stroked="f"/>
              <v:rect id="_x0000_s62752" style="position:absolute;left:8057;top:2850;width:501;height:207;mso-wrap-style:none" filled="f" stroked="f">
                <v:textbox style="mso-next-textbox:#_x0000_s62752;mso-fit-shape-to-text:t" inset="0,0,0,0">
                  <w:txbxContent>
                    <w:p w:rsidR="00CB6FAE" w:rsidRDefault="00CB6FAE">
                      <w:r>
                        <w:rPr>
                          <w:rFonts w:ascii="Arial" w:hAnsi="Arial" w:cs="Arial"/>
                          <w:color w:val="000000"/>
                          <w:sz w:val="18"/>
                          <w:szCs w:val="18"/>
                        </w:rPr>
                        <w:t>93653</w:t>
                      </w:r>
                    </w:p>
                  </w:txbxContent>
                </v:textbox>
              </v:rect>
              <v:rect id="_x0000_s62753" style="position:absolute;left:8687;top:2822;width:1191;height:294" stroked="f"/>
              <v:rect id="_x0000_s62754" style="position:absolute;left:9304;top:2850;width:401;height:207;mso-wrap-style:none" filled="f" stroked="f">
                <v:textbox style="mso-next-textbox:#_x0000_s62754;mso-fit-shape-to-text:t" inset="0,0,0,0">
                  <w:txbxContent>
                    <w:p w:rsidR="00CB6FAE" w:rsidRDefault="00CB6FAE">
                      <w:r>
                        <w:rPr>
                          <w:rFonts w:ascii="Arial" w:hAnsi="Arial" w:cs="Arial"/>
                          <w:color w:val="000000"/>
                          <w:sz w:val="18"/>
                          <w:szCs w:val="18"/>
                        </w:rPr>
                        <w:t>9389</w:t>
                      </w:r>
                    </w:p>
                  </w:txbxContent>
                </v:textbox>
              </v:rect>
              <v:rect id="_x0000_s62755" style="position:absolute;left:3265;top:3088;width:1471;height:295" stroked="f"/>
              <v:rect id="_x0000_s62756" style="position:absolute;left:3699;top:3116;width:951;height:207;mso-wrap-style:none" filled="f" stroked="f">
                <v:textbox style="mso-next-textbox:#_x0000_s62756;mso-fit-shape-to-text:t" inset="0,0,0,0">
                  <w:txbxContent>
                    <w:p w:rsidR="00CB6FAE" w:rsidRDefault="00CB6FAE">
                      <w:r>
                        <w:rPr>
                          <w:rFonts w:ascii="Arial" w:hAnsi="Arial" w:cs="Arial"/>
                          <w:color w:val="000000"/>
                          <w:sz w:val="18"/>
                          <w:szCs w:val="18"/>
                        </w:rPr>
                        <w:t>6196649.82</w:t>
                      </w:r>
                    </w:p>
                  </w:txbxContent>
                </v:textbox>
              </v:rect>
              <v:rect id="_x0000_s62757" style="position:absolute;left:4708;top:3088;width:1345;height:295" stroked="f"/>
              <v:rect id="_x0000_s62758" style="position:absolute;left:5016;top:3116;width:951;height:207;mso-wrap-style:none" filled="f" stroked="f">
                <v:textbox style="mso-next-textbox:#_x0000_s62758;mso-fit-shape-to-text:t" inset="0,0,0,0">
                  <w:txbxContent>
                    <w:p w:rsidR="00CB6FAE" w:rsidRDefault="00CB6FAE">
                      <w:r>
                        <w:rPr>
                          <w:rFonts w:ascii="Arial" w:hAnsi="Arial" w:cs="Arial"/>
                          <w:color w:val="000000"/>
                          <w:sz w:val="18"/>
                          <w:szCs w:val="18"/>
                        </w:rPr>
                        <w:t>5483893.35</w:t>
                      </w:r>
                    </w:p>
                  </w:txbxContent>
                </v:textbox>
              </v:rect>
              <v:rect id="_x0000_s62759" style="position:absolute;left:6025;top:3088;width:1359;height:295" stroked="f"/>
              <v:rect id="_x0000_s62760" style="position:absolute;left:6347;top:3116;width:951;height:207;mso-wrap-style:none" filled="f" stroked="f">
                <v:textbox style="mso-next-textbox:#_x0000_s62760;mso-fit-shape-to-text:t" inset="0,0,0,0">
                  <w:txbxContent>
                    <w:p w:rsidR="00CB6FAE" w:rsidRDefault="00CB6FAE">
                      <w:r>
                        <w:rPr>
                          <w:rFonts w:ascii="Arial" w:hAnsi="Arial" w:cs="Arial"/>
                          <w:color w:val="000000"/>
                          <w:sz w:val="18"/>
                          <w:szCs w:val="18"/>
                        </w:rPr>
                        <w:t>2864896.03</w:t>
                      </w:r>
                    </w:p>
                  </w:txbxContent>
                </v:textbox>
              </v:rect>
              <v:rect id="_x0000_s62761" style="position:absolute;left:7356;top:3088;width:1359;height:295" stroked="f"/>
              <v:rect id="_x0000_s62762" style="position:absolute;left:7846;top:3116;width:751;height:207;mso-wrap-style:none" filled="f" stroked="f">
                <v:textbox style="mso-next-textbox:#_x0000_s62762;mso-fit-shape-to-text:t" inset="0,0,0,0">
                  <w:txbxContent>
                    <w:p w:rsidR="00CB6FAE" w:rsidRDefault="00CB6FAE">
                      <w:r>
                        <w:rPr>
                          <w:rFonts w:ascii="Arial" w:hAnsi="Arial" w:cs="Arial"/>
                          <w:color w:val="000000"/>
                          <w:sz w:val="18"/>
                          <w:szCs w:val="18"/>
                        </w:rPr>
                        <w:t>27611.15</w:t>
                      </w:r>
                    </w:p>
                  </w:txbxContent>
                </v:textbox>
              </v:rect>
              <v:rect id="_x0000_s62763" style="position:absolute;left:8687;top:3088;width:1191;height:295" stroked="f"/>
              <v:rect id="_x0000_s62764" style="position:absolute;left:9094;top:3116;width:651;height:207;mso-wrap-style:none" filled="f" stroked="f">
                <v:textbox style="mso-next-textbox:#_x0000_s62764;mso-fit-shape-to-text:t" inset="0,0,0,0">
                  <w:txbxContent>
                    <w:p w:rsidR="00CB6FAE" w:rsidRDefault="00CB6FAE">
                      <w:r>
                        <w:rPr>
                          <w:rFonts w:ascii="Arial" w:hAnsi="Arial" w:cs="Arial"/>
                          <w:color w:val="000000"/>
                          <w:sz w:val="18"/>
                          <w:szCs w:val="18"/>
                        </w:rPr>
                        <w:t>2347.19</w:t>
                      </w:r>
                    </w:p>
                  </w:txbxContent>
                </v:textbox>
              </v:rect>
              <v:rect id="_x0000_s62765" style="position:absolute;left:3265;top:3355;width:1471;height:295" stroked="f"/>
              <v:rect id="_x0000_s62766" style="position:absolute;left:3531;top:3383;width:1152;height:207;mso-wrap-style:none" filled="f" stroked="f">
                <v:textbox style="mso-next-textbox:#_x0000_s62766;mso-fit-shape-to-text:t" inset="0,0,0,0">
                  <w:txbxContent>
                    <w:p w:rsidR="00CB6FAE" w:rsidRDefault="00CB6FAE">
                      <w:r>
                        <w:rPr>
                          <w:rFonts w:ascii="Arial" w:hAnsi="Arial" w:cs="Arial"/>
                          <w:color w:val="000000"/>
                          <w:sz w:val="18"/>
                          <w:szCs w:val="18"/>
                        </w:rPr>
                        <w:t>330505694.59</w:t>
                      </w:r>
                    </w:p>
                  </w:txbxContent>
                </v:textbox>
              </v:rect>
              <v:rect id="_x0000_s62767" style="position:absolute;left:4708;top:3355;width:1345;height:295" stroked="f"/>
              <v:rect id="_x0000_s62768" style="position:absolute;left:4932;top:3383;width:1052;height:207;mso-wrap-style:none" filled="f" stroked="f">
                <v:textbox style="mso-next-textbox:#_x0000_s62768;mso-fit-shape-to-text:t" inset="0,0,0,0">
                  <w:txbxContent>
                    <w:p w:rsidR="00CB6FAE" w:rsidRDefault="00CB6FAE">
                      <w:r>
                        <w:rPr>
                          <w:rFonts w:ascii="Arial" w:hAnsi="Arial" w:cs="Arial"/>
                          <w:color w:val="000000"/>
                          <w:sz w:val="18"/>
                          <w:szCs w:val="18"/>
                        </w:rPr>
                        <w:t>33818668.00</w:t>
                      </w:r>
                    </w:p>
                  </w:txbxContent>
                </v:textbox>
              </v:rect>
              <v:rect id="_x0000_s62769" style="position:absolute;left:6025;top:3355;width:1359;height:295" stroked="f"/>
              <v:rect id="_x0000_s62770" style="position:absolute;left:6263;top:3383;width:1052;height:207;mso-wrap-style:none" filled="f" stroked="f">
                <v:textbox style="mso-next-textbox:#_x0000_s62770;mso-fit-shape-to-text:t" inset="0,0,0,0">
                  <w:txbxContent>
                    <w:p w:rsidR="00CB6FAE" w:rsidRDefault="00CB6FAE">
                      <w:r>
                        <w:rPr>
                          <w:rFonts w:ascii="Arial" w:hAnsi="Arial" w:cs="Arial"/>
                          <w:color w:val="000000"/>
                          <w:sz w:val="18"/>
                          <w:szCs w:val="18"/>
                        </w:rPr>
                        <w:t>43677530.82</w:t>
                      </w:r>
                    </w:p>
                  </w:txbxContent>
                </v:textbox>
              </v:rect>
              <v:rect id="_x0000_s62771" style="position:absolute;left:7356;top:3355;width:1359;height:295" stroked="f"/>
              <v:rect id="_x0000_s62772" style="position:absolute;left:7762;top:3383;width:851;height:207;mso-wrap-style:none" filled="f" stroked="f">
                <v:textbox style="mso-next-textbox:#_x0000_s62772;mso-fit-shape-to-text:t" inset="0,0,0,0">
                  <w:txbxContent>
                    <w:p w:rsidR="00CB6FAE" w:rsidRDefault="00CB6FAE">
                      <w:r>
                        <w:rPr>
                          <w:rFonts w:ascii="Arial" w:hAnsi="Arial" w:cs="Arial"/>
                          <w:color w:val="000000"/>
                          <w:sz w:val="18"/>
                          <w:szCs w:val="18"/>
                        </w:rPr>
                        <w:t>149178.20</w:t>
                      </w:r>
                    </w:p>
                  </w:txbxContent>
                </v:textbox>
              </v:rect>
              <v:rect id="_x0000_s62773" style="position:absolute;left:8687;top:3355;width:1191;height:295" stroked="f"/>
              <v:rect id="_x0000_s62774" style="position:absolute;left:9094;top:3383;width:651;height:207;mso-wrap-style:none" filled="f" stroked="f">
                <v:textbox style="mso-next-textbox:#_x0000_s62774;mso-fit-shape-to-text:t" inset="0,0,0,0">
                  <w:txbxContent>
                    <w:p w:rsidR="00CB6FAE" w:rsidRDefault="00CB6FAE">
                      <w:r>
                        <w:rPr>
                          <w:rFonts w:ascii="Arial" w:hAnsi="Arial" w:cs="Arial"/>
                          <w:color w:val="000000"/>
                          <w:sz w:val="18"/>
                          <w:szCs w:val="18"/>
                        </w:rPr>
                        <w:t>3123.56</w:t>
                      </w:r>
                    </w:p>
                  </w:txbxContent>
                </v:textbox>
              </v:rect>
              <v:rect id="_x0000_s62775" style="position:absolute;left:3265;top:3622;width:1471;height:294" stroked="f"/>
              <v:rect id="_x0000_s62776" style="position:absolute;left:3741;top:3650;width:901;height:207;mso-wrap-style:none" filled="f" stroked="f">
                <v:textbox style="mso-next-textbox:#_x0000_s62776;mso-fit-shape-to-text:t" inset="0,0,0,0">
                  <w:txbxContent>
                    <w:p w:rsidR="00CB6FAE" w:rsidRDefault="00CB6FAE">
                      <w:r>
                        <w:rPr>
                          <w:rFonts w:ascii="Arial" w:hAnsi="Arial" w:cs="Arial"/>
                          <w:color w:val="000000"/>
                          <w:sz w:val="18"/>
                          <w:szCs w:val="18"/>
                        </w:rPr>
                        <w:t>113183308</w:t>
                      </w:r>
                    </w:p>
                  </w:txbxContent>
                </v:textbox>
              </v:rect>
              <v:rect id="_x0000_s62777" style="position:absolute;left:4708;top:3622;width:1345;height:294" stroked="f"/>
              <v:rect id="_x0000_s62778" style="position:absolute;left:5142;top:3650;width:801;height:207;mso-wrap-style:none" filled="f" stroked="f">
                <v:textbox style="mso-next-textbox:#_x0000_s62778;mso-fit-shape-to-text:t" inset="0,0,0,0">
                  <w:txbxContent>
                    <w:p w:rsidR="00CB6FAE" w:rsidRDefault="00CB6FAE">
                      <w:r>
                        <w:rPr>
                          <w:rFonts w:ascii="Arial" w:hAnsi="Arial" w:cs="Arial"/>
                          <w:color w:val="000000"/>
                          <w:sz w:val="18"/>
                          <w:szCs w:val="18"/>
                        </w:rPr>
                        <w:t>11287062</w:t>
                      </w:r>
                    </w:p>
                  </w:txbxContent>
                </v:textbox>
              </v:rect>
              <v:rect id="_x0000_s62779" style="position:absolute;left:6025;top:3622;width:1359;height:294" stroked="f"/>
              <v:rect id="_x0000_s62780" style="position:absolute;left:6473;top:3650;width:801;height:207;mso-wrap-style:none" filled="f" stroked="f">
                <v:textbox style="mso-next-textbox:#_x0000_s62780;mso-fit-shape-to-text:t" inset="0,0,0,0">
                  <w:txbxContent>
                    <w:p w:rsidR="00CB6FAE" w:rsidRDefault="00CB6FAE">
                      <w:r>
                        <w:rPr>
                          <w:rFonts w:ascii="Arial" w:hAnsi="Arial" w:cs="Arial"/>
                          <w:color w:val="000000"/>
                          <w:sz w:val="18"/>
                          <w:szCs w:val="18"/>
                        </w:rPr>
                        <w:t>25579791</w:t>
                      </w:r>
                    </w:p>
                  </w:txbxContent>
                </v:textbox>
              </v:rect>
              <v:rect id="_x0000_s62781" style="position:absolute;left:7356;top:3622;width:1359;height:294" stroked="f"/>
              <v:rect id="_x0000_s62782" style="position:absolute;left:8141;top:3650;width:401;height:207;mso-wrap-style:none" filled="f" stroked="f">
                <v:textbox style="mso-next-textbox:#_x0000_s62782;mso-fit-shape-to-text:t" inset="0,0,0,0">
                  <w:txbxContent>
                    <w:p w:rsidR="00CB6FAE" w:rsidRDefault="00CB6FAE">
                      <w:r>
                        <w:rPr>
                          <w:rFonts w:ascii="Arial" w:hAnsi="Arial" w:cs="Arial"/>
                          <w:color w:val="000000"/>
                          <w:sz w:val="18"/>
                          <w:szCs w:val="18"/>
                        </w:rPr>
                        <w:t>4088</w:t>
                      </w:r>
                    </w:p>
                  </w:txbxContent>
                </v:textbox>
              </v:rect>
              <v:rect id="_x0000_s62783" style="position:absolute;left:8687;top:3622;width:1191;height:294" stroked="f"/>
              <v:rect id="_x0000_s62784" style="position:absolute;left:9388;top:3650;width:301;height:207;mso-wrap-style:none" filled="f" stroked="f">
                <v:textbox style="mso-next-textbox:#_x0000_s62784;mso-fit-shape-to-text:t" inset="0,0,0,0">
                  <w:txbxContent>
                    <w:p w:rsidR="00CB6FAE" w:rsidRDefault="00CB6FAE">
                      <w:r>
                        <w:rPr>
                          <w:rFonts w:ascii="Arial" w:hAnsi="Arial" w:cs="Arial"/>
                          <w:color w:val="000000"/>
                          <w:sz w:val="18"/>
                          <w:szCs w:val="18"/>
                        </w:rPr>
                        <w:t>783</w:t>
                      </w:r>
                    </w:p>
                  </w:txbxContent>
                </v:textbox>
              </v:rect>
              <v:rect id="_x0000_s62785" style="position:absolute;left:3265;top:3888;width:1471;height:295" stroked="f"/>
              <v:rect id="_x0000_s62786" style="position:absolute;left:3741;top:3916;width:901;height:207;mso-wrap-style:none" filled="f" stroked="f">
                <v:textbox style="mso-next-textbox:#_x0000_s62786;mso-fit-shape-to-text:t" inset="0,0,0,0">
                  <w:txbxContent>
                    <w:p w:rsidR="00CB6FAE" w:rsidRDefault="00CB6FAE">
                      <w:r>
                        <w:rPr>
                          <w:rFonts w:ascii="Arial" w:hAnsi="Arial" w:cs="Arial"/>
                          <w:color w:val="000000"/>
                          <w:sz w:val="18"/>
                          <w:szCs w:val="18"/>
                        </w:rPr>
                        <w:t>884137000</w:t>
                      </w:r>
                    </w:p>
                  </w:txbxContent>
                </v:textbox>
              </v:rect>
              <v:rect id="_x0000_s62787" style="position:absolute;left:4708;top:3888;width:1345;height:295" stroked="f"/>
              <v:rect id="_x0000_s62788" style="position:absolute;left:5142;top:3916;width:801;height:207;mso-wrap-style:none" filled="f" stroked="f">
                <v:textbox style="mso-next-textbox:#_x0000_s62788;mso-fit-shape-to-text:t" inset="0,0,0,0">
                  <w:txbxContent>
                    <w:p w:rsidR="00CB6FAE" w:rsidRDefault="00CB6FAE">
                      <w:r>
                        <w:rPr>
                          <w:rFonts w:ascii="Arial" w:hAnsi="Arial" w:cs="Arial"/>
                          <w:color w:val="000000"/>
                          <w:sz w:val="18"/>
                          <w:szCs w:val="18"/>
                        </w:rPr>
                        <w:t>90447000</w:t>
                      </w:r>
                    </w:p>
                  </w:txbxContent>
                </v:textbox>
              </v:rect>
              <v:rect id="_x0000_s62789" style="position:absolute;left:6025;top:3888;width:1359;height:295" stroked="f"/>
              <v:rect id="_x0000_s62790" style="position:absolute;left:6389;top:3916;width:901;height:207;mso-wrap-style:none" filled="f" stroked="f">
                <v:textbox style="mso-next-textbox:#_x0000_s62790;mso-fit-shape-to-text:t" inset="0,0,0,0">
                  <w:txbxContent>
                    <w:p w:rsidR="00CB6FAE" w:rsidRDefault="00CB6FAE">
                      <w:r>
                        <w:rPr>
                          <w:rFonts w:ascii="Arial" w:hAnsi="Arial" w:cs="Arial"/>
                          <w:color w:val="000000"/>
                          <w:sz w:val="18"/>
                          <w:szCs w:val="18"/>
                        </w:rPr>
                        <w:t>100500000</w:t>
                      </w:r>
                    </w:p>
                  </w:txbxContent>
                </v:textbox>
              </v:rect>
              <v:rect id="_x0000_s62791" style="position:absolute;left:7356;top:3888;width:1359;height:295" stroked="f"/>
              <v:rect id="_x0000_s62792" style="position:absolute;left:7973;top:3916;width:601;height:207;mso-wrap-style:none" filled="f" stroked="f">
                <v:textbox style="mso-next-textbox:#_x0000_s62792;mso-fit-shape-to-text:t" inset="0,0,0,0">
                  <w:txbxContent>
                    <w:p w:rsidR="00CB6FAE" w:rsidRDefault="00CB6FAE">
                      <w:r>
                        <w:rPr>
                          <w:rFonts w:ascii="Arial" w:hAnsi="Arial" w:cs="Arial"/>
                          <w:color w:val="000000"/>
                          <w:sz w:val="18"/>
                          <w:szCs w:val="18"/>
                        </w:rPr>
                        <w:t>321809</w:t>
                      </w:r>
                    </w:p>
                  </w:txbxContent>
                </v:textbox>
              </v:rect>
              <v:rect id="_x0000_s62793" style="position:absolute;left:8687;top:3888;width:1191;height:295" stroked="f"/>
              <v:rect id="_x0000_s62794" style="position:absolute;left:9304;top:3916;width:401;height:207;mso-wrap-style:none" filled="f" stroked="f">
                <v:textbox style="mso-next-textbox:#_x0000_s62794;mso-fit-shape-to-text:t" inset="0,0,0,0">
                  <w:txbxContent>
                    <w:p w:rsidR="00CB6FAE" w:rsidRDefault="00CB6FAE">
                      <w:r>
                        <w:rPr>
                          <w:rFonts w:ascii="Arial" w:hAnsi="Arial" w:cs="Arial"/>
                          <w:color w:val="000000"/>
                          <w:sz w:val="18"/>
                          <w:szCs w:val="18"/>
                        </w:rPr>
                        <w:t>7844</w:t>
                      </w:r>
                    </w:p>
                  </w:txbxContent>
                </v:textbox>
              </v:rect>
              <v:rect id="_x0000_s62795" style="position:absolute;left:3265;top:4155;width:1471;height:295" stroked="f"/>
              <v:rect id="_x0000_s62796" style="position:absolute;left:3531;top:4183;width:1152;height:207;mso-wrap-style:none" filled="f" stroked="f">
                <v:textbox style="mso-next-textbox:#_x0000_s62796;mso-fit-shape-to-text:t" inset="0,0,0,0">
                  <w:txbxContent>
                    <w:p w:rsidR="00CB6FAE" w:rsidRDefault="00CB6FAE">
                      <w:r>
                        <w:rPr>
                          <w:rFonts w:ascii="Arial" w:hAnsi="Arial" w:cs="Arial"/>
                          <w:color w:val="000000"/>
                          <w:sz w:val="18"/>
                          <w:szCs w:val="18"/>
                        </w:rPr>
                        <w:t>236901678.04</w:t>
                      </w:r>
                    </w:p>
                  </w:txbxContent>
                </v:textbox>
              </v:rect>
              <v:rect id="_x0000_s62797" style="position:absolute;left:4708;top:4155;width:1345;height:295" stroked="f"/>
              <v:rect id="_x0000_s62798" style="position:absolute;left:4932;top:4183;width:1052;height:207;mso-wrap-style:none" filled="f" stroked="f">
                <v:textbox style="mso-next-textbox:#_x0000_s62798;mso-fit-shape-to-text:t" inset="0,0,0,0">
                  <w:txbxContent>
                    <w:p w:rsidR="00CB6FAE" w:rsidRDefault="00CB6FAE">
                      <w:r>
                        <w:rPr>
                          <w:rFonts w:ascii="Arial" w:hAnsi="Arial" w:cs="Arial"/>
                          <w:color w:val="000000"/>
                          <w:sz w:val="18"/>
                          <w:szCs w:val="18"/>
                        </w:rPr>
                        <w:t>24229571.42</w:t>
                      </w:r>
                    </w:p>
                  </w:txbxContent>
                </v:textbox>
              </v:rect>
              <v:rect id="_x0000_s62799" style="position:absolute;left:6025;top:4155;width:1359;height:295" stroked="f"/>
              <v:rect id="_x0000_s62800" style="position:absolute;left:6263;top:4183;width:1052;height:207;mso-wrap-style:none" filled="f" stroked="f">
                <v:textbox style="mso-next-textbox:#_x0000_s62800;mso-fit-shape-to-text:t" inset="0,0,0,0">
                  <w:txbxContent>
                    <w:p w:rsidR="00CB6FAE" w:rsidRDefault="00CB6FAE">
                      <w:r>
                        <w:rPr>
                          <w:rFonts w:ascii="Arial" w:hAnsi="Arial" w:cs="Arial"/>
                          <w:color w:val="000000"/>
                          <w:sz w:val="18"/>
                          <w:szCs w:val="18"/>
                        </w:rPr>
                        <w:t>22865441.86</w:t>
                      </w:r>
                    </w:p>
                  </w:txbxContent>
                </v:textbox>
              </v:rect>
              <v:rect id="_x0000_s62801" style="position:absolute;left:7356;top:4155;width:1359;height:295" stroked="f"/>
              <v:rect id="_x0000_s62802" style="position:absolute;left:7846;top:4183;width:751;height:207;mso-wrap-style:none" filled="f" stroked="f">
                <v:textbox style="mso-next-textbox:#_x0000_s62802;mso-fit-shape-to-text:t" inset="0,0,0,0">
                  <w:txbxContent>
                    <w:p w:rsidR="00CB6FAE" w:rsidRDefault="00CB6FAE">
                      <w:r>
                        <w:rPr>
                          <w:rFonts w:ascii="Arial" w:hAnsi="Arial" w:cs="Arial"/>
                          <w:color w:val="000000"/>
                          <w:sz w:val="18"/>
                          <w:szCs w:val="18"/>
                        </w:rPr>
                        <w:t>88149.92</w:t>
                      </w:r>
                    </w:p>
                  </w:txbxContent>
                </v:textbox>
              </v:rect>
              <v:rect id="_x0000_s62803" style="position:absolute;left:8687;top:4155;width:1191;height:295" stroked="f"/>
              <v:rect id="_x0000_s62804" style="position:absolute;left:9094;top:4183;width:651;height:207;mso-wrap-style:none" filled="f" stroked="f">
                <v:textbox style="mso-next-textbox:#_x0000_s62804;mso-fit-shape-to-text:t" inset="0,0,0,0">
                  <w:txbxContent>
                    <w:p w:rsidR="00CB6FAE" w:rsidRDefault="00CB6FAE">
                      <w:r>
                        <w:rPr>
                          <w:rFonts w:ascii="Arial" w:hAnsi="Arial" w:cs="Arial"/>
                          <w:color w:val="000000"/>
                          <w:sz w:val="18"/>
                          <w:szCs w:val="18"/>
                        </w:rPr>
                        <w:t>2219.90</w:t>
                      </w:r>
                    </w:p>
                  </w:txbxContent>
                </v:textbox>
              </v:rect>
              <v:rect id="_x0000_s62805" style="position:absolute;left:3265;top:4422;width:1471;height:295" stroked="f"/>
              <v:rect id="_x0000_s62806" style="position:absolute;left:3615;top:4450;width:1052;height:207;mso-wrap-style:none" filled="f" stroked="f">
                <v:textbox style="mso-next-textbox:#_x0000_s62806;mso-fit-shape-to-text:t" inset="0,0,0,0">
                  <w:txbxContent>
                    <w:p w:rsidR="00CB6FAE" w:rsidRDefault="00CB6FAE">
                      <w:r>
                        <w:rPr>
                          <w:rFonts w:ascii="Arial" w:hAnsi="Arial" w:cs="Arial"/>
                          <w:color w:val="000000"/>
                          <w:sz w:val="18"/>
                          <w:szCs w:val="18"/>
                        </w:rPr>
                        <w:t>25675941.92</w:t>
                      </w:r>
                    </w:p>
                  </w:txbxContent>
                </v:textbox>
              </v:rect>
              <v:rect id="_x0000_s62807" style="position:absolute;left:4708;top:4422;width:1345;height:295" stroked="f"/>
              <v:rect id="_x0000_s62808" style="position:absolute;left:4932;top:4450;width:1052;height:207;mso-wrap-style:none" filled="f" stroked="f">
                <v:textbox style="mso-next-textbox:#_x0000_s62808;mso-fit-shape-to-text:t" inset="0,0,0,0">
                  <w:txbxContent>
                    <w:p w:rsidR="00CB6FAE" w:rsidRDefault="00CB6FAE">
                      <w:r>
                        <w:rPr>
                          <w:rFonts w:ascii="Arial" w:hAnsi="Arial" w:cs="Arial"/>
                          <w:color w:val="000000"/>
                          <w:sz w:val="18"/>
                          <w:szCs w:val="18"/>
                        </w:rPr>
                        <w:t>34303808.23</w:t>
                      </w:r>
                    </w:p>
                  </w:txbxContent>
                </v:textbox>
              </v:rect>
              <v:rect id="_x0000_s62809" style="position:absolute;left:6025;top:4422;width:1359;height:295" stroked="f"/>
              <v:rect id="_x0000_s62810" style="position:absolute;left:6263;top:4450;width:1052;height:207;mso-wrap-style:none" filled="f" stroked="f">
                <v:textbox style="mso-next-textbox:#_x0000_s62810;mso-fit-shape-to-text:t" inset="0,0,0,0">
                  <w:txbxContent>
                    <w:p w:rsidR="00CB6FAE" w:rsidRDefault="00CB6FAE">
                      <w:r>
                        <w:rPr>
                          <w:rFonts w:ascii="Arial" w:hAnsi="Arial" w:cs="Arial"/>
                          <w:color w:val="000000"/>
                          <w:sz w:val="18"/>
                          <w:szCs w:val="18"/>
                        </w:rPr>
                        <w:t>10918071.62</w:t>
                      </w:r>
                    </w:p>
                  </w:txbxContent>
                </v:textbox>
              </v:rect>
              <v:rect id="_x0000_s62811" style="position:absolute;left:7356;top:4422;width:1359;height:295" stroked="f"/>
              <v:rect id="_x0000_s62812" style="position:absolute;left:7846;top:4450;width:751;height:207;mso-wrap-style:none" filled="f" stroked="f">
                <v:textbox style="mso-next-textbox:#_x0000_s62812;mso-fit-shape-to-text:t" inset="0,0,0,0">
                  <w:txbxContent>
                    <w:p w:rsidR="00CB6FAE" w:rsidRDefault="00CB6FAE">
                      <w:r>
                        <w:rPr>
                          <w:rFonts w:ascii="Arial" w:hAnsi="Arial" w:cs="Arial"/>
                          <w:color w:val="000000"/>
                          <w:sz w:val="18"/>
                          <w:szCs w:val="18"/>
                        </w:rPr>
                        <w:t>52137.38</w:t>
                      </w:r>
                    </w:p>
                  </w:txbxContent>
                </v:textbox>
              </v:rect>
              <v:rect id="_x0000_s62813" style="position:absolute;left:8687;top:4422;width:1191;height:295" stroked="f"/>
              <v:rect id="_x0000_s62814" style="position:absolute;left:9094;top:4450;width:651;height:207;mso-wrap-style:none" filled="f" stroked="f">
                <v:textbox style="mso-next-textbox:#_x0000_s62814;mso-fit-shape-to-text:t" inset="0,0,0,0">
                  <w:txbxContent>
                    <w:p w:rsidR="00CB6FAE" w:rsidRDefault="00CB6FAE">
                      <w:r>
                        <w:rPr>
                          <w:rFonts w:ascii="Arial" w:hAnsi="Arial" w:cs="Arial"/>
                          <w:color w:val="000000"/>
                          <w:sz w:val="18"/>
                          <w:szCs w:val="18"/>
                        </w:rPr>
                        <w:t>1674.92</w:t>
                      </w:r>
                    </w:p>
                  </w:txbxContent>
                </v:textbox>
              </v:rect>
              <v:rect id="_x0000_s62815" style="position:absolute;left:3265;top:4688;width:1471;height:295" stroked="f"/>
              <v:rect id="_x0000_s62816" style="position:absolute;left:3994;top:4717;width:601;height:207;mso-wrap-style:none" filled="f" stroked="f">
                <v:textbox style="mso-next-textbox:#_x0000_s62816;mso-fit-shape-to-text:t" inset="0,0,0,0">
                  <w:txbxContent>
                    <w:p w:rsidR="00CB6FAE" w:rsidRDefault="00CB6FAE">
                      <w:r>
                        <w:rPr>
                          <w:rFonts w:ascii="Arial" w:hAnsi="Arial" w:cs="Arial"/>
                          <w:color w:val="000000"/>
                          <w:sz w:val="18"/>
                          <w:szCs w:val="18"/>
                        </w:rPr>
                        <w:t>223907</w:t>
                      </w:r>
                    </w:p>
                  </w:txbxContent>
                </v:textbox>
              </v:rect>
              <v:rect id="_x0000_s62817" style="position:absolute;left:4708;top:4688;width:1345;height:295" stroked="f"/>
              <v:rect id="_x0000_s62818" style="position:absolute;left:5311;top:4717;width:601;height:207;mso-wrap-style:none" filled="f" stroked="f">
                <v:textbox style="mso-next-textbox:#_x0000_s62818;mso-fit-shape-to-text:t" inset="0,0,0,0">
                  <w:txbxContent>
                    <w:p w:rsidR="00CB6FAE" w:rsidRDefault="00CB6FAE">
                      <w:r>
                        <w:rPr>
                          <w:rFonts w:ascii="Arial" w:hAnsi="Arial" w:cs="Arial"/>
                          <w:color w:val="000000"/>
                          <w:sz w:val="18"/>
                          <w:szCs w:val="18"/>
                        </w:rPr>
                        <w:t>211336</w:t>
                      </w:r>
                    </w:p>
                  </w:txbxContent>
                </v:textbox>
              </v:rect>
              <v:rect id="_x0000_s62819" style="position:absolute;left:6025;top:4688;width:1359;height:295" stroked="f"/>
              <v:rect id="_x0000_s62820" style="position:absolute;left:6642;top:4717;width:601;height:207;mso-wrap-style:none" filled="f" stroked="f">
                <v:textbox style="mso-next-textbox:#_x0000_s62820;mso-fit-shape-to-text:t" inset="0,0,0,0">
                  <w:txbxContent>
                    <w:p w:rsidR="00CB6FAE" w:rsidRDefault="00CB6FAE">
                      <w:r>
                        <w:rPr>
                          <w:rFonts w:ascii="Arial" w:hAnsi="Arial" w:cs="Arial"/>
                          <w:color w:val="000000"/>
                          <w:sz w:val="18"/>
                          <w:szCs w:val="18"/>
                        </w:rPr>
                        <w:t>119955</w:t>
                      </w:r>
                    </w:p>
                  </w:txbxContent>
                </v:textbox>
              </v:rect>
              <v:rect id="_x0000_s62821" style="position:absolute;left:7356;top:4688;width:1359;height:295" stroked="f"/>
              <v:rect id="_x0000_s62822" style="position:absolute;left:8141;top:4717;width:401;height:207;mso-wrap-style:none" filled="f" stroked="f">
                <v:textbox style="mso-next-textbox:#_x0000_s62822;mso-fit-shape-to-text:t" inset="0,0,0,0">
                  <w:txbxContent>
                    <w:p w:rsidR="00CB6FAE" w:rsidRDefault="00CB6FAE">
                      <w:r>
                        <w:rPr>
                          <w:rFonts w:ascii="Arial" w:hAnsi="Arial" w:cs="Arial"/>
                          <w:color w:val="000000"/>
                          <w:sz w:val="18"/>
                          <w:szCs w:val="18"/>
                        </w:rPr>
                        <w:t>2934</w:t>
                      </w:r>
                    </w:p>
                  </w:txbxContent>
                </v:textbox>
              </v:rect>
              <v:rect id="_x0000_s62823" style="position:absolute;left:8687;top:4688;width:1191;height:295" stroked="f"/>
              <v:rect id="_x0000_s62824" style="position:absolute;left:9472;top:4717;width:201;height:207;mso-wrap-style:none" filled="f" stroked="f">
                <v:textbox style="mso-next-textbox:#_x0000_s62824;mso-fit-shape-to-text:t" inset="0,0,0,0">
                  <w:txbxContent>
                    <w:p w:rsidR="00CB6FAE" w:rsidRDefault="00CB6FAE">
                      <w:r>
                        <w:rPr>
                          <w:rFonts w:ascii="Arial" w:hAnsi="Arial" w:cs="Arial"/>
                          <w:color w:val="000000"/>
                          <w:sz w:val="18"/>
                          <w:szCs w:val="18"/>
                        </w:rPr>
                        <w:t>59</w:t>
                      </w:r>
                    </w:p>
                  </w:txbxContent>
                </v:textbox>
              </v:rect>
              <v:rect id="_x0000_s62825" style="position:absolute;left:3265;top:4955;width:1471;height:295" stroked="f"/>
              <v:rect id="_x0000_s62826" style="position:absolute;left:3825;top:4983;width:801;height:207;mso-wrap-style:none" filled="f" stroked="f">
                <v:textbox style="mso-next-textbox:#_x0000_s62826;mso-fit-shape-to-text:t" inset="0,0,0,0">
                  <w:txbxContent>
                    <w:p w:rsidR="00CB6FAE" w:rsidRDefault="00CB6FAE">
                      <w:r>
                        <w:rPr>
                          <w:rFonts w:ascii="Arial" w:hAnsi="Arial" w:cs="Arial"/>
                          <w:color w:val="000000"/>
                          <w:sz w:val="18"/>
                          <w:szCs w:val="18"/>
                        </w:rPr>
                        <w:t>75657062</w:t>
                      </w:r>
                    </w:p>
                  </w:txbxContent>
                </v:textbox>
              </v:rect>
              <v:rect id="_x0000_s62827" style="position:absolute;left:4708;top:4955;width:1345;height:295" stroked="f"/>
              <v:rect id="_x0000_s62828" style="position:absolute;left:5142;top:4983;width:801;height:207;mso-wrap-style:none" filled="f" stroked="f">
                <v:textbox style="mso-next-textbox:#_x0000_s62828;mso-fit-shape-to-text:t" inset="0,0,0,0">
                  <w:txbxContent>
                    <w:p w:rsidR="00CB6FAE" w:rsidRDefault="00CB6FAE">
                      <w:r>
                        <w:rPr>
                          <w:rFonts w:ascii="Arial" w:hAnsi="Arial" w:cs="Arial"/>
                          <w:color w:val="000000"/>
                          <w:sz w:val="18"/>
                          <w:szCs w:val="18"/>
                        </w:rPr>
                        <w:t>86571665</w:t>
                      </w:r>
                    </w:p>
                  </w:txbxContent>
                </v:textbox>
              </v:rect>
              <v:rect id="_x0000_s62829" style="position:absolute;left:6025;top:4955;width:1359;height:295" stroked="f"/>
              <v:rect id="_x0000_s62830" style="position:absolute;left:6473;top:4983;width:801;height:207;mso-wrap-style:none" filled="f" stroked="f">
                <v:textbox style="mso-next-textbox:#_x0000_s62830;mso-fit-shape-to-text:t" inset="0,0,0,0">
                  <w:txbxContent>
                    <w:p w:rsidR="00CB6FAE" w:rsidRDefault="00CB6FAE">
                      <w:r>
                        <w:rPr>
                          <w:rFonts w:ascii="Arial" w:hAnsi="Arial" w:cs="Arial"/>
                          <w:color w:val="000000"/>
                          <w:sz w:val="18"/>
                          <w:szCs w:val="18"/>
                        </w:rPr>
                        <w:t>36249393</w:t>
                      </w:r>
                    </w:p>
                  </w:txbxContent>
                </v:textbox>
              </v:rect>
              <v:rect id="_x0000_s62831" style="position:absolute;left:7356;top:4955;width:1359;height:295" stroked="f"/>
              <v:rect id="_x0000_s62832" style="position:absolute;left:7973;top:4983;width:601;height:207;mso-wrap-style:none" filled="f" stroked="f">
                <v:textbox style="mso-next-textbox:#_x0000_s62832;mso-fit-shape-to-text:t" inset="0,0,0,0">
                  <w:txbxContent>
                    <w:p w:rsidR="00CB6FAE" w:rsidRDefault="00CB6FAE">
                      <w:r>
                        <w:rPr>
                          <w:rFonts w:ascii="Arial" w:hAnsi="Arial" w:cs="Arial"/>
                          <w:color w:val="000000"/>
                          <w:sz w:val="18"/>
                          <w:szCs w:val="18"/>
                        </w:rPr>
                        <w:t>138057</w:t>
                      </w:r>
                    </w:p>
                  </w:txbxContent>
                </v:textbox>
              </v:rect>
              <v:rect id="_x0000_s62833" style="position:absolute;left:8687;top:4955;width:1191;height:295" stroked="f"/>
              <v:rect id="_x0000_s62834" style="position:absolute;left:9304;top:4983;width:401;height:207;mso-wrap-style:none" filled="f" stroked="f">
                <v:textbox style="mso-next-textbox:#_x0000_s62834;mso-fit-shape-to-text:t" inset="0,0,0,0">
                  <w:txbxContent>
                    <w:p w:rsidR="00CB6FAE" w:rsidRDefault="00CB6FAE">
                      <w:r>
                        <w:rPr>
                          <w:rFonts w:ascii="Arial" w:hAnsi="Arial" w:cs="Arial"/>
                          <w:color w:val="000000"/>
                          <w:sz w:val="18"/>
                          <w:szCs w:val="18"/>
                        </w:rPr>
                        <w:t>6154</w:t>
                      </w:r>
                    </w:p>
                  </w:txbxContent>
                </v:textbox>
              </v:rect>
              <v:rect id="_x0000_s62835" style="position:absolute;left:3265;top:5222;width:1471;height:295" stroked="f"/>
              <v:rect id="_x0000_s62836" style="position:absolute;left:3615;top:5250;width:1052;height:207;mso-wrap-style:none" filled="f" stroked="f">
                <v:textbox style="mso-next-textbox:#_x0000_s62836;mso-fit-shape-to-text:t" inset="0,0,0,0">
                  <w:txbxContent>
                    <w:p w:rsidR="00CB6FAE" w:rsidRDefault="00CB6FAE">
                      <w:r>
                        <w:rPr>
                          <w:rFonts w:ascii="Arial" w:hAnsi="Arial" w:cs="Arial"/>
                          <w:color w:val="000000"/>
                          <w:sz w:val="18"/>
                          <w:szCs w:val="18"/>
                        </w:rPr>
                        <w:t>25982701.94</w:t>
                      </w:r>
                    </w:p>
                  </w:txbxContent>
                </v:textbox>
              </v:rect>
              <v:rect id="_x0000_s62837" style="position:absolute;left:4708;top:5222;width:1345;height:295" stroked="f"/>
              <v:rect id="_x0000_s62838" style="position:absolute;left:4932;top:5250;width:1052;height:207;mso-wrap-style:none" filled="f" stroked="f">
                <v:textbox style="mso-next-textbox:#_x0000_s62838;mso-fit-shape-to-text:t" inset="0,0,0,0">
                  <w:txbxContent>
                    <w:p w:rsidR="00CB6FAE" w:rsidRDefault="00CB6FAE">
                      <w:r>
                        <w:rPr>
                          <w:rFonts w:ascii="Arial" w:hAnsi="Arial" w:cs="Arial"/>
                          <w:color w:val="000000"/>
                          <w:sz w:val="18"/>
                          <w:szCs w:val="18"/>
                        </w:rPr>
                        <w:t>35571654.36</w:t>
                      </w:r>
                    </w:p>
                  </w:txbxContent>
                </v:textbox>
              </v:rect>
              <v:rect id="_x0000_s62839" style="position:absolute;left:6025;top:5222;width:1359;height:295" stroked="f"/>
              <v:rect id="_x0000_s62840" style="position:absolute;left:6263;top:5250;width:1052;height:207;mso-wrap-style:none" filled="f" stroked="f">
                <v:textbox style="mso-next-textbox:#_x0000_s62840;mso-fit-shape-to-text:t" inset="0,0,0,0">
                  <w:txbxContent>
                    <w:p w:rsidR="00CB6FAE" w:rsidRDefault="00CB6FAE">
                      <w:r>
                        <w:rPr>
                          <w:rFonts w:ascii="Arial" w:hAnsi="Arial" w:cs="Arial"/>
                          <w:color w:val="000000"/>
                          <w:sz w:val="18"/>
                          <w:szCs w:val="18"/>
                        </w:rPr>
                        <w:t>11949397.84</w:t>
                      </w:r>
                    </w:p>
                  </w:txbxContent>
                </v:textbox>
              </v:rect>
              <v:rect id="_x0000_s62841" style="position:absolute;left:7356;top:5222;width:1359;height:295" stroked="f"/>
              <v:rect id="_x0000_s62842" style="position:absolute;left:7846;top:5250;width:751;height:207;mso-wrap-style:none" filled="f" stroked="f">
                <v:textbox style="mso-next-textbox:#_x0000_s62842;mso-fit-shape-to-text:t" inset="0,0,0,0">
                  <w:txbxContent>
                    <w:p w:rsidR="00CB6FAE" w:rsidRDefault="00CB6FAE">
                      <w:r>
                        <w:rPr>
                          <w:rFonts w:ascii="Arial" w:hAnsi="Arial" w:cs="Arial"/>
                          <w:color w:val="000000"/>
                          <w:sz w:val="18"/>
                          <w:szCs w:val="18"/>
                        </w:rPr>
                        <w:t>38653.76</w:t>
                      </w:r>
                    </w:p>
                  </w:txbxContent>
                </v:textbox>
              </v:rect>
              <v:rect id="_x0000_s62843" style="position:absolute;left:8687;top:5222;width:1191;height:295" stroked="f"/>
              <v:rect id="_x0000_s62844" style="position:absolute;left:9094;top:5250;width:651;height:207;mso-wrap-style:none" filled="f" stroked="f">
                <v:textbox style="mso-next-textbox:#_x0000_s62844;mso-fit-shape-to-text:t" inset="0,0,0,0">
                  <w:txbxContent>
                    <w:p w:rsidR="00CB6FAE" w:rsidRDefault="00CB6FAE">
                      <w:r>
                        <w:rPr>
                          <w:rFonts w:ascii="Arial" w:hAnsi="Arial" w:cs="Arial"/>
                          <w:color w:val="000000"/>
                          <w:sz w:val="18"/>
                          <w:szCs w:val="18"/>
                        </w:rPr>
                        <w:t>1966.77</w:t>
                      </w:r>
                    </w:p>
                  </w:txbxContent>
                </v:textbox>
              </v:rect>
              <v:rect id="_x0000_s62845" style="position:absolute;left:3265;top:5489;width:1471;height:294" stroked="f"/>
              <v:rect id="_x0000_s62846" style="position:absolute;left:3615;top:5517;width:1052;height:207;mso-wrap-style:none" filled="f" stroked="f">
                <v:textbox style="mso-next-textbox:#_x0000_s62846;mso-fit-shape-to-text:t" inset="0,0,0,0">
                  <w:txbxContent>
                    <w:p w:rsidR="00CB6FAE" w:rsidRDefault="00CB6FAE">
                      <w:r>
                        <w:rPr>
                          <w:rFonts w:ascii="Arial" w:hAnsi="Arial" w:cs="Arial"/>
                          <w:color w:val="000000"/>
                          <w:sz w:val="18"/>
                          <w:szCs w:val="18"/>
                        </w:rPr>
                        <w:t>12424663.70</w:t>
                      </w:r>
                    </w:p>
                  </w:txbxContent>
                </v:textbox>
              </v:rect>
              <v:rect id="_x0000_s62847" style="position:absolute;left:4708;top:5489;width:1345;height:294" stroked="f"/>
              <v:rect id="_x0000_s62848" style="position:absolute;left:5016;top:5517;width:951;height:207;mso-wrap-style:none" filled="f" stroked="f">
                <v:textbox style="mso-next-textbox:#_x0000_s62848;mso-fit-shape-to-text:t" inset="0,0,0,0">
                  <w:txbxContent>
                    <w:p w:rsidR="00CB6FAE" w:rsidRDefault="00CB6FAE">
                      <w:r>
                        <w:rPr>
                          <w:rFonts w:ascii="Arial" w:hAnsi="Arial" w:cs="Arial"/>
                          <w:color w:val="000000"/>
                          <w:sz w:val="18"/>
                          <w:szCs w:val="18"/>
                        </w:rPr>
                        <w:t>7901752.00</w:t>
                      </w:r>
                    </w:p>
                  </w:txbxContent>
                </v:textbox>
              </v:rect>
              <v:rect id="_x0000_s62849" style="position:absolute;left:6025;top:5489;width:1359;height:294" stroked="f"/>
              <v:rect id="_x0000_s62850" style="position:absolute;left:6347;top:5517;width:951;height:207;mso-wrap-style:none" filled="f" stroked="f">
                <v:textbox style="mso-next-textbox:#_x0000_s62850;mso-fit-shape-to-text:t" inset="0,0,0,0">
                  <w:txbxContent>
                    <w:p w:rsidR="00CB6FAE" w:rsidRDefault="00CB6FAE">
                      <w:r>
                        <w:rPr>
                          <w:rFonts w:ascii="Arial" w:hAnsi="Arial" w:cs="Arial"/>
                          <w:color w:val="000000"/>
                          <w:sz w:val="18"/>
                          <w:szCs w:val="18"/>
                        </w:rPr>
                        <w:t>7685225.63</w:t>
                      </w:r>
                    </w:p>
                  </w:txbxContent>
                </v:textbox>
              </v:rect>
              <v:rect id="_x0000_s62851" style="position:absolute;left:7356;top:5489;width:1359;height:294" stroked="f"/>
              <v:rect id="_x0000_s62852" style="position:absolute;left:7846;top:5517;width:751;height:207;mso-wrap-style:none" filled="f" stroked="f">
                <v:textbox style="mso-next-textbox:#_x0000_s62852;mso-fit-shape-to-text:t" inset="0,0,0,0">
                  <w:txbxContent>
                    <w:p w:rsidR="00CB6FAE" w:rsidRDefault="00CB6FAE">
                      <w:r>
                        <w:rPr>
                          <w:rFonts w:ascii="Arial" w:hAnsi="Arial" w:cs="Arial"/>
                          <w:color w:val="000000"/>
                          <w:sz w:val="18"/>
                          <w:szCs w:val="18"/>
                        </w:rPr>
                        <w:t>23519.90</w:t>
                      </w:r>
                    </w:p>
                  </w:txbxContent>
                </v:textbox>
              </v:rect>
              <v:rect id="_x0000_s62853" style="position:absolute;left:8687;top:5489;width:1191;height:294" stroked="f"/>
              <v:rect id="_x0000_s62854" style="position:absolute;left:9178;top:5517;width:551;height:207;mso-wrap-style:none" filled="f" stroked="f">
                <v:textbox style="mso-next-textbox:#_x0000_s62854;mso-fit-shape-to-text:t" inset="0,0,0,0">
                  <w:txbxContent>
                    <w:p w:rsidR="00CB6FAE" w:rsidRDefault="00CB6FAE">
                      <w:r>
                        <w:rPr>
                          <w:rFonts w:ascii="Arial" w:hAnsi="Arial" w:cs="Arial"/>
                          <w:color w:val="000000"/>
                          <w:sz w:val="18"/>
                          <w:szCs w:val="18"/>
                        </w:rPr>
                        <w:t>650.20</w:t>
                      </w:r>
                    </w:p>
                  </w:txbxContent>
                </v:textbox>
              </v:rect>
              <v:rect id="_x0000_s62855" style="position:absolute;left:3265;top:5755;width:1471;height:295" stroked="f"/>
              <v:rect id="_x0000_s62856" style="position:absolute;left:4078;top:5783;width:501;height:207;mso-wrap-style:none" filled="f" stroked="f">
                <v:textbox style="mso-next-textbox:#_x0000_s62856;mso-fit-shape-to-text:t" inset="0,0,0,0">
                  <w:txbxContent>
                    <w:p w:rsidR="00CB6FAE" w:rsidRDefault="00CB6FAE">
                      <w:r>
                        <w:rPr>
                          <w:rFonts w:ascii="Arial" w:hAnsi="Arial" w:cs="Arial"/>
                          <w:color w:val="000000"/>
                          <w:sz w:val="18"/>
                          <w:szCs w:val="18"/>
                        </w:rPr>
                        <w:t>91983</w:t>
                      </w:r>
                    </w:p>
                  </w:txbxContent>
                </v:textbox>
              </v:rect>
              <v:rect id="_x0000_s62857" style="position:absolute;left:4708;top:5755;width:1345;height:295" stroked="f"/>
              <v:rect id="_x0000_s62858" style="position:absolute;left:5311;top:5783;width:601;height:207;mso-wrap-style:none" filled="f" stroked="f">
                <v:textbox style="mso-next-textbox:#_x0000_s62858;mso-fit-shape-to-text:t" inset="0,0,0,0">
                  <w:txbxContent>
                    <w:p w:rsidR="00CB6FAE" w:rsidRDefault="00CB6FAE">
                      <w:r>
                        <w:rPr>
                          <w:rFonts w:ascii="Arial" w:hAnsi="Arial" w:cs="Arial"/>
                          <w:color w:val="000000"/>
                          <w:sz w:val="18"/>
                          <w:szCs w:val="18"/>
                        </w:rPr>
                        <w:t>128410</w:t>
                      </w:r>
                    </w:p>
                  </w:txbxContent>
                </v:textbox>
              </v:rect>
              <v:rect id="_x0000_s62859" style="position:absolute;left:6025;top:5755;width:1359;height:295" stroked="f"/>
              <v:rect id="_x0000_s62860" style="position:absolute;left:6642;top:5783;width:601;height:207;mso-wrap-style:none" filled="f" stroked="f">
                <v:textbox style="mso-next-textbox:#_x0000_s62860;mso-fit-shape-to-text:t" inset="0,0,0,0">
                  <w:txbxContent>
                    <w:p w:rsidR="00CB6FAE" w:rsidRDefault="00CB6FAE">
                      <w:r>
                        <w:rPr>
                          <w:rFonts w:ascii="Arial" w:hAnsi="Arial" w:cs="Arial"/>
                          <w:color w:val="000000"/>
                          <w:sz w:val="18"/>
                          <w:szCs w:val="18"/>
                        </w:rPr>
                        <w:t>163357</w:t>
                      </w:r>
                    </w:p>
                  </w:txbxContent>
                </v:textbox>
              </v:rect>
              <v:rect id="_x0000_s62861" style="position:absolute;left:7356;top:5755;width:1359;height:295" stroked="f"/>
              <v:rect id="_x0000_s62862" style="position:absolute;left:8225;top:5783;width:301;height:207;mso-wrap-style:none" filled="f" stroked="f">
                <v:textbox style="mso-next-textbox:#_x0000_s62862;mso-fit-shape-to-text:t" inset="0,0,0,0">
                  <w:txbxContent>
                    <w:p w:rsidR="00CB6FAE" w:rsidRDefault="00CB6FAE">
                      <w:r>
                        <w:rPr>
                          <w:rFonts w:ascii="Arial" w:hAnsi="Arial" w:cs="Arial"/>
                          <w:color w:val="000000"/>
                          <w:sz w:val="18"/>
                          <w:szCs w:val="18"/>
                        </w:rPr>
                        <w:t>910</w:t>
                      </w:r>
                    </w:p>
                  </w:txbxContent>
                </v:textbox>
              </v:rect>
              <v:rect id="_x0000_s62863" style="position:absolute;left:8687;top:5755;width:1191;height:295" stroked="f"/>
              <v:rect id="_x0000_s62864" style="position:absolute;left:9472;top:5783;width:201;height:207;mso-wrap-style:none" filled="f" stroked="f">
                <v:textbox style="mso-next-textbox:#_x0000_s62864;mso-fit-shape-to-text:t" inset="0,0,0,0">
                  <w:txbxContent>
                    <w:p w:rsidR="00CB6FAE" w:rsidRDefault="00CB6FAE">
                      <w:r>
                        <w:rPr>
                          <w:rFonts w:ascii="Arial" w:hAnsi="Arial" w:cs="Arial"/>
                          <w:color w:val="000000"/>
                          <w:sz w:val="18"/>
                          <w:szCs w:val="18"/>
                        </w:rPr>
                        <w:t>33</w:t>
                      </w:r>
                    </w:p>
                  </w:txbxContent>
                </v:textbox>
              </v:rect>
              <v:rect id="_x0000_s62865" style="position:absolute;left:3265;top:6022;width:1471;height:295" stroked="f"/>
              <v:rect id="_x0000_s62866" style="position:absolute;left:3825;top:6050;width:801;height:207;mso-wrap-style:none" filled="f" stroked="f">
                <v:textbox style="mso-next-textbox:#_x0000_s62866;mso-fit-shape-to-text:t" inset="0,0,0,0">
                  <w:txbxContent>
                    <w:p w:rsidR="00CB6FAE" w:rsidRDefault="00CB6FAE">
                      <w:r>
                        <w:rPr>
                          <w:rFonts w:ascii="Arial" w:hAnsi="Arial" w:cs="Arial"/>
                          <w:color w:val="000000"/>
                          <w:sz w:val="18"/>
                          <w:szCs w:val="18"/>
                        </w:rPr>
                        <w:t>48478498</w:t>
                      </w:r>
                    </w:p>
                  </w:txbxContent>
                </v:textbox>
              </v:rect>
              <v:rect id="_x0000_s62867" style="position:absolute;left:4708;top:6022;width:1345;height:295" stroked="f"/>
              <v:rect id="_x0000_s62868" style="position:absolute;left:5142;top:6050;width:801;height:207;mso-wrap-style:none" filled="f" stroked="f">
                <v:textbox style="mso-next-textbox:#_x0000_s62868;mso-fit-shape-to-text:t" inset="0,0,0,0">
                  <w:txbxContent>
                    <w:p w:rsidR="00CB6FAE" w:rsidRDefault="00CB6FAE">
                      <w:r>
                        <w:rPr>
                          <w:rFonts w:ascii="Arial" w:hAnsi="Arial" w:cs="Arial"/>
                          <w:color w:val="000000"/>
                          <w:sz w:val="18"/>
                          <w:szCs w:val="18"/>
                        </w:rPr>
                        <w:t>39646622</w:t>
                      </w:r>
                    </w:p>
                  </w:txbxContent>
                </v:textbox>
              </v:rect>
              <v:rect id="_x0000_s62869" style="position:absolute;left:6025;top:6022;width:1359;height:295" stroked="f"/>
              <v:rect id="_x0000_s62870" style="position:absolute;left:6473;top:6050;width:801;height:207;mso-wrap-style:none" filled="f" stroked="f">
                <v:textbox style="mso-next-textbox:#_x0000_s62870;mso-fit-shape-to-text:t" inset="0,0,0,0">
                  <w:txbxContent>
                    <w:p w:rsidR="00CB6FAE" w:rsidRDefault="00CB6FAE">
                      <w:r>
                        <w:rPr>
                          <w:rFonts w:ascii="Arial" w:hAnsi="Arial" w:cs="Arial"/>
                          <w:color w:val="000000"/>
                          <w:sz w:val="18"/>
                          <w:szCs w:val="18"/>
                        </w:rPr>
                        <w:t>25015270</w:t>
                      </w:r>
                    </w:p>
                  </w:txbxContent>
                </v:textbox>
              </v:rect>
              <v:rect id="_x0000_s62871" style="position:absolute;left:7356;top:6022;width:1359;height:295" stroked="f"/>
              <v:rect id="_x0000_s62872" style="position:absolute;left:8057;top:6050;width:501;height:207;mso-wrap-style:none" filled="f" stroked="f">
                <v:textbox style="mso-next-textbox:#_x0000_s62872;mso-fit-shape-to-text:t" inset="0,0,0,0">
                  <w:txbxContent>
                    <w:p w:rsidR="00CB6FAE" w:rsidRDefault="00CB6FAE">
                      <w:r>
                        <w:rPr>
                          <w:rFonts w:ascii="Arial" w:hAnsi="Arial" w:cs="Arial"/>
                          <w:color w:val="000000"/>
                          <w:sz w:val="18"/>
                          <w:szCs w:val="18"/>
                        </w:rPr>
                        <w:t>67224</w:t>
                      </w:r>
                    </w:p>
                  </w:txbxContent>
                </v:textbox>
              </v:rect>
              <v:rect id="_x0000_s62873" style="position:absolute;left:8687;top:6022;width:1191;height:295" stroked="f"/>
              <v:rect id="_x0000_s62874" style="position:absolute;left:9304;top:6050;width:401;height:207;mso-wrap-style:none" filled="f" stroked="f">
                <v:textbox style="mso-next-textbox:#_x0000_s62874;mso-fit-shape-to-text:t" inset="0,0,0,0">
                  <w:txbxContent>
                    <w:p w:rsidR="00CB6FAE" w:rsidRDefault="00CB6FAE">
                      <w:r>
                        <w:rPr>
                          <w:rFonts w:ascii="Arial" w:hAnsi="Arial" w:cs="Arial"/>
                          <w:color w:val="000000"/>
                          <w:sz w:val="18"/>
                          <w:szCs w:val="18"/>
                        </w:rPr>
                        <w:t>2499</w:t>
                      </w:r>
                    </w:p>
                  </w:txbxContent>
                </v:textbox>
              </v:rect>
              <v:rect id="_x0000_s62875" style="position:absolute;left:3265;top:6289;width:1471;height:295" stroked="f"/>
              <v:rect id="_x0000_s62876" style="position:absolute;left:3615;top:6317;width:1052;height:207;mso-wrap-style:none" filled="f" stroked="f">
                <v:textbox style="mso-next-textbox:#_x0000_s62876;mso-fit-shape-to-text:t" inset="0,0,0,0">
                  <w:txbxContent>
                    <w:p w:rsidR="00CB6FAE" w:rsidRDefault="00CB6FAE">
                      <w:r>
                        <w:rPr>
                          <w:rFonts w:ascii="Arial" w:hAnsi="Arial" w:cs="Arial"/>
                          <w:color w:val="000000"/>
                          <w:sz w:val="18"/>
                          <w:szCs w:val="18"/>
                        </w:rPr>
                        <w:t>17753297.18</w:t>
                      </w:r>
                    </w:p>
                  </w:txbxContent>
                </v:textbox>
              </v:rect>
              <v:rect id="_x0000_s62877" style="position:absolute;left:4708;top:6289;width:1345;height:295" stroked="f"/>
              <v:rect id="_x0000_s62878" style="position:absolute;left:4932;top:6317;width:1052;height:207;mso-wrap-style:none" filled="f" stroked="f">
                <v:textbox style="mso-next-textbox:#_x0000_s62878;mso-fit-shape-to-text:t" inset="0,0,0,0">
                  <w:txbxContent>
                    <w:p w:rsidR="00CB6FAE" w:rsidRDefault="00CB6FAE">
                      <w:r>
                        <w:rPr>
                          <w:rFonts w:ascii="Arial" w:hAnsi="Arial" w:cs="Arial"/>
                          <w:color w:val="000000"/>
                          <w:sz w:val="18"/>
                          <w:szCs w:val="18"/>
                        </w:rPr>
                        <w:t>12185713.45</w:t>
                      </w:r>
                    </w:p>
                  </w:txbxContent>
                </v:textbox>
              </v:rect>
              <v:rect id="_x0000_s62879" style="position:absolute;left:6025;top:6289;width:1359;height:295" stroked="f"/>
              <v:rect id="_x0000_s62880" style="position:absolute;left:6263;top:6317;width:1052;height:207;mso-wrap-style:none" filled="f" stroked="f">
                <v:textbox style="mso-next-textbox:#_x0000_s62880;mso-fit-shape-to-text:t" inset="0,0,0,0">
                  <w:txbxContent>
                    <w:p w:rsidR="00CB6FAE" w:rsidRDefault="00CB6FAE">
                      <w:r>
                        <w:rPr>
                          <w:rFonts w:ascii="Arial" w:hAnsi="Arial" w:cs="Arial"/>
                          <w:color w:val="000000"/>
                          <w:sz w:val="18"/>
                          <w:szCs w:val="18"/>
                        </w:rPr>
                        <w:t>10237884.81</w:t>
                      </w:r>
                    </w:p>
                  </w:txbxContent>
                </v:textbox>
              </v:rect>
              <v:rect id="_x0000_s62881" style="position:absolute;left:7356;top:6289;width:1359;height:295" stroked="f"/>
              <v:rect id="_x0000_s62882" style="position:absolute;left:7846;top:6317;width:751;height:207;mso-wrap-style:none" filled="f" stroked="f">
                <v:textbox style="mso-next-textbox:#_x0000_s62882;mso-fit-shape-to-text:t" inset="0,0,0,0">
                  <w:txbxContent>
                    <w:p w:rsidR="00CB6FAE" w:rsidRDefault="00CB6FAE">
                      <w:r>
                        <w:rPr>
                          <w:rFonts w:ascii="Arial" w:hAnsi="Arial" w:cs="Arial"/>
                          <w:color w:val="000000"/>
                          <w:sz w:val="18"/>
                          <w:szCs w:val="18"/>
                        </w:rPr>
                        <w:t>24183.47</w:t>
                      </w:r>
                    </w:p>
                  </w:txbxContent>
                </v:textbox>
              </v:rect>
            </v:group>
            <v:group id="_x0000_s63084" style="position:absolute;left:3265;top:6289;width:6613;height:5629" coordorigin="3265,6289" coordsize="6613,5629">
              <v:rect id="_x0000_s62884" style="position:absolute;left:8687;top:6289;width:1191;height:295" stroked="f"/>
              <v:rect id="_x0000_s62885" style="position:absolute;left:8841;top:6317;width:951;height:207;mso-wrap-style:none" filled="f" stroked="f">
                <v:textbox style="mso-next-textbox:#_x0000_s62885;mso-fit-shape-to-text:t" inset="0,0,0,0">
                  <w:txbxContent>
                    <w:p w:rsidR="00CB6FAE" w:rsidRDefault="00CB6FAE">
                      <w:r>
                        <w:rPr>
                          <w:rFonts w:ascii="Arial" w:hAnsi="Arial" w:cs="Arial"/>
                          <w:color w:val="000000"/>
                          <w:sz w:val="18"/>
                          <w:szCs w:val="18"/>
                        </w:rPr>
                        <w:t>8034924.71</w:t>
                      </w:r>
                    </w:p>
                  </w:txbxContent>
                </v:textbox>
              </v:rect>
              <v:rect id="_x0000_s62886" style="position:absolute;left:3265;top:6555;width:1471;height:295" stroked="f"/>
              <v:rect id="_x0000_s62887" style="position:absolute;left:3699;top:6584;width:951;height:207;mso-wrap-style:none" filled="f" stroked="f">
                <v:textbox style="mso-next-textbox:#_x0000_s62887;mso-fit-shape-to-text:t" inset="0,0,0,0">
                  <w:txbxContent>
                    <w:p w:rsidR="00CB6FAE" w:rsidRDefault="00CB6FAE">
                      <w:r>
                        <w:rPr>
                          <w:rFonts w:ascii="Arial" w:hAnsi="Arial" w:cs="Arial"/>
                          <w:color w:val="000000"/>
                          <w:sz w:val="18"/>
                          <w:szCs w:val="18"/>
                        </w:rPr>
                        <w:t>3820030.50</w:t>
                      </w:r>
                    </w:p>
                  </w:txbxContent>
                </v:textbox>
              </v:rect>
              <v:rect id="_x0000_s62888" style="position:absolute;left:4708;top:6555;width:1345;height:295" stroked="f"/>
              <v:rect id="_x0000_s62889" style="position:absolute;left:5016;top:6584;width:951;height:207;mso-wrap-style:none" filled="f" stroked="f">
                <v:textbox style="mso-next-textbox:#_x0000_s62889;mso-fit-shape-to-text:t" inset="0,0,0,0">
                  <w:txbxContent>
                    <w:p w:rsidR="00CB6FAE" w:rsidRDefault="00CB6FAE">
                      <w:r>
                        <w:rPr>
                          <w:rFonts w:ascii="Arial" w:hAnsi="Arial" w:cs="Arial"/>
                          <w:color w:val="000000"/>
                          <w:sz w:val="18"/>
                          <w:szCs w:val="18"/>
                        </w:rPr>
                        <w:t>1671187.17</w:t>
                      </w:r>
                    </w:p>
                  </w:txbxContent>
                </v:textbox>
              </v:rect>
              <v:rect id="_x0000_s62890" style="position:absolute;left:6025;top:6555;width:1359;height:295" stroked="f"/>
              <v:rect id="_x0000_s62891" style="position:absolute;left:6347;top:6584;width:951;height:207;mso-wrap-style:none" filled="f" stroked="f">
                <v:textbox style="mso-next-textbox:#_x0000_s62891;mso-fit-shape-to-text:t" inset="0,0,0,0">
                  <w:txbxContent>
                    <w:p w:rsidR="00CB6FAE" w:rsidRDefault="00CB6FAE">
                      <w:r>
                        <w:rPr>
                          <w:rFonts w:ascii="Arial" w:hAnsi="Arial" w:cs="Arial"/>
                          <w:color w:val="000000"/>
                          <w:sz w:val="18"/>
                          <w:szCs w:val="18"/>
                        </w:rPr>
                        <w:t>1465305.00</w:t>
                      </w:r>
                    </w:p>
                  </w:txbxContent>
                </v:textbox>
              </v:rect>
              <v:rect id="_x0000_s62892" style="position:absolute;left:7356;top:6555;width:1359;height:295" stroked="f"/>
              <v:rect id="_x0000_s62893" style="position:absolute;left:7846;top:6584;width:751;height:207;mso-wrap-style:none" filled="f" stroked="f">
                <v:textbox style="mso-next-textbox:#_x0000_s62893;mso-fit-shape-to-text:t" inset="0,0,0,0">
                  <w:txbxContent>
                    <w:p w:rsidR="00CB6FAE" w:rsidRDefault="00CB6FAE">
                      <w:r>
                        <w:rPr>
                          <w:rFonts w:ascii="Arial" w:hAnsi="Arial" w:cs="Arial"/>
                          <w:color w:val="000000"/>
                          <w:sz w:val="18"/>
                          <w:szCs w:val="18"/>
                        </w:rPr>
                        <w:t>13625.75</w:t>
                      </w:r>
                    </w:p>
                  </w:txbxContent>
                </v:textbox>
              </v:rect>
              <v:rect id="_x0000_s62894" style="position:absolute;left:8687;top:6555;width:1191;height:295" stroked="f"/>
              <v:rect id="_x0000_s62895" style="position:absolute;left:9178;top:6584;width:551;height:207;mso-wrap-style:none" filled="f" stroked="f">
                <v:textbox style="mso-next-textbox:#_x0000_s62895;mso-fit-shape-to-text:t" inset="0,0,0,0">
                  <w:txbxContent>
                    <w:p w:rsidR="00CB6FAE" w:rsidRDefault="00CB6FAE">
                      <w:r>
                        <w:rPr>
                          <w:rFonts w:ascii="Arial" w:hAnsi="Arial" w:cs="Arial"/>
                          <w:color w:val="000000"/>
                          <w:sz w:val="18"/>
                          <w:szCs w:val="18"/>
                        </w:rPr>
                        <w:t>359.33</w:t>
                      </w:r>
                    </w:p>
                  </w:txbxContent>
                </v:textbox>
              </v:rect>
              <v:rect id="_x0000_s62896" style="position:absolute;left:3265;top:6822;width:1471;height:295" stroked="f"/>
              <v:rect id="_x0000_s62897" style="position:absolute;left:3994;top:6850;width:601;height:207;mso-wrap-style:none" filled="f" stroked="f">
                <v:textbox style="mso-next-textbox:#_x0000_s62897;mso-fit-shape-to-text:t" inset="0,0,0,0">
                  <w:txbxContent>
                    <w:p w:rsidR="00CB6FAE" w:rsidRDefault="00CB6FAE">
                      <w:r>
                        <w:rPr>
                          <w:rFonts w:ascii="Arial" w:hAnsi="Arial" w:cs="Arial"/>
                          <w:color w:val="000000"/>
                          <w:sz w:val="18"/>
                          <w:szCs w:val="18"/>
                        </w:rPr>
                        <w:t>187394</w:t>
                      </w:r>
                    </w:p>
                  </w:txbxContent>
                </v:textbox>
              </v:rect>
              <v:rect id="_x0000_s62898" style="position:absolute;left:4708;top:6822;width:1345;height:295" stroked="f"/>
              <v:rect id="_x0000_s62899" style="position:absolute;left:5395;top:6850;width:501;height:207;mso-wrap-style:none" filled="f" stroked="f">
                <v:textbox style="mso-next-textbox:#_x0000_s62899;mso-fit-shape-to-text:t" inset="0,0,0,0">
                  <w:txbxContent>
                    <w:p w:rsidR="00CB6FAE" w:rsidRDefault="00CB6FAE">
                      <w:r>
                        <w:rPr>
                          <w:rFonts w:ascii="Arial" w:hAnsi="Arial" w:cs="Arial"/>
                          <w:color w:val="000000"/>
                          <w:sz w:val="18"/>
                          <w:szCs w:val="18"/>
                        </w:rPr>
                        <w:t>79572</w:t>
                      </w:r>
                    </w:p>
                  </w:txbxContent>
                </v:textbox>
              </v:rect>
              <v:rect id="_x0000_s62900" style="position:absolute;left:6025;top:6822;width:1359;height:295" stroked="f"/>
              <v:rect id="_x0000_s62901" style="position:absolute;left:6642;top:6850;width:601;height:207;mso-wrap-style:none" filled="f" stroked="f">
                <v:textbox style="mso-next-textbox:#_x0000_s62901;mso-fit-shape-to-text:t" inset="0,0,0,0">
                  <w:txbxContent>
                    <w:p w:rsidR="00CB6FAE" w:rsidRDefault="00CB6FAE">
                      <w:r>
                        <w:rPr>
                          <w:rFonts w:ascii="Arial" w:hAnsi="Arial" w:cs="Arial"/>
                          <w:color w:val="000000"/>
                          <w:sz w:val="18"/>
                          <w:szCs w:val="18"/>
                        </w:rPr>
                        <w:t>103235</w:t>
                      </w:r>
                    </w:p>
                  </w:txbxContent>
                </v:textbox>
              </v:rect>
              <v:rect id="_x0000_s62902" style="position:absolute;left:7356;top:6822;width:1359;height:295" stroked="f"/>
              <v:rect id="_x0000_s62903" style="position:absolute;left:8141;top:6850;width:401;height:207;mso-wrap-style:none" filled="f" stroked="f">
                <v:textbox style="mso-next-textbox:#_x0000_s62903;mso-fit-shape-to-text:t" inset="0,0,0,0">
                  <w:txbxContent>
                    <w:p w:rsidR="00CB6FAE" w:rsidRDefault="00CB6FAE">
                      <w:r>
                        <w:rPr>
                          <w:rFonts w:ascii="Arial" w:hAnsi="Arial" w:cs="Arial"/>
                          <w:color w:val="000000"/>
                          <w:sz w:val="18"/>
                          <w:szCs w:val="18"/>
                        </w:rPr>
                        <w:t>3640</w:t>
                      </w:r>
                    </w:p>
                  </w:txbxContent>
                </v:textbox>
              </v:rect>
              <v:rect id="_x0000_s62904" style="position:absolute;left:8687;top:6822;width:1191;height:295" stroked="f"/>
              <v:rect id="_x0000_s62905" style="position:absolute;left:9472;top:6850;width:201;height:207;mso-wrap-style:none" filled="f" stroked="f">
                <v:textbox style="mso-next-textbox:#_x0000_s62905;mso-fit-shape-to-text:t" inset="0,0,0,0">
                  <w:txbxContent>
                    <w:p w:rsidR="00CB6FAE" w:rsidRDefault="00CB6FAE">
                      <w:r>
                        <w:rPr>
                          <w:rFonts w:ascii="Arial" w:hAnsi="Arial" w:cs="Arial"/>
                          <w:color w:val="000000"/>
                          <w:sz w:val="18"/>
                          <w:szCs w:val="18"/>
                        </w:rPr>
                        <w:t>65</w:t>
                      </w:r>
                    </w:p>
                  </w:txbxContent>
                </v:textbox>
              </v:rect>
              <v:rect id="_x0000_s62906" style="position:absolute;left:3265;top:7089;width:1471;height:295" stroked="f"/>
              <v:rect id="_x0000_s62907" style="position:absolute;left:3825;top:7117;width:801;height:207;mso-wrap-style:none" filled="f" stroked="f">
                <v:textbox style="mso-next-textbox:#_x0000_s62907;mso-fit-shape-to-text:t" inset="0,0,0,0">
                  <w:txbxContent>
                    <w:p w:rsidR="00CB6FAE" w:rsidRDefault="00CB6FAE">
                      <w:r>
                        <w:rPr>
                          <w:rFonts w:ascii="Arial" w:hAnsi="Arial" w:cs="Arial"/>
                          <w:color w:val="000000"/>
                          <w:sz w:val="18"/>
                          <w:szCs w:val="18"/>
                        </w:rPr>
                        <w:t>15298219</w:t>
                      </w:r>
                    </w:p>
                  </w:txbxContent>
                </v:textbox>
              </v:rect>
              <v:rect id="_x0000_s62908" style="position:absolute;left:4708;top:7089;width:1345;height:295" stroked="f"/>
              <v:rect id="_x0000_s62909" style="position:absolute;left:5226;top:7117;width:701;height:207;mso-wrap-style:none" filled="f" stroked="f">
                <v:textbox style="mso-next-textbox:#_x0000_s62909;mso-fit-shape-to-text:t" inset="0,0,0,0">
                  <w:txbxContent>
                    <w:p w:rsidR="00CB6FAE" w:rsidRDefault="00CB6FAE">
                      <w:r>
                        <w:rPr>
                          <w:rFonts w:ascii="Arial" w:hAnsi="Arial" w:cs="Arial"/>
                          <w:color w:val="000000"/>
                          <w:sz w:val="18"/>
                          <w:szCs w:val="18"/>
                        </w:rPr>
                        <w:t>4642952</w:t>
                      </w:r>
                    </w:p>
                  </w:txbxContent>
                </v:textbox>
              </v:rect>
              <v:rect id="_x0000_s62910" style="position:absolute;left:6025;top:7089;width:1359;height:295" stroked="f"/>
              <v:rect id="_x0000_s62911" style="position:absolute;left:6557;top:7117;width:701;height:207;mso-wrap-style:none" filled="f" stroked="f">
                <v:textbox style="mso-next-textbox:#_x0000_s62911;mso-fit-shape-to-text:t" inset="0,0,0,0">
                  <w:txbxContent>
                    <w:p w:rsidR="00CB6FAE" w:rsidRDefault="00CB6FAE">
                      <w:r>
                        <w:rPr>
                          <w:rFonts w:ascii="Arial" w:hAnsi="Arial" w:cs="Arial"/>
                          <w:color w:val="000000"/>
                          <w:sz w:val="18"/>
                          <w:szCs w:val="18"/>
                        </w:rPr>
                        <w:t>4239052</w:t>
                      </w:r>
                    </w:p>
                  </w:txbxContent>
                </v:textbox>
              </v:rect>
              <v:rect id="_x0000_s62912" style="position:absolute;left:7356;top:7089;width:1359;height:295" stroked="f"/>
              <v:rect id="_x0000_s62913" style="position:absolute;left:8057;top:7117;width:501;height:207;mso-wrap-style:none" filled="f" stroked="f">
                <v:textbox style="mso-next-textbox:#_x0000_s62913;mso-fit-shape-to-text:t" inset="0,0,0,0">
                  <w:txbxContent>
                    <w:p w:rsidR="00CB6FAE" w:rsidRDefault="00CB6FAE">
                      <w:r>
                        <w:rPr>
                          <w:rFonts w:ascii="Arial" w:hAnsi="Arial" w:cs="Arial"/>
                          <w:color w:val="000000"/>
                          <w:sz w:val="18"/>
                          <w:szCs w:val="18"/>
                        </w:rPr>
                        <w:t>23511</w:t>
                      </w:r>
                    </w:p>
                  </w:txbxContent>
                </v:textbox>
              </v:rect>
              <v:rect id="_x0000_s62914" style="position:absolute;left:8687;top:7089;width:1191;height:295" stroked="f"/>
              <v:rect id="_x0000_s62915" style="position:absolute;left:9304;top:7117;width:401;height:207;mso-wrap-style:none" filled="f" stroked="f">
                <v:textbox style="mso-next-textbox:#_x0000_s62915;mso-fit-shape-to-text:t" inset="0,0,0,0">
                  <w:txbxContent>
                    <w:p w:rsidR="00CB6FAE" w:rsidRDefault="00CB6FAE">
                      <w:r>
                        <w:rPr>
                          <w:rFonts w:ascii="Arial" w:hAnsi="Arial" w:cs="Arial"/>
                          <w:color w:val="000000"/>
                          <w:sz w:val="18"/>
                          <w:szCs w:val="18"/>
                        </w:rPr>
                        <w:t>1099</w:t>
                      </w:r>
                    </w:p>
                  </w:txbxContent>
                </v:textbox>
              </v:rect>
              <v:rect id="_x0000_s62916" style="position:absolute;left:3265;top:7356;width:1471;height:294" stroked="f"/>
              <v:rect id="_x0000_s62917" style="position:absolute;left:3699;top:7384;width:951;height:207;mso-wrap-style:none" filled="f" stroked="f">
                <v:textbox style="mso-next-textbox:#_x0000_s62917;mso-fit-shape-to-text:t" inset="0,0,0,0">
                  <w:txbxContent>
                    <w:p w:rsidR="00CB6FAE" w:rsidRDefault="00CB6FAE">
                      <w:r>
                        <w:rPr>
                          <w:rFonts w:ascii="Arial" w:hAnsi="Arial" w:cs="Arial"/>
                          <w:color w:val="000000"/>
                          <w:sz w:val="18"/>
                          <w:szCs w:val="18"/>
                        </w:rPr>
                        <w:t>5776513.65</w:t>
                      </w:r>
                    </w:p>
                  </w:txbxContent>
                </v:textbox>
              </v:rect>
              <v:rect id="_x0000_s62918" style="position:absolute;left:4708;top:7356;width:1345;height:294" stroked="f"/>
              <v:rect id="_x0000_s62919" style="position:absolute;left:5016;top:7384;width:951;height:207;mso-wrap-style:none" filled="f" stroked="f">
                <v:textbox style="mso-next-textbox:#_x0000_s62919;mso-fit-shape-to-text:t" inset="0,0,0,0">
                  <w:txbxContent>
                    <w:p w:rsidR="00CB6FAE" w:rsidRDefault="00CB6FAE">
                      <w:r>
                        <w:rPr>
                          <w:rFonts w:ascii="Arial" w:hAnsi="Arial" w:cs="Arial"/>
                          <w:color w:val="000000"/>
                          <w:sz w:val="18"/>
                          <w:szCs w:val="18"/>
                        </w:rPr>
                        <w:t>1872186.53</w:t>
                      </w:r>
                    </w:p>
                  </w:txbxContent>
                </v:textbox>
              </v:rect>
              <v:rect id="_x0000_s62920" style="position:absolute;left:6025;top:7356;width:1359;height:294" stroked="f"/>
              <v:rect id="_x0000_s62921" style="position:absolute;left:6347;top:7384;width:951;height:207;mso-wrap-style:none" filled="f" stroked="f">
                <v:textbox style="mso-next-textbox:#_x0000_s62921;mso-fit-shape-to-text:t" inset="0,0,0,0">
                  <w:txbxContent>
                    <w:p w:rsidR="00CB6FAE" w:rsidRDefault="00CB6FAE">
                      <w:r>
                        <w:rPr>
                          <w:rFonts w:ascii="Arial" w:hAnsi="Arial" w:cs="Arial"/>
                          <w:color w:val="000000"/>
                          <w:sz w:val="18"/>
                          <w:szCs w:val="18"/>
                        </w:rPr>
                        <w:t>1606719.86</w:t>
                      </w:r>
                    </w:p>
                  </w:txbxContent>
                </v:textbox>
              </v:rect>
              <v:rect id="_x0000_s62922" style="position:absolute;left:7356;top:7356;width:1359;height:294" stroked="f"/>
              <v:rect id="_x0000_s62923" style="position:absolute;left:7931;top:7384;width:651;height:207;mso-wrap-style:none" filled="f" stroked="f">
                <v:textbox style="mso-next-textbox:#_x0000_s62923;mso-fit-shape-to-text:t" inset="0,0,0,0">
                  <w:txbxContent>
                    <w:p w:rsidR="00CB6FAE" w:rsidRDefault="00CB6FAE">
                      <w:r>
                        <w:rPr>
                          <w:rFonts w:ascii="Arial" w:hAnsi="Arial" w:cs="Arial"/>
                          <w:color w:val="000000"/>
                          <w:sz w:val="18"/>
                          <w:szCs w:val="18"/>
                        </w:rPr>
                        <w:t>9175.77</w:t>
                      </w:r>
                    </w:p>
                  </w:txbxContent>
                </v:textbox>
              </v:rect>
              <v:rect id="_x0000_s62924" style="position:absolute;left:8687;top:7356;width:1191;height:294" stroked="f"/>
              <v:rect id="_x0000_s62925" style="position:absolute;left:9178;top:7384;width:551;height:207;mso-wrap-style:none" filled="f" stroked="f">
                <v:textbox style="mso-next-textbox:#_x0000_s62925;mso-fit-shape-to-text:t" inset="0,0,0,0">
                  <w:txbxContent>
                    <w:p w:rsidR="00CB6FAE" w:rsidRDefault="00CB6FAE">
                      <w:r>
                        <w:rPr>
                          <w:rFonts w:ascii="Arial" w:hAnsi="Arial" w:cs="Arial"/>
                          <w:color w:val="000000"/>
                          <w:sz w:val="18"/>
                          <w:szCs w:val="18"/>
                        </w:rPr>
                        <w:t>408.40</w:t>
                      </w:r>
                    </w:p>
                  </w:txbxContent>
                </v:textbox>
              </v:rect>
              <v:rect id="_x0000_s62926" style="position:absolute;left:3265;top:7622;width:1471;height:295" stroked="f"/>
              <v:rect id="_x0000_s62927" style="position:absolute;left:3615;top:7650;width:1052;height:207;mso-wrap-style:none" filled="f" stroked="f">
                <v:textbox style="mso-next-textbox:#_x0000_s62927;mso-fit-shape-to-text:t" inset="0,0,0,0">
                  <w:txbxContent>
                    <w:p w:rsidR="00CB6FAE" w:rsidRDefault="00CB6FAE">
                      <w:r>
                        <w:rPr>
                          <w:rFonts w:ascii="Arial" w:hAnsi="Arial" w:cs="Arial"/>
                          <w:color w:val="000000"/>
                          <w:sz w:val="18"/>
                          <w:szCs w:val="18"/>
                        </w:rPr>
                        <w:t>16004205.57</w:t>
                      </w:r>
                    </w:p>
                  </w:txbxContent>
                </v:textbox>
              </v:rect>
              <v:rect id="_x0000_s62928" style="position:absolute;left:4708;top:7622;width:1345;height:295" stroked="f"/>
              <v:rect id="_x0000_s62929" style="position:absolute;left:4932;top:7650;width:1052;height:207;mso-wrap-style:none" filled="f" stroked="f">
                <v:textbox style="mso-next-textbox:#_x0000_s62929;mso-fit-shape-to-text:t" inset="0,0,0,0">
                  <w:txbxContent>
                    <w:p w:rsidR="00CB6FAE" w:rsidRDefault="00CB6FAE">
                      <w:r>
                        <w:rPr>
                          <w:rFonts w:ascii="Arial" w:hAnsi="Arial" w:cs="Arial"/>
                          <w:color w:val="000000"/>
                          <w:sz w:val="18"/>
                          <w:szCs w:val="18"/>
                        </w:rPr>
                        <w:t>18179468.29</w:t>
                      </w:r>
                    </w:p>
                  </w:txbxContent>
                </v:textbox>
              </v:rect>
              <v:rect id="_x0000_s62930" style="position:absolute;left:6025;top:7622;width:1359;height:295" stroked="f"/>
              <v:rect id="_x0000_s62931" style="position:absolute;left:6347;top:7650;width:951;height:207;mso-wrap-style:none" filled="f" stroked="f">
                <v:textbox style="mso-next-textbox:#_x0000_s62931;mso-fit-shape-to-text:t" inset="0,0,0,0">
                  <w:txbxContent>
                    <w:p w:rsidR="00CB6FAE" w:rsidRDefault="00CB6FAE">
                      <w:r>
                        <w:rPr>
                          <w:rFonts w:ascii="Arial" w:hAnsi="Arial" w:cs="Arial"/>
                          <w:color w:val="000000"/>
                          <w:sz w:val="18"/>
                          <w:szCs w:val="18"/>
                        </w:rPr>
                        <w:t>8034924.71</w:t>
                      </w:r>
                    </w:p>
                  </w:txbxContent>
                </v:textbox>
              </v:rect>
              <v:rect id="_x0000_s62932" style="position:absolute;left:7356;top:7622;width:1359;height:295" stroked="f"/>
              <v:rect id="_x0000_s62933" style="position:absolute;left:7846;top:7650;width:751;height:207;mso-wrap-style:none" filled="f" stroked="f">
                <v:textbox style="mso-next-textbox:#_x0000_s62933;mso-fit-shape-to-text:t" inset="0,0,0,0">
                  <w:txbxContent>
                    <w:p w:rsidR="00CB6FAE" w:rsidRDefault="00CB6FAE">
                      <w:r>
                        <w:rPr>
                          <w:rFonts w:ascii="Arial" w:hAnsi="Arial" w:cs="Arial"/>
                          <w:color w:val="000000"/>
                          <w:sz w:val="18"/>
                          <w:szCs w:val="18"/>
                        </w:rPr>
                        <w:t>71403.14</w:t>
                      </w:r>
                    </w:p>
                  </w:txbxContent>
                </v:textbox>
              </v:rect>
              <v:rect id="_x0000_s62934" style="position:absolute;left:8687;top:7622;width:1191;height:295" stroked="f"/>
              <v:rect id="_x0000_s62935" style="position:absolute;left:9094;top:7650;width:651;height:207;mso-wrap-style:none" filled="f" stroked="f">
                <v:textbox style="mso-next-textbox:#_x0000_s62935;mso-fit-shape-to-text:t" inset="0,0,0,0">
                  <w:txbxContent>
                    <w:p w:rsidR="00CB6FAE" w:rsidRDefault="00CB6FAE">
                      <w:r>
                        <w:rPr>
                          <w:rFonts w:ascii="Arial" w:hAnsi="Arial" w:cs="Arial"/>
                          <w:color w:val="000000"/>
                          <w:sz w:val="18"/>
                          <w:szCs w:val="18"/>
                        </w:rPr>
                        <w:t>2300.86</w:t>
                      </w:r>
                    </w:p>
                  </w:txbxContent>
                </v:textbox>
              </v:rect>
              <v:rect id="_x0000_s62936" style="position:absolute;left:3265;top:7889;width:1471;height:295" stroked="f"/>
              <v:rect id="_x0000_s62937" style="position:absolute;left:3909;top:7917;width:701;height:207;mso-wrap-style:none" filled="f" stroked="f">
                <v:textbox style="mso-next-textbox:#_x0000_s62937;mso-fit-shape-to-text:t" inset="0,0,0,0">
                  <w:txbxContent>
                    <w:p w:rsidR="00CB6FAE" w:rsidRDefault="00CB6FAE">
                      <w:r>
                        <w:rPr>
                          <w:rFonts w:ascii="Arial" w:hAnsi="Arial" w:cs="Arial"/>
                          <w:color w:val="000000"/>
                          <w:sz w:val="18"/>
                          <w:szCs w:val="18"/>
                        </w:rPr>
                        <w:t>3508200</w:t>
                      </w:r>
                    </w:p>
                  </w:txbxContent>
                </v:textbox>
              </v:rect>
              <v:rect id="_x0000_s62938" style="position:absolute;left:4708;top:7889;width:1345;height:295" stroked="f"/>
              <v:rect id="_x0000_s62939" style="position:absolute;left:5226;top:7917;width:701;height:207;mso-wrap-style:none" filled="f" stroked="f">
                <v:textbox style="mso-next-textbox:#_x0000_s62939;mso-fit-shape-to-text:t" inset="0,0,0,0">
                  <w:txbxContent>
                    <w:p w:rsidR="00CB6FAE" w:rsidRDefault="00CB6FAE">
                      <w:r>
                        <w:rPr>
                          <w:rFonts w:ascii="Arial" w:hAnsi="Arial" w:cs="Arial"/>
                          <w:color w:val="000000"/>
                          <w:sz w:val="18"/>
                          <w:szCs w:val="18"/>
                        </w:rPr>
                        <w:t>1868175</w:t>
                      </w:r>
                    </w:p>
                  </w:txbxContent>
                </v:textbox>
              </v:rect>
              <v:rect id="_x0000_s62940" style="position:absolute;left:6025;top:7889;width:1359;height:295" stroked="f"/>
              <v:rect id="_x0000_s62941" style="position:absolute;left:6642;top:7917;width:601;height:207;mso-wrap-style:none" filled="f" stroked="f">
                <v:textbox style="mso-next-textbox:#_x0000_s62941;mso-fit-shape-to-text:t" inset="0,0,0,0">
                  <w:txbxContent>
                    <w:p w:rsidR="00CB6FAE" w:rsidRDefault="00CB6FAE">
                      <w:r>
                        <w:rPr>
                          <w:rFonts w:ascii="Arial" w:hAnsi="Arial" w:cs="Arial"/>
                          <w:color w:val="000000"/>
                          <w:sz w:val="18"/>
                          <w:szCs w:val="18"/>
                        </w:rPr>
                        <w:t>763845</w:t>
                      </w:r>
                    </w:p>
                  </w:txbxContent>
                </v:textbox>
              </v:rect>
              <v:rect id="_x0000_s62942" style="position:absolute;left:7356;top:7889;width:1359;height:295" stroked="f"/>
              <v:rect id="_x0000_s62943" style="position:absolute;left:8141;top:7917;width:401;height:207;mso-wrap-style:none" filled="f" stroked="f">
                <v:textbox style="mso-next-textbox:#_x0000_s62943;mso-fit-shape-to-text:t" inset="0,0,0,0">
                  <w:txbxContent>
                    <w:p w:rsidR="00CB6FAE" w:rsidRDefault="00CB6FAE">
                      <w:r>
                        <w:rPr>
                          <w:rFonts w:ascii="Arial" w:hAnsi="Arial" w:cs="Arial"/>
                          <w:color w:val="000000"/>
                          <w:sz w:val="18"/>
                          <w:szCs w:val="18"/>
                        </w:rPr>
                        <w:t>2777</w:t>
                      </w:r>
                    </w:p>
                  </w:txbxContent>
                </v:textbox>
              </v:rect>
              <v:rect id="_x0000_s62944" style="position:absolute;left:8687;top:7889;width:1191;height:295" stroked="f"/>
              <v:rect id="_x0000_s62945" style="position:absolute;left:9388;top:7917;width:301;height:207;mso-wrap-style:none" filled="f" stroked="f">
                <v:textbox style="mso-next-textbox:#_x0000_s62945;mso-fit-shape-to-text:t" inset="0,0,0,0">
                  <w:txbxContent>
                    <w:p w:rsidR="00CB6FAE" w:rsidRDefault="00CB6FAE">
                      <w:r>
                        <w:rPr>
                          <w:rFonts w:ascii="Arial" w:hAnsi="Arial" w:cs="Arial"/>
                          <w:color w:val="000000"/>
                          <w:sz w:val="18"/>
                          <w:szCs w:val="18"/>
                        </w:rPr>
                        <w:t>302</w:t>
                      </w:r>
                    </w:p>
                  </w:txbxContent>
                </v:textbox>
              </v:rect>
              <v:rect id="_x0000_s62946" style="position:absolute;left:3265;top:8156;width:1471;height:294" stroked="f"/>
              <v:rect id="_x0000_s62947" style="position:absolute;left:3825;top:8184;width:801;height:207;mso-wrap-style:none" filled="f" stroked="f">
                <v:textbox style="mso-next-textbox:#_x0000_s62947;mso-fit-shape-to-text:t" inset="0,0,0,0">
                  <w:txbxContent>
                    <w:p w:rsidR="00CB6FAE" w:rsidRDefault="00CB6FAE">
                      <w:r>
                        <w:rPr>
                          <w:rFonts w:ascii="Arial" w:hAnsi="Arial" w:cs="Arial"/>
                          <w:color w:val="000000"/>
                          <w:sz w:val="18"/>
                          <w:szCs w:val="18"/>
                        </w:rPr>
                        <w:t>41872194</w:t>
                      </w:r>
                    </w:p>
                  </w:txbxContent>
                </v:textbox>
              </v:rect>
              <v:rect id="_x0000_s62948" style="position:absolute;left:4708;top:8156;width:1345;height:294" stroked="f"/>
              <v:rect id="_x0000_s62949" style="position:absolute;left:5142;top:8184;width:801;height:207;mso-wrap-style:none" filled="f" stroked="f">
                <v:textbox style="mso-next-textbox:#_x0000_s62949;mso-fit-shape-to-text:t" inset="0,0,0,0">
                  <w:txbxContent>
                    <w:p w:rsidR="00CB6FAE" w:rsidRDefault="00CB6FAE">
                      <w:r>
                        <w:rPr>
                          <w:rFonts w:ascii="Arial" w:hAnsi="Arial" w:cs="Arial"/>
                          <w:color w:val="000000"/>
                          <w:sz w:val="18"/>
                          <w:szCs w:val="18"/>
                        </w:rPr>
                        <w:t>43494366</w:t>
                      </w:r>
                    </w:p>
                  </w:txbxContent>
                </v:textbox>
              </v:rect>
              <v:rect id="_x0000_s62950" style="position:absolute;left:6025;top:8156;width:1359;height:294" stroked="f"/>
              <v:rect id="_x0000_s62951" style="position:absolute;left:6473;top:8184;width:801;height:207;mso-wrap-style:none" filled="f" stroked="f">
                <v:textbox style="mso-next-textbox:#_x0000_s62951;mso-fit-shape-to-text:t" inset="0,0,0,0">
                  <w:txbxContent>
                    <w:p w:rsidR="00CB6FAE" w:rsidRDefault="00CB6FAE">
                      <w:r>
                        <w:rPr>
                          <w:rFonts w:ascii="Arial" w:hAnsi="Arial" w:cs="Arial"/>
                          <w:color w:val="000000"/>
                          <w:sz w:val="18"/>
                          <w:szCs w:val="18"/>
                        </w:rPr>
                        <w:t>27055099</w:t>
                      </w:r>
                    </w:p>
                  </w:txbxContent>
                </v:textbox>
              </v:rect>
              <v:rect id="_x0000_s62952" style="position:absolute;left:7356;top:8156;width:1359;height:294" stroked="f"/>
              <v:rect id="_x0000_s62953" style="position:absolute;left:7973;top:8184;width:601;height:207;mso-wrap-style:none" filled="f" stroked="f">
                <v:textbox style="mso-next-textbox:#_x0000_s62953;mso-fit-shape-to-text:t" inset="0,0,0,0">
                  <w:txbxContent>
                    <w:p w:rsidR="00CB6FAE" w:rsidRDefault="00CB6FAE">
                      <w:r>
                        <w:rPr>
                          <w:rFonts w:ascii="Arial" w:hAnsi="Arial" w:cs="Arial"/>
                          <w:color w:val="000000"/>
                          <w:sz w:val="18"/>
                          <w:szCs w:val="18"/>
                        </w:rPr>
                        <w:t>196901</w:t>
                      </w:r>
                    </w:p>
                  </w:txbxContent>
                </v:textbox>
              </v:rect>
              <v:rect id="_x0000_s62954" style="position:absolute;left:8687;top:8156;width:1191;height:294" stroked="f"/>
              <v:rect id="_x0000_s62955" style="position:absolute;left:9304;top:8184;width:401;height:207;mso-wrap-style:none" filled="f" stroked="f">
                <v:textbox style="mso-next-textbox:#_x0000_s62955;mso-fit-shape-to-text:t" inset="0,0,0,0">
                  <w:txbxContent>
                    <w:p w:rsidR="00CB6FAE" w:rsidRDefault="00CB6FAE">
                      <w:r>
                        <w:rPr>
                          <w:rFonts w:ascii="Arial" w:hAnsi="Arial" w:cs="Arial"/>
                          <w:color w:val="000000"/>
                          <w:sz w:val="18"/>
                          <w:szCs w:val="18"/>
                        </w:rPr>
                        <w:t>6572</w:t>
                      </w:r>
                    </w:p>
                  </w:txbxContent>
                </v:textbox>
              </v:rect>
              <v:rect id="_x0000_s62956" style="position:absolute;left:3265;top:8422;width:1471;height:295" stroked="f"/>
              <v:rect id="_x0000_s62957" style="position:absolute;left:3615;top:8450;width:1052;height:207;mso-wrap-style:none" filled="f" stroked="f">
                <v:textbox style="mso-next-textbox:#_x0000_s62957;mso-fit-shape-to-text:t" inset="0,0,0,0">
                  <w:txbxContent>
                    <w:p w:rsidR="00CB6FAE" w:rsidRDefault="00CB6FAE">
                      <w:r>
                        <w:rPr>
                          <w:rFonts w:ascii="Arial" w:hAnsi="Arial" w:cs="Arial"/>
                          <w:color w:val="000000"/>
                          <w:sz w:val="18"/>
                          <w:szCs w:val="18"/>
                        </w:rPr>
                        <w:t>14314753.05</w:t>
                      </w:r>
                    </w:p>
                  </w:txbxContent>
                </v:textbox>
              </v:rect>
              <v:rect id="_x0000_s62958" style="position:absolute;left:4708;top:8422;width:1345;height:295" stroked="f"/>
              <v:rect id="_x0000_s62959" style="position:absolute;left:4932;top:8450;width:1052;height:207;mso-wrap-style:none" filled="f" stroked="f">
                <v:textbox style="mso-next-textbox:#_x0000_s62959;mso-fit-shape-to-text:t" inset="0,0,0,0">
                  <w:txbxContent>
                    <w:p w:rsidR="00CB6FAE" w:rsidRDefault="00CB6FAE">
                      <w:r>
                        <w:rPr>
                          <w:rFonts w:ascii="Arial" w:hAnsi="Arial" w:cs="Arial"/>
                          <w:color w:val="000000"/>
                          <w:sz w:val="18"/>
                          <w:szCs w:val="18"/>
                        </w:rPr>
                        <w:t>14795415.68</w:t>
                      </w:r>
                    </w:p>
                  </w:txbxContent>
                </v:textbox>
              </v:rect>
              <v:rect id="_x0000_s62960" style="position:absolute;left:6025;top:8422;width:1359;height:295" stroked="f"/>
              <v:rect id="_x0000_s62961" style="position:absolute;left:6347;top:8450;width:951;height:207;mso-wrap-style:none" filled="f" stroked="f">
                <v:textbox style="mso-next-textbox:#_x0000_s62961;mso-fit-shape-to-text:t" inset="0,0,0,0">
                  <w:txbxContent>
                    <w:p w:rsidR="00CB6FAE" w:rsidRDefault="00CB6FAE">
                      <w:r>
                        <w:rPr>
                          <w:rFonts w:ascii="Arial" w:hAnsi="Arial" w:cs="Arial"/>
                          <w:color w:val="000000"/>
                          <w:sz w:val="18"/>
                          <w:szCs w:val="18"/>
                        </w:rPr>
                        <w:t>9842363.69</w:t>
                      </w:r>
                    </w:p>
                  </w:txbxContent>
                </v:textbox>
              </v:rect>
              <v:rect id="_x0000_s62962" style="position:absolute;left:7356;top:8422;width:1359;height:295" stroked="f"/>
              <v:rect id="_x0000_s62963" style="position:absolute;left:7846;top:8450;width:751;height:207;mso-wrap-style:none" filled="f" stroked="f">
                <v:textbox style="mso-next-textbox:#_x0000_s62963;mso-fit-shape-to-text:t" inset="0,0,0,0">
                  <w:txbxContent>
                    <w:p w:rsidR="00CB6FAE" w:rsidRDefault="00CB6FAE">
                      <w:r>
                        <w:rPr>
                          <w:rFonts w:ascii="Arial" w:hAnsi="Arial" w:cs="Arial"/>
                          <w:color w:val="000000"/>
                          <w:sz w:val="18"/>
                          <w:szCs w:val="18"/>
                        </w:rPr>
                        <w:t>63433.42</w:t>
                      </w:r>
                    </w:p>
                  </w:txbxContent>
                </v:textbox>
              </v:rect>
              <v:rect id="_x0000_s62964" style="position:absolute;left:8687;top:8422;width:1191;height:295" stroked="f"/>
              <v:rect id="_x0000_s62965" style="position:absolute;left:9094;top:8450;width:651;height:207;mso-wrap-style:none" filled="f" stroked="f">
                <v:textbox style="mso-next-textbox:#_x0000_s62965;mso-fit-shape-to-text:t" inset="0,0,0,0">
                  <w:txbxContent>
                    <w:p w:rsidR="00CB6FAE" w:rsidRDefault="00CB6FAE">
                      <w:r>
                        <w:rPr>
                          <w:rFonts w:ascii="Arial" w:hAnsi="Arial" w:cs="Arial"/>
                          <w:color w:val="000000"/>
                          <w:sz w:val="18"/>
                          <w:szCs w:val="18"/>
                        </w:rPr>
                        <w:t>2511.34</w:t>
                      </w:r>
                    </w:p>
                  </w:txbxContent>
                </v:textbox>
              </v:rect>
              <v:rect id="_x0000_s62966" style="position:absolute;left:3265;top:8689;width:1471;height:295" stroked="f"/>
              <v:rect id="_x0000_s62967" style="position:absolute;left:3615;top:8717;width:1052;height:207;mso-wrap-style:none" filled="f" stroked="f">
                <v:textbox style="mso-next-textbox:#_x0000_s62967;mso-fit-shape-to-text:t" inset="0,0,0,0">
                  <w:txbxContent>
                    <w:p w:rsidR="00CB6FAE" w:rsidRDefault="00CB6FAE">
                      <w:r>
                        <w:rPr>
                          <w:rFonts w:ascii="Arial" w:hAnsi="Arial" w:cs="Arial"/>
                          <w:color w:val="000000"/>
                          <w:sz w:val="18"/>
                          <w:szCs w:val="18"/>
                        </w:rPr>
                        <w:t>30897024.57</w:t>
                      </w:r>
                    </w:p>
                  </w:txbxContent>
                </v:textbox>
              </v:rect>
              <v:rect id="_x0000_s62968" style="position:absolute;left:4708;top:8689;width:1345;height:295" stroked="f"/>
              <v:rect id="_x0000_s62969" style="position:absolute;left:4932;top:8717;width:1052;height:207;mso-wrap-style:none" filled="f" stroked="f">
                <v:textbox style="mso-next-textbox:#_x0000_s62969;mso-fit-shape-to-text:t" inset="0,0,0,0">
                  <w:txbxContent>
                    <w:p w:rsidR="00CB6FAE" w:rsidRDefault="00CB6FAE">
                      <w:r>
                        <w:rPr>
                          <w:rFonts w:ascii="Arial" w:hAnsi="Arial" w:cs="Arial"/>
                          <w:color w:val="000000"/>
                          <w:sz w:val="18"/>
                          <w:szCs w:val="18"/>
                        </w:rPr>
                        <w:t>71699925.29</w:t>
                      </w:r>
                    </w:p>
                  </w:txbxContent>
                </v:textbox>
              </v:rect>
              <v:rect id="_x0000_s62970" style="position:absolute;left:6025;top:8689;width:1359;height:295" stroked="f"/>
              <v:rect id="_x0000_s62971" style="position:absolute;left:6347;top:8717;width:951;height:207;mso-wrap-style:none" filled="f" stroked="f">
                <v:textbox style="mso-next-textbox:#_x0000_s62971;mso-fit-shape-to-text:t" inset="0,0,0,0">
                  <w:txbxContent>
                    <w:p w:rsidR="00CB6FAE" w:rsidRDefault="00CB6FAE">
                      <w:r>
                        <w:rPr>
                          <w:rFonts w:ascii="Arial" w:hAnsi="Arial" w:cs="Arial"/>
                          <w:color w:val="000000"/>
                          <w:sz w:val="18"/>
                          <w:szCs w:val="18"/>
                        </w:rPr>
                        <w:t>7176315.00</w:t>
                      </w:r>
                    </w:p>
                  </w:txbxContent>
                </v:textbox>
              </v:rect>
              <v:rect id="_x0000_s62972" style="position:absolute;left:7356;top:8689;width:1359;height:295" stroked="f"/>
              <v:rect id="_x0000_s62973" style="position:absolute;left:7762;top:8717;width:851;height:207;mso-wrap-style:none" filled="f" stroked="f">
                <v:textbox style="mso-next-textbox:#_x0000_s62973;mso-fit-shape-to-text:t" inset="0,0,0,0">
                  <w:txbxContent>
                    <w:p w:rsidR="00CB6FAE" w:rsidRDefault="00CB6FAE">
                      <w:r>
                        <w:rPr>
                          <w:rFonts w:ascii="Arial" w:hAnsi="Arial" w:cs="Arial"/>
                          <w:color w:val="000000"/>
                          <w:sz w:val="18"/>
                          <w:szCs w:val="18"/>
                        </w:rPr>
                        <w:t>101807.14</w:t>
                      </w:r>
                    </w:p>
                  </w:txbxContent>
                </v:textbox>
              </v:rect>
              <v:rect id="_x0000_s62974" style="position:absolute;left:8687;top:8689;width:1191;height:295" stroked="f"/>
              <v:rect id="_x0000_s62975" style="position:absolute;left:9178;top:8717;width:551;height:207;mso-wrap-style:none" filled="f" stroked="f">
                <v:textbox style="mso-next-textbox:#_x0000_s62975;mso-fit-shape-to-text:t" inset="0,0,0,0">
                  <w:txbxContent>
                    <w:p w:rsidR="00CB6FAE" w:rsidRDefault="00CB6FAE">
                      <w:r>
                        <w:rPr>
                          <w:rFonts w:ascii="Arial" w:hAnsi="Arial" w:cs="Arial"/>
                          <w:color w:val="000000"/>
                          <w:sz w:val="18"/>
                          <w:szCs w:val="18"/>
                        </w:rPr>
                        <w:t>315.57</w:t>
                      </w:r>
                    </w:p>
                  </w:txbxContent>
                </v:textbox>
              </v:rect>
              <v:rect id="_x0000_s62976" style="position:absolute;left:3265;top:8956;width:1471;height:295" stroked="f"/>
              <v:rect id="_x0000_s62977" style="position:absolute;left:3909;top:8984;width:701;height:207;mso-wrap-style:none" filled="f" stroked="f">
                <v:textbox style="mso-next-textbox:#_x0000_s62977;mso-fit-shape-to-text:t" inset="0,0,0,0">
                  <w:txbxContent>
                    <w:p w:rsidR="00CB6FAE" w:rsidRDefault="00CB6FAE">
                      <w:r>
                        <w:rPr>
                          <w:rFonts w:ascii="Arial" w:hAnsi="Arial" w:cs="Arial"/>
                          <w:color w:val="000000"/>
                          <w:sz w:val="18"/>
                          <w:szCs w:val="18"/>
                        </w:rPr>
                        <w:t>1208537</w:t>
                      </w:r>
                    </w:p>
                  </w:txbxContent>
                </v:textbox>
              </v:rect>
              <v:rect id="_x0000_s62978" style="position:absolute;left:4708;top:8956;width:1345;height:295" stroked="f"/>
              <v:rect id="_x0000_s62979" style="position:absolute;left:5311;top:8984;width:601;height:207;mso-wrap-style:none" filled="f" stroked="f">
                <v:textbox style="mso-next-textbox:#_x0000_s62979;mso-fit-shape-to-text:t" inset="0,0,0,0">
                  <w:txbxContent>
                    <w:p w:rsidR="00CB6FAE" w:rsidRDefault="00CB6FAE">
                      <w:r>
                        <w:rPr>
                          <w:rFonts w:ascii="Arial" w:hAnsi="Arial" w:cs="Arial"/>
                          <w:color w:val="000000"/>
                          <w:sz w:val="18"/>
                          <w:szCs w:val="18"/>
                        </w:rPr>
                        <w:t>126573</w:t>
                      </w:r>
                    </w:p>
                  </w:txbxContent>
                </v:textbox>
              </v:rect>
              <v:rect id="_x0000_s62980" style="position:absolute;left:6025;top:8956;width:1359;height:295" stroked="f"/>
              <v:rect id="_x0000_s62981" style="position:absolute;left:6642;top:8984;width:601;height:207;mso-wrap-style:none" filled="f" stroked="f">
                <v:textbox style="mso-next-textbox:#_x0000_s62981;mso-fit-shape-to-text:t" inset="0,0,0,0">
                  <w:txbxContent>
                    <w:p w:rsidR="00CB6FAE" w:rsidRDefault="00CB6FAE">
                      <w:r>
                        <w:rPr>
                          <w:rFonts w:ascii="Arial" w:hAnsi="Arial" w:cs="Arial"/>
                          <w:color w:val="000000"/>
                          <w:sz w:val="18"/>
                          <w:szCs w:val="18"/>
                        </w:rPr>
                        <w:t>101917</w:t>
                      </w:r>
                    </w:p>
                  </w:txbxContent>
                </v:textbox>
              </v:rect>
              <v:rect id="_x0000_s62982" style="position:absolute;left:7356;top:8956;width:1359;height:295" stroked="f"/>
              <v:rect id="_x0000_s62983" style="position:absolute;left:8057;top:8984;width:501;height:207;mso-wrap-style:none" filled="f" stroked="f">
                <v:textbox style="mso-next-textbox:#_x0000_s62983;mso-fit-shape-to-text:t" inset="0,0,0,0">
                  <w:txbxContent>
                    <w:p w:rsidR="00CB6FAE" w:rsidRDefault="00CB6FAE">
                      <w:r>
                        <w:rPr>
                          <w:rFonts w:ascii="Arial" w:hAnsi="Arial" w:cs="Arial"/>
                          <w:color w:val="000000"/>
                          <w:sz w:val="18"/>
                          <w:szCs w:val="18"/>
                        </w:rPr>
                        <w:t>15573</w:t>
                      </w:r>
                    </w:p>
                  </w:txbxContent>
                </v:textbox>
              </v:rect>
              <v:rect id="_x0000_s62984" style="position:absolute;left:8687;top:8956;width:1191;height:295" stroked="f"/>
              <v:rect id="_x0000_s62985" style="position:absolute;left:9472;top:8984;width:201;height:207;mso-wrap-style:none" filled="f" stroked="f">
                <v:textbox style="mso-next-textbox:#_x0000_s62985;mso-fit-shape-to-text:t" inset="0,0,0,0">
                  <w:txbxContent>
                    <w:p w:rsidR="00CB6FAE" w:rsidRDefault="00CB6FAE">
                      <w:r>
                        <w:rPr>
                          <w:rFonts w:ascii="Arial" w:hAnsi="Arial" w:cs="Arial"/>
                          <w:color w:val="000000"/>
                          <w:sz w:val="18"/>
                          <w:szCs w:val="18"/>
                        </w:rPr>
                        <w:t>36</w:t>
                      </w:r>
                    </w:p>
                  </w:txbxContent>
                </v:textbox>
              </v:rect>
              <v:rect id="_x0000_s62986" style="position:absolute;left:3265;top:9223;width:1471;height:294" stroked="f"/>
              <v:rect id="_x0000_s62987" style="position:absolute;left:3825;top:9251;width:801;height:207;mso-wrap-style:none" filled="f" stroked="f">
                <v:textbox style="mso-next-textbox:#_x0000_s62987;mso-fit-shape-to-text:t" inset="0,0,0,0">
                  <w:txbxContent>
                    <w:p w:rsidR="00CB6FAE" w:rsidRDefault="00CB6FAE">
                      <w:r>
                        <w:rPr>
                          <w:rFonts w:ascii="Arial" w:hAnsi="Arial" w:cs="Arial"/>
                          <w:color w:val="000000"/>
                          <w:sz w:val="18"/>
                          <w:szCs w:val="18"/>
                        </w:rPr>
                        <w:t>92436519</w:t>
                      </w:r>
                    </w:p>
                  </w:txbxContent>
                </v:textbox>
              </v:rect>
              <v:rect id="_x0000_s62988" style="position:absolute;left:4708;top:9223;width:1345;height:294" stroked="f"/>
              <v:rect id="_x0000_s62989" style="position:absolute;left:5058;top:9251;width:901;height:207;mso-wrap-style:none" filled="f" stroked="f">
                <v:textbox style="mso-next-textbox:#_x0000_s62989;mso-fit-shape-to-text:t" inset="0,0,0,0">
                  <w:txbxContent>
                    <w:p w:rsidR="00CB6FAE" w:rsidRDefault="00CB6FAE">
                      <w:r>
                        <w:rPr>
                          <w:rFonts w:ascii="Arial" w:hAnsi="Arial" w:cs="Arial"/>
                          <w:color w:val="000000"/>
                          <w:sz w:val="18"/>
                          <w:szCs w:val="18"/>
                        </w:rPr>
                        <w:t>209078938</w:t>
                      </w:r>
                    </w:p>
                  </w:txbxContent>
                </v:textbox>
              </v:rect>
              <v:rect id="_x0000_s62990" style="position:absolute;left:6025;top:9223;width:1359;height:294" stroked="f"/>
              <v:rect id="_x0000_s62991" style="position:absolute;left:6473;top:9251;width:801;height:207;mso-wrap-style:none" filled="f" stroked="f">
                <v:textbox style="mso-next-textbox:#_x0000_s62991;mso-fit-shape-to-text:t" inset="0,0,0,0">
                  <w:txbxContent>
                    <w:p w:rsidR="00CB6FAE" w:rsidRDefault="00CB6FAE">
                      <w:r>
                        <w:rPr>
                          <w:rFonts w:ascii="Arial" w:hAnsi="Arial" w:cs="Arial"/>
                          <w:color w:val="000000"/>
                          <w:sz w:val="18"/>
                          <w:szCs w:val="18"/>
                        </w:rPr>
                        <w:t>24396270</w:t>
                      </w:r>
                    </w:p>
                  </w:txbxContent>
                </v:textbox>
              </v:rect>
              <v:rect id="_x0000_s62992" style="position:absolute;left:7356;top:9223;width:1359;height:294" stroked="f"/>
              <v:rect id="_x0000_s62993" style="position:absolute;left:7973;top:9251;width:601;height:207;mso-wrap-style:none" filled="f" stroked="f">
                <v:textbox style="mso-next-textbox:#_x0000_s62993;mso-fit-shape-to-text:t" inset="0,0,0,0">
                  <w:txbxContent>
                    <w:p w:rsidR="00CB6FAE" w:rsidRDefault="00CB6FAE">
                      <w:r>
                        <w:rPr>
                          <w:rFonts w:ascii="Arial" w:hAnsi="Arial" w:cs="Arial"/>
                          <w:color w:val="000000"/>
                          <w:sz w:val="18"/>
                          <w:szCs w:val="18"/>
                        </w:rPr>
                        <w:t>282754</w:t>
                      </w:r>
                    </w:p>
                  </w:txbxContent>
                </v:textbox>
              </v:rect>
              <v:rect id="_x0000_s62994" style="position:absolute;left:8687;top:9223;width:1191;height:294" stroked="f"/>
              <v:rect id="_x0000_s62995" style="position:absolute;left:9388;top:9251;width:301;height:207;mso-wrap-style:none" filled="f" stroked="f">
                <v:textbox style="mso-next-textbox:#_x0000_s62995;mso-fit-shape-to-text:t" inset="0,0,0,0">
                  <w:txbxContent>
                    <w:p w:rsidR="00CB6FAE" w:rsidRDefault="00CB6FAE">
                      <w:r>
                        <w:rPr>
                          <w:rFonts w:ascii="Arial" w:hAnsi="Arial" w:cs="Arial"/>
                          <w:color w:val="000000"/>
                          <w:sz w:val="18"/>
                          <w:szCs w:val="18"/>
                        </w:rPr>
                        <w:t>529</w:t>
                      </w:r>
                    </w:p>
                  </w:txbxContent>
                </v:textbox>
              </v:rect>
              <v:rect id="_x0000_s62996" style="position:absolute;left:3265;top:9489;width:1471;height:295" stroked="f"/>
              <v:rect id="_x0000_s62997" style="position:absolute;left:3615;top:9517;width:1052;height:207;mso-wrap-style:none" filled="f" stroked="f">
                <v:textbox style="mso-next-textbox:#_x0000_s62997;mso-fit-shape-to-text:t" inset="0,0,0,0">
                  <w:txbxContent>
                    <w:p w:rsidR="00CB6FAE" w:rsidRDefault="00CB6FAE">
                      <w:r>
                        <w:rPr>
                          <w:rFonts w:ascii="Arial" w:hAnsi="Arial" w:cs="Arial"/>
                          <w:color w:val="000000"/>
                          <w:sz w:val="18"/>
                          <w:szCs w:val="18"/>
                        </w:rPr>
                        <w:t>29079743.47</w:t>
                      </w:r>
                    </w:p>
                  </w:txbxContent>
                </v:textbox>
              </v:rect>
              <v:rect id="_x0000_s62998" style="position:absolute;left:4708;top:9489;width:1345;height:295" stroked="f"/>
              <v:rect id="_x0000_s62999" style="position:absolute;left:4932;top:9517;width:1052;height:207;mso-wrap-style:none" filled="f" stroked="f">
                <v:textbox style="mso-next-textbox:#_x0000_s62999;mso-fit-shape-to-text:t" inset="0,0,0,0">
                  <w:txbxContent>
                    <w:p w:rsidR="00CB6FAE" w:rsidRDefault="00CB6FAE">
                      <w:r>
                        <w:rPr>
                          <w:rFonts w:ascii="Arial" w:hAnsi="Arial" w:cs="Arial"/>
                          <w:color w:val="000000"/>
                          <w:sz w:val="18"/>
                          <w:szCs w:val="18"/>
                        </w:rPr>
                        <w:t>70207129.64</w:t>
                      </w:r>
                    </w:p>
                  </w:txbxContent>
                </v:textbox>
              </v:rect>
              <v:rect id="_x0000_s63000" style="position:absolute;left:6025;top:9489;width:1359;height:295" stroked="f"/>
              <v:rect id="_x0000_s63001" style="position:absolute;left:6347;top:9517;width:951;height:207;mso-wrap-style:none" filled="f" stroked="f">
                <v:textbox style="mso-next-textbox:#_x0000_s63001;mso-fit-shape-to-text:t" inset="0,0,0,0">
                  <w:txbxContent>
                    <w:p w:rsidR="00CB6FAE" w:rsidRDefault="00CB6FAE">
                      <w:r>
                        <w:rPr>
                          <w:rFonts w:ascii="Arial" w:hAnsi="Arial" w:cs="Arial"/>
                          <w:color w:val="000000"/>
                          <w:sz w:val="18"/>
                          <w:szCs w:val="18"/>
                        </w:rPr>
                        <w:t>8376917.75</w:t>
                      </w:r>
                    </w:p>
                  </w:txbxContent>
                </v:textbox>
              </v:rect>
              <v:rect id="_x0000_s63002" style="position:absolute;left:7356;top:9489;width:1359;height:295" stroked="f"/>
              <v:rect id="_x0000_s63003" style="position:absolute;left:7762;top:9517;width:851;height:207;mso-wrap-style:none" filled="f" stroked="f">
                <v:textbox style="mso-next-textbox:#_x0000_s63003;mso-fit-shape-to-text:t" inset="0,0,0,0">
                  <w:txbxContent>
                    <w:p w:rsidR="00CB6FAE" w:rsidRDefault="00CB6FAE">
                      <w:r>
                        <w:rPr>
                          <w:rFonts w:ascii="Arial" w:hAnsi="Arial" w:cs="Arial"/>
                          <w:color w:val="000000"/>
                          <w:sz w:val="18"/>
                          <w:szCs w:val="18"/>
                        </w:rPr>
                        <w:t>103638.41</w:t>
                      </w:r>
                    </w:p>
                  </w:txbxContent>
                </v:textbox>
              </v:rect>
              <v:rect id="_x0000_s63004" style="position:absolute;left:8687;top:9489;width:1191;height:295" stroked="f"/>
              <v:rect id="_x0000_s63005" style="position:absolute;left:9178;top:9517;width:551;height:207;mso-wrap-style:none" filled="f" stroked="f">
                <v:textbox style="mso-next-textbox:#_x0000_s63005;mso-fit-shape-to-text:t" inset="0,0,0,0">
                  <w:txbxContent>
                    <w:p w:rsidR="00CB6FAE" w:rsidRDefault="00CB6FAE">
                      <w:r>
                        <w:rPr>
                          <w:rFonts w:ascii="Arial" w:hAnsi="Arial" w:cs="Arial"/>
                          <w:color w:val="000000"/>
                          <w:sz w:val="18"/>
                          <w:szCs w:val="18"/>
                        </w:rPr>
                        <w:t>166.22</w:t>
                      </w:r>
                    </w:p>
                  </w:txbxContent>
                </v:textbox>
              </v:rect>
              <v:rect id="_x0000_s63006" style="position:absolute;left:3265;top:9756;width:1471;height:295" stroked="f"/>
              <v:rect id="_x0000_s63007" style="position:absolute;left:3699;top:9784;width:951;height:207;mso-wrap-style:none" filled="f" stroked="f">
                <v:textbox style="mso-next-textbox:#_x0000_s63007;mso-fit-shape-to-text:t" inset="0,0,0,0">
                  <w:txbxContent>
                    <w:p w:rsidR="00CB6FAE" w:rsidRDefault="00CB6FAE">
                      <w:r>
                        <w:rPr>
                          <w:rFonts w:ascii="Arial" w:hAnsi="Arial" w:cs="Arial"/>
                          <w:color w:val="000000"/>
                          <w:sz w:val="18"/>
                          <w:szCs w:val="18"/>
                        </w:rPr>
                        <w:t>9719739.50</w:t>
                      </w:r>
                    </w:p>
                  </w:txbxContent>
                </v:textbox>
              </v:rect>
              <v:rect id="_x0000_s63008" style="position:absolute;left:4708;top:9756;width:1345;height:295" stroked="f"/>
              <v:rect id="_x0000_s63009" style="position:absolute;left:5016;top:9784;width:951;height:207;mso-wrap-style:none" filled="f" stroked="f">
                <v:textbox style="mso-next-textbox:#_x0000_s63009;mso-fit-shape-to-text:t" inset="0,0,0,0">
                  <w:txbxContent>
                    <w:p w:rsidR="00CB6FAE" w:rsidRDefault="00CB6FAE">
                      <w:r>
                        <w:rPr>
                          <w:rFonts w:ascii="Arial" w:hAnsi="Arial" w:cs="Arial"/>
                          <w:color w:val="000000"/>
                          <w:sz w:val="18"/>
                          <w:szCs w:val="18"/>
                        </w:rPr>
                        <w:t>2334988.75</w:t>
                      </w:r>
                    </w:p>
                  </w:txbxContent>
                </v:textbox>
              </v:rect>
              <v:rect id="_x0000_s63010" style="position:absolute;left:6025;top:9756;width:1359;height:295" stroked="f"/>
              <v:rect id="_x0000_s63011" style="position:absolute;left:6347;top:9784;width:951;height:207;mso-wrap-style:none" filled="f" stroked="f">
                <v:textbox style="mso-next-textbox:#_x0000_s63011;mso-fit-shape-to-text:t" inset="0,0,0,0">
                  <w:txbxContent>
                    <w:p w:rsidR="00CB6FAE" w:rsidRDefault="00CB6FAE">
                      <w:r>
                        <w:rPr>
                          <w:rFonts w:ascii="Arial" w:hAnsi="Arial" w:cs="Arial"/>
                          <w:color w:val="000000"/>
                          <w:sz w:val="18"/>
                          <w:szCs w:val="18"/>
                        </w:rPr>
                        <w:t>2857924.00</w:t>
                      </w:r>
                    </w:p>
                  </w:txbxContent>
                </v:textbox>
              </v:rect>
              <v:rect id="_x0000_s63012" style="position:absolute;left:7356;top:9756;width:1359;height:295" stroked="f"/>
              <v:rect id="_x0000_s63013" style="position:absolute;left:7931;top:9784;width:651;height:207;mso-wrap-style:none" filled="f" stroked="f">
                <v:textbox style="mso-next-textbox:#_x0000_s63013;mso-fit-shape-to-text:t" inset="0,0,0,0">
                  <w:txbxContent>
                    <w:p w:rsidR="00CB6FAE" w:rsidRDefault="00CB6FAE">
                      <w:r>
                        <w:rPr>
                          <w:rFonts w:ascii="Arial" w:hAnsi="Arial" w:cs="Arial"/>
                          <w:color w:val="000000"/>
                          <w:sz w:val="18"/>
                          <w:szCs w:val="18"/>
                        </w:rPr>
                        <w:t>7139.40</w:t>
                      </w:r>
                    </w:p>
                  </w:txbxContent>
                </v:textbox>
              </v:rect>
              <v:rect id="_x0000_s63014" style="position:absolute;left:8687;top:9756;width:1191;height:295" stroked="f"/>
              <v:rect id="_x0000_s63015" style="position:absolute;left:9178;top:9784;width:551;height:207;mso-wrap-style:none" filled="f" stroked="f">
                <v:textbox style="mso-next-textbox:#_x0000_s63015;mso-fit-shape-to-text:t" inset="0,0,0,0">
                  <w:txbxContent>
                    <w:p w:rsidR="00CB6FAE" w:rsidRDefault="00CB6FAE">
                      <w:r>
                        <w:rPr>
                          <w:rFonts w:ascii="Arial" w:hAnsi="Arial" w:cs="Arial"/>
                          <w:color w:val="000000"/>
                          <w:sz w:val="18"/>
                          <w:szCs w:val="18"/>
                        </w:rPr>
                        <w:t>227.73</w:t>
                      </w:r>
                    </w:p>
                  </w:txbxContent>
                </v:textbox>
              </v:rect>
              <v:rect id="_x0000_s63016" style="position:absolute;left:3265;top:10023;width:1471;height:294" stroked="f"/>
              <v:rect id="_x0000_s63017" style="position:absolute;left:3909;top:10051;width:701;height:207;mso-wrap-style:none" filled="f" stroked="f">
                <v:textbox style="mso-next-textbox:#_x0000_s63017;mso-fit-shape-to-text:t" inset="0,0,0,0">
                  <w:txbxContent>
                    <w:p w:rsidR="00CB6FAE" w:rsidRDefault="00CB6FAE">
                      <w:r>
                        <w:rPr>
                          <w:rFonts w:ascii="Arial" w:hAnsi="Arial" w:cs="Arial"/>
                          <w:color w:val="000000"/>
                          <w:sz w:val="18"/>
                          <w:szCs w:val="18"/>
                        </w:rPr>
                        <w:t>1022815</w:t>
                      </w:r>
                    </w:p>
                  </w:txbxContent>
                </v:textbox>
              </v:rect>
              <v:rect id="_x0000_s63018" style="position:absolute;left:4708;top:10023;width:1345;height:294" stroked="f"/>
              <v:rect id="_x0000_s63019" style="position:absolute;left:5311;top:10051;width:601;height:207;mso-wrap-style:none" filled="f" stroked="f">
                <v:textbox style="mso-next-textbox:#_x0000_s63019;mso-fit-shape-to-text:t" inset="0,0,0,0">
                  <w:txbxContent>
                    <w:p w:rsidR="00CB6FAE" w:rsidRDefault="00CB6FAE">
                      <w:r>
                        <w:rPr>
                          <w:rFonts w:ascii="Arial" w:hAnsi="Arial" w:cs="Arial"/>
                          <w:color w:val="000000"/>
                          <w:sz w:val="18"/>
                          <w:szCs w:val="18"/>
                        </w:rPr>
                        <w:t>835700</w:t>
                      </w:r>
                    </w:p>
                  </w:txbxContent>
                </v:textbox>
              </v:rect>
              <v:rect id="_x0000_s63020" style="position:absolute;left:6025;top:10023;width:1359;height:294" stroked="f"/>
              <v:rect id="_x0000_s63021" style="position:absolute;left:6642;top:10051;width:601;height:207;mso-wrap-style:none" filled="f" stroked="f">
                <v:textbox style="mso-next-textbox:#_x0000_s63021;mso-fit-shape-to-text:t" inset="0,0,0,0">
                  <w:txbxContent>
                    <w:p w:rsidR="00CB6FAE" w:rsidRDefault="00CB6FAE">
                      <w:r>
                        <w:rPr>
                          <w:rFonts w:ascii="Arial" w:hAnsi="Arial" w:cs="Arial"/>
                          <w:color w:val="000000"/>
                          <w:sz w:val="18"/>
                          <w:szCs w:val="18"/>
                        </w:rPr>
                        <w:t>369484</w:t>
                      </w:r>
                    </w:p>
                  </w:txbxContent>
                </v:textbox>
              </v:rect>
              <v:rect id="_x0000_s63022" style="position:absolute;left:7356;top:10023;width:1359;height:294" stroked="f"/>
              <v:rect id="_x0000_s63023" style="position:absolute;left:8225;top:10051;width:301;height:207;mso-wrap-style:none" filled="f" stroked="f">
                <v:textbox style="mso-next-textbox:#_x0000_s63023;mso-fit-shape-to-text:t" inset="0,0,0,0">
                  <w:txbxContent>
                    <w:p w:rsidR="00CB6FAE" w:rsidRDefault="00CB6FAE">
                      <w:r>
                        <w:rPr>
                          <w:rFonts w:ascii="Arial" w:hAnsi="Arial" w:cs="Arial"/>
                          <w:color w:val="000000"/>
                          <w:sz w:val="18"/>
                          <w:szCs w:val="18"/>
                        </w:rPr>
                        <w:t>739</w:t>
                      </w:r>
                    </w:p>
                  </w:txbxContent>
                </v:textbox>
              </v:rect>
              <v:rect id="_x0000_s63024" style="position:absolute;left:8687;top:10023;width:1191;height:294" stroked="f"/>
              <v:rect id="_x0000_s63025" style="position:absolute;left:9472;top:10051;width:201;height:207;mso-wrap-style:none" filled="f" stroked="f">
                <v:textbox style="mso-next-textbox:#_x0000_s63025;mso-fit-shape-to-text:t" inset="0,0,0,0">
                  <w:txbxContent>
                    <w:p w:rsidR="00CB6FAE" w:rsidRDefault="00CB6FAE">
                      <w:r>
                        <w:rPr>
                          <w:rFonts w:ascii="Arial" w:hAnsi="Arial" w:cs="Arial"/>
                          <w:color w:val="000000"/>
                          <w:sz w:val="18"/>
                          <w:szCs w:val="18"/>
                        </w:rPr>
                        <w:t>68</w:t>
                      </w:r>
                    </w:p>
                  </w:txbxContent>
                </v:textbox>
              </v:rect>
              <v:rect id="_x0000_s63026" style="position:absolute;left:3265;top:10289;width:1471;height:295" stroked="f"/>
              <v:rect id="_x0000_s63027" style="position:absolute;left:3825;top:10317;width:801;height:207;mso-wrap-style:none" filled="f" stroked="f">
                <v:textbox style="mso-next-textbox:#_x0000_s63027;mso-fit-shape-to-text:t" inset="0,0,0,0">
                  <w:txbxContent>
                    <w:p w:rsidR="00CB6FAE" w:rsidRDefault="00CB6FAE">
                      <w:r>
                        <w:rPr>
                          <w:rFonts w:ascii="Arial" w:hAnsi="Arial" w:cs="Arial"/>
                          <w:color w:val="000000"/>
                          <w:sz w:val="18"/>
                          <w:szCs w:val="18"/>
                        </w:rPr>
                        <w:t>61838000</w:t>
                      </w:r>
                    </w:p>
                  </w:txbxContent>
                </v:textbox>
              </v:rect>
              <v:rect id="_x0000_s63028" style="position:absolute;left:4708;top:10289;width:1345;height:295" stroked="f"/>
              <v:rect id="_x0000_s63029" style="position:absolute;left:5226;top:10317;width:701;height:207;mso-wrap-style:none" filled="f" stroked="f">
                <v:textbox style="mso-next-textbox:#_x0000_s63029;mso-fit-shape-to-text:t" inset="0,0,0,0">
                  <w:txbxContent>
                    <w:p w:rsidR="00CB6FAE" w:rsidRDefault="00CB6FAE">
                      <w:r>
                        <w:rPr>
                          <w:rFonts w:ascii="Arial" w:hAnsi="Arial" w:cs="Arial"/>
                          <w:color w:val="000000"/>
                          <w:sz w:val="18"/>
                          <w:szCs w:val="18"/>
                        </w:rPr>
                        <w:t>9596000</w:t>
                      </w:r>
                    </w:p>
                  </w:txbxContent>
                </v:textbox>
              </v:rect>
              <v:rect id="_x0000_s63030" style="position:absolute;left:6025;top:10289;width:1359;height:295" stroked="f"/>
              <v:rect id="_x0000_s63031" style="position:absolute;left:6557;top:10317;width:701;height:207;mso-wrap-style:none" filled="f" stroked="f">
                <v:textbox style="mso-next-textbox:#_x0000_s63031;mso-fit-shape-to-text:t" inset="0,0,0,0">
                  <w:txbxContent>
                    <w:p w:rsidR="00CB6FAE" w:rsidRDefault="00CB6FAE">
                      <w:r>
                        <w:rPr>
                          <w:rFonts w:ascii="Arial" w:hAnsi="Arial" w:cs="Arial"/>
                          <w:color w:val="000000"/>
                          <w:sz w:val="18"/>
                          <w:szCs w:val="18"/>
                        </w:rPr>
                        <w:t>5869964</w:t>
                      </w:r>
                    </w:p>
                  </w:txbxContent>
                </v:textbox>
              </v:rect>
              <v:rect id="_x0000_s63032" style="position:absolute;left:7356;top:10289;width:1359;height:295" stroked="f"/>
              <v:rect id="_x0000_s63033" style="position:absolute;left:8057;top:10317;width:501;height:207;mso-wrap-style:none" filled="f" stroked="f">
                <v:textbox style="mso-next-textbox:#_x0000_s63033;mso-fit-shape-to-text:t" inset="0,0,0,0">
                  <w:txbxContent>
                    <w:p w:rsidR="00CB6FAE" w:rsidRDefault="00CB6FAE">
                      <w:r>
                        <w:rPr>
                          <w:rFonts w:ascii="Arial" w:hAnsi="Arial" w:cs="Arial"/>
                          <w:color w:val="000000"/>
                          <w:sz w:val="18"/>
                          <w:szCs w:val="18"/>
                        </w:rPr>
                        <w:t>23257</w:t>
                      </w:r>
                    </w:p>
                  </w:txbxContent>
                </v:textbox>
              </v:rect>
              <v:rect id="_x0000_s63034" style="position:absolute;left:8687;top:10289;width:1191;height:295" stroked="f"/>
              <v:rect id="_x0000_s63035" style="position:absolute;left:9388;top:10317;width:301;height:207;mso-wrap-style:none" filled="f" stroked="f">
                <v:textbox style="mso-next-textbox:#_x0000_s63035;mso-fit-shape-to-text:t" inset="0,0,0,0">
                  <w:txbxContent>
                    <w:p w:rsidR="00CB6FAE" w:rsidRDefault="00CB6FAE">
                      <w:r>
                        <w:rPr>
                          <w:rFonts w:ascii="Arial" w:hAnsi="Arial" w:cs="Arial"/>
                          <w:color w:val="000000"/>
                          <w:sz w:val="18"/>
                          <w:szCs w:val="18"/>
                        </w:rPr>
                        <w:t>750</w:t>
                      </w:r>
                    </w:p>
                  </w:txbxContent>
                </v:textbox>
              </v:rect>
              <v:rect id="_x0000_s63036" style="position:absolute;left:3265;top:10556;width:1471;height:295" stroked="f"/>
              <v:rect id="_x0000_s63037" style="position:absolute;left:3615;top:10584;width:1052;height:207;mso-wrap-style:none" filled="f" stroked="f">
                <v:textbox style="mso-next-textbox:#_x0000_s63037;mso-fit-shape-to-text:t" inset="0,0,0,0">
                  <w:txbxContent>
                    <w:p w:rsidR="00CB6FAE" w:rsidRDefault="00CB6FAE">
                      <w:r>
                        <w:rPr>
                          <w:rFonts w:ascii="Arial" w:hAnsi="Arial" w:cs="Arial"/>
                          <w:color w:val="000000"/>
                          <w:sz w:val="18"/>
                          <w:szCs w:val="18"/>
                        </w:rPr>
                        <w:t>16640572.61</w:t>
                      </w:r>
                    </w:p>
                  </w:txbxContent>
                </v:textbox>
              </v:rect>
              <v:rect id="_x0000_s63038" style="position:absolute;left:4708;top:10556;width:1345;height:295" stroked="f"/>
              <v:rect id="_x0000_s63039" style="position:absolute;left:5016;top:10584;width:951;height:207;mso-wrap-style:none" filled="f" stroked="f">
                <v:textbox style="mso-next-textbox:#_x0000_s63039;mso-fit-shape-to-text:t" inset="0,0,0,0">
                  <w:txbxContent>
                    <w:p w:rsidR="00CB6FAE" w:rsidRDefault="00CB6FAE">
                      <w:r>
                        <w:rPr>
                          <w:rFonts w:ascii="Arial" w:hAnsi="Arial" w:cs="Arial"/>
                          <w:color w:val="000000"/>
                          <w:sz w:val="18"/>
                          <w:szCs w:val="18"/>
                        </w:rPr>
                        <w:t>2377474.78</w:t>
                      </w:r>
                    </w:p>
                  </w:txbxContent>
                </v:textbox>
              </v:rect>
              <v:rect id="_x0000_s63040" style="position:absolute;left:6025;top:10556;width:1359;height:295" stroked="f"/>
              <v:rect id="_x0000_s63041" style="position:absolute;left:6347;top:10584;width:951;height:207;mso-wrap-style:none" filled="f" stroked="f">
                <v:textbox style="mso-next-textbox:#_x0000_s63041;mso-fit-shape-to-text:t" inset="0,0,0,0">
                  <w:txbxContent>
                    <w:p w:rsidR="00CB6FAE" w:rsidRDefault="00CB6FAE">
                      <w:r>
                        <w:rPr>
                          <w:rFonts w:ascii="Arial" w:hAnsi="Arial" w:cs="Arial"/>
                          <w:color w:val="000000"/>
                          <w:sz w:val="18"/>
                          <w:szCs w:val="18"/>
                        </w:rPr>
                        <w:t>1774657.31</w:t>
                      </w:r>
                    </w:p>
                  </w:txbxContent>
                </v:textbox>
              </v:rect>
              <v:rect id="_x0000_s63042" style="position:absolute;left:7356;top:10556;width:1359;height:295" stroked="f"/>
              <v:rect id="_x0000_s63043" style="position:absolute;left:7931;top:10584;width:651;height:207;mso-wrap-style:none" filled="f" stroked="f">
                <v:textbox style="mso-next-textbox:#_x0000_s63043;mso-fit-shape-to-text:t" inset="0,0,0,0">
                  <w:txbxContent>
                    <w:p w:rsidR="00CB6FAE" w:rsidRDefault="00CB6FAE">
                      <w:r>
                        <w:rPr>
                          <w:rFonts w:ascii="Arial" w:hAnsi="Arial" w:cs="Arial"/>
                          <w:color w:val="000000"/>
                          <w:sz w:val="18"/>
                          <w:szCs w:val="18"/>
                        </w:rPr>
                        <w:t>6980.77</w:t>
                      </w:r>
                    </w:p>
                  </w:txbxContent>
                </v:textbox>
              </v:rect>
              <v:rect id="_x0000_s63044" style="position:absolute;left:8687;top:10556;width:1191;height:295" stroked="f"/>
              <v:rect id="_x0000_s63045" style="position:absolute;left:9178;top:10584;width:551;height:207;mso-wrap-style:none" filled="f" stroked="f">
                <v:textbox style="mso-next-textbox:#_x0000_s63045;mso-fit-shape-to-text:t" inset="0,0,0,0">
                  <w:txbxContent>
                    <w:p w:rsidR="00CB6FAE" w:rsidRDefault="00CB6FAE">
                      <w:r>
                        <w:rPr>
                          <w:rFonts w:ascii="Arial" w:hAnsi="Arial" w:cs="Arial"/>
                          <w:color w:val="000000"/>
                          <w:sz w:val="18"/>
                          <w:szCs w:val="18"/>
                        </w:rPr>
                        <w:t>216.89</w:t>
                      </w:r>
                    </w:p>
                  </w:txbxContent>
                </v:textbox>
              </v:rect>
              <v:rect id="_x0000_s63046" style="position:absolute;left:3265;top:10823;width:1471;height:295" stroked="f"/>
              <v:rect id="_x0000_s63047" style="position:absolute;left:3615;top:10851;width:1052;height:207;mso-wrap-style:none" filled="f" stroked="f">
                <v:textbox style="mso-next-textbox:#_x0000_s63047;mso-fit-shape-to-text:t" inset="0,0,0,0">
                  <w:txbxContent>
                    <w:p w:rsidR="00CB6FAE" w:rsidRDefault="00CB6FAE">
                      <w:r>
                        <w:rPr>
                          <w:rFonts w:ascii="Arial" w:hAnsi="Arial" w:cs="Arial"/>
                          <w:color w:val="000000"/>
                          <w:sz w:val="18"/>
                          <w:szCs w:val="18"/>
                        </w:rPr>
                        <w:t>73674328.70</w:t>
                      </w:r>
                    </w:p>
                  </w:txbxContent>
                </v:textbox>
              </v:rect>
              <v:rect id="_x0000_s63048" style="position:absolute;left:4708;top:10823;width:1345;height:295" stroked="f"/>
              <v:rect id="_x0000_s63049" style="position:absolute;left:4932;top:10851;width:1052;height:207;mso-wrap-style:none" filled="f" stroked="f">
                <v:textbox style="mso-next-textbox:#_x0000_s63049;mso-fit-shape-to-text:t" inset="0,0,0,0">
                  <w:txbxContent>
                    <w:p w:rsidR="00CB6FAE" w:rsidRDefault="00CB6FAE">
                      <w:r>
                        <w:rPr>
                          <w:rFonts w:ascii="Arial" w:hAnsi="Arial" w:cs="Arial"/>
                          <w:color w:val="000000"/>
                          <w:sz w:val="18"/>
                          <w:szCs w:val="18"/>
                        </w:rPr>
                        <w:t>20527509.41</w:t>
                      </w:r>
                    </w:p>
                  </w:txbxContent>
                </v:textbox>
              </v:rect>
              <v:rect id="_x0000_s63050" style="position:absolute;left:6025;top:10823;width:1359;height:295" stroked="f"/>
              <v:rect id="_x0000_s63051" style="position:absolute;left:6263;top:10851;width:1052;height:207;mso-wrap-style:none" filled="f" stroked="f">
                <v:textbox style="mso-next-textbox:#_x0000_s63051;mso-fit-shape-to-text:t" inset="0,0,0,0">
                  <w:txbxContent>
                    <w:p w:rsidR="00CB6FAE" w:rsidRDefault="00CB6FAE">
                      <w:r>
                        <w:rPr>
                          <w:rFonts w:ascii="Arial" w:hAnsi="Arial" w:cs="Arial"/>
                          <w:color w:val="000000"/>
                          <w:sz w:val="18"/>
                          <w:szCs w:val="18"/>
                        </w:rPr>
                        <w:t>13149063.35</w:t>
                      </w:r>
                    </w:p>
                  </w:txbxContent>
                </v:textbox>
              </v:rect>
              <v:rect id="_x0000_s63052" style="position:absolute;left:7356;top:10823;width:1359;height:295" stroked="f"/>
              <v:rect id="_x0000_s63053" style="position:absolute;left:7846;top:10851;width:751;height:207;mso-wrap-style:none" filled="f" stroked="f">
                <v:textbox style="mso-next-textbox:#_x0000_s63053;mso-fit-shape-to-text:t" inset="0,0,0,0">
                  <w:txbxContent>
                    <w:p w:rsidR="00CB6FAE" w:rsidRDefault="00CB6FAE">
                      <w:r>
                        <w:rPr>
                          <w:rFonts w:ascii="Arial" w:hAnsi="Arial" w:cs="Arial"/>
                          <w:color w:val="000000"/>
                          <w:sz w:val="18"/>
                          <w:szCs w:val="18"/>
                        </w:rPr>
                        <w:t>60461.14</w:t>
                      </w:r>
                    </w:p>
                  </w:txbxContent>
                </v:textbox>
              </v:rect>
              <v:rect id="_x0000_s63054" style="position:absolute;left:8687;top:10823;width:1191;height:295" stroked="f"/>
              <v:rect id="_x0000_s63055" style="position:absolute;left:9094;top:10851;width:651;height:207;mso-wrap-style:none" filled="f" stroked="f">
                <v:textbox style="mso-next-textbox:#_x0000_s63055;mso-fit-shape-to-text:t" inset="0,0,0,0">
                  <w:txbxContent>
                    <w:p w:rsidR="00CB6FAE" w:rsidRDefault="00CB6FAE">
                      <w:r>
                        <w:rPr>
                          <w:rFonts w:ascii="Arial" w:hAnsi="Arial" w:cs="Arial"/>
                          <w:color w:val="000000"/>
                          <w:sz w:val="18"/>
                          <w:szCs w:val="18"/>
                        </w:rPr>
                        <w:t>1336.48</w:t>
                      </w:r>
                    </w:p>
                  </w:txbxContent>
                </v:textbox>
              </v:rect>
              <v:rect id="_x0000_s63056" style="position:absolute;left:3265;top:11089;width:1471;height:295" stroked="f"/>
              <v:rect id="_x0000_s63057" style="position:absolute;left:4078;top:11118;width:501;height:207;mso-wrap-style:none" filled="f" stroked="f">
                <v:textbox style="mso-next-textbox:#_x0000_s63057;mso-fit-shape-to-text:t" inset="0,0,0,0">
                  <w:txbxContent>
                    <w:p w:rsidR="00CB6FAE" w:rsidRDefault="00CB6FAE">
                      <w:r>
                        <w:rPr>
                          <w:rFonts w:ascii="Arial" w:hAnsi="Arial" w:cs="Arial"/>
                          <w:color w:val="000000"/>
                          <w:sz w:val="18"/>
                          <w:szCs w:val="18"/>
                        </w:rPr>
                        <w:t>91983</w:t>
                      </w:r>
                    </w:p>
                  </w:txbxContent>
                </v:textbox>
              </v:rect>
              <v:rect id="_x0000_s63058" style="position:absolute;left:4708;top:11089;width:1345;height:295" stroked="f"/>
              <v:rect id="_x0000_s63059" style="position:absolute;left:5395;top:11118;width:501;height:207;mso-wrap-style:none" filled="f" stroked="f">
                <v:textbox style="mso-next-textbox:#_x0000_s63059;mso-fit-shape-to-text:t" inset="0,0,0,0">
                  <w:txbxContent>
                    <w:p w:rsidR="00CB6FAE" w:rsidRDefault="00CB6FAE">
                      <w:r>
                        <w:rPr>
                          <w:rFonts w:ascii="Arial" w:hAnsi="Arial" w:cs="Arial"/>
                          <w:color w:val="000000"/>
                          <w:sz w:val="18"/>
                          <w:szCs w:val="18"/>
                        </w:rPr>
                        <w:t>79572</w:t>
                      </w:r>
                    </w:p>
                  </w:txbxContent>
                </v:textbox>
              </v:rect>
              <v:rect id="_x0000_s63060" style="position:absolute;left:6025;top:11089;width:1359;height:295" stroked="f"/>
              <v:rect id="_x0000_s63061" style="position:absolute;left:6726;top:11118;width:501;height:207;mso-wrap-style:none" filled="f" stroked="f">
                <v:textbox style="mso-next-textbox:#_x0000_s63061;mso-fit-shape-to-text:t" inset="0,0,0,0">
                  <w:txbxContent>
                    <w:p w:rsidR="00CB6FAE" w:rsidRDefault="00CB6FAE">
                      <w:r>
                        <w:rPr>
                          <w:rFonts w:ascii="Arial" w:hAnsi="Arial" w:cs="Arial"/>
                          <w:color w:val="000000"/>
                          <w:sz w:val="18"/>
                          <w:szCs w:val="18"/>
                        </w:rPr>
                        <w:t>34519</w:t>
                      </w:r>
                    </w:p>
                  </w:txbxContent>
                </v:textbox>
              </v:rect>
              <v:rect id="_x0000_s63062" style="position:absolute;left:7356;top:11089;width:1359;height:295" stroked="f"/>
              <v:rect id="_x0000_s63063" style="position:absolute;left:8225;top:11118;width:301;height:207;mso-wrap-style:none" filled="f" stroked="f">
                <v:textbox style="mso-next-textbox:#_x0000_s63063;mso-fit-shape-to-text:t" inset="0,0,0,0">
                  <w:txbxContent>
                    <w:p w:rsidR="00CB6FAE" w:rsidRDefault="00CB6FAE">
                      <w:r>
                        <w:rPr>
                          <w:rFonts w:ascii="Arial" w:hAnsi="Arial" w:cs="Arial"/>
                          <w:color w:val="000000"/>
                          <w:sz w:val="18"/>
                          <w:szCs w:val="18"/>
                        </w:rPr>
                        <w:t>739</w:t>
                      </w:r>
                    </w:p>
                  </w:txbxContent>
                </v:textbox>
              </v:rect>
              <v:rect id="_x0000_s63064" style="position:absolute;left:8687;top:11089;width:1191;height:295" stroked="f"/>
              <v:rect id="_x0000_s63065" style="position:absolute;left:9472;top:11118;width:201;height:207;mso-wrap-style:none" filled="f" stroked="f">
                <v:textbox style="mso-next-textbox:#_x0000_s63065;mso-fit-shape-to-text:t" inset="0,0,0,0">
                  <w:txbxContent>
                    <w:p w:rsidR="00CB6FAE" w:rsidRDefault="00CB6FAE">
                      <w:r>
                        <w:rPr>
                          <w:rFonts w:ascii="Arial" w:hAnsi="Arial" w:cs="Arial"/>
                          <w:color w:val="000000"/>
                          <w:sz w:val="18"/>
                          <w:szCs w:val="18"/>
                        </w:rPr>
                        <w:t>33</w:t>
                      </w:r>
                    </w:p>
                  </w:txbxContent>
                </v:textbox>
              </v:rect>
              <v:rect id="_x0000_s63066" style="position:absolute;left:3265;top:11356;width:1471;height:295" stroked="f"/>
              <v:rect id="_x0000_s63067" style="position:absolute;left:3741;top:11384;width:901;height:207;mso-wrap-style:none" filled="f" stroked="f">
                <v:textbox style="mso-next-textbox:#_x0000_s63067;mso-fit-shape-to-text:t" inset="0,0,0,0">
                  <w:txbxContent>
                    <w:p w:rsidR="00CB6FAE" w:rsidRDefault="00CB6FAE">
                      <w:r>
                        <w:rPr>
                          <w:rFonts w:ascii="Arial" w:hAnsi="Arial" w:cs="Arial"/>
                          <w:color w:val="000000"/>
                          <w:sz w:val="18"/>
                          <w:szCs w:val="18"/>
                        </w:rPr>
                        <w:t>884137000</w:t>
                      </w:r>
                    </w:p>
                  </w:txbxContent>
                </v:textbox>
              </v:rect>
              <v:rect id="_x0000_s63068" style="position:absolute;left:4708;top:11356;width:1345;height:295" stroked="f"/>
              <v:rect id="_x0000_s63069" style="position:absolute;left:5058;top:11384;width:901;height:207;mso-wrap-style:none" filled="f" stroked="f">
                <v:textbox style="mso-next-textbox:#_x0000_s63069;mso-fit-shape-to-text:t" inset="0,0,0,0">
                  <w:txbxContent>
                    <w:p w:rsidR="00CB6FAE" w:rsidRDefault="00CB6FAE">
                      <w:r>
                        <w:rPr>
                          <w:rFonts w:ascii="Arial" w:hAnsi="Arial" w:cs="Arial"/>
                          <w:color w:val="000000"/>
                          <w:sz w:val="18"/>
                          <w:szCs w:val="18"/>
                        </w:rPr>
                        <w:t>209078938</w:t>
                      </w:r>
                    </w:p>
                  </w:txbxContent>
                </v:textbox>
              </v:rect>
              <v:rect id="_x0000_s63070" style="position:absolute;left:6025;top:11356;width:1359;height:295" stroked="f"/>
              <v:rect id="_x0000_s63071" style="position:absolute;left:6389;top:11384;width:901;height:207;mso-wrap-style:none" filled="f" stroked="f">
                <v:textbox style="mso-next-textbox:#_x0000_s63071;mso-fit-shape-to-text:t" inset="0,0,0,0">
                  <w:txbxContent>
                    <w:p w:rsidR="00CB6FAE" w:rsidRDefault="00CB6FAE">
                      <w:r>
                        <w:rPr>
                          <w:rFonts w:ascii="Arial" w:hAnsi="Arial" w:cs="Arial"/>
                          <w:color w:val="000000"/>
                          <w:sz w:val="18"/>
                          <w:szCs w:val="18"/>
                        </w:rPr>
                        <w:t>100500000</w:t>
                      </w:r>
                    </w:p>
                  </w:txbxContent>
                </v:textbox>
              </v:rect>
              <v:rect id="_x0000_s63072" style="position:absolute;left:7356;top:11356;width:1359;height:295" stroked="f"/>
              <v:rect id="_x0000_s63073" style="position:absolute;left:7973;top:11384;width:601;height:207;mso-wrap-style:none" filled="f" stroked="f">
                <v:textbox style="mso-next-textbox:#_x0000_s63073;mso-fit-shape-to-text:t" inset="0,0,0,0">
                  <w:txbxContent>
                    <w:p w:rsidR="00CB6FAE" w:rsidRDefault="00CB6FAE">
                      <w:r>
                        <w:rPr>
                          <w:rFonts w:ascii="Arial" w:hAnsi="Arial" w:cs="Arial"/>
                          <w:color w:val="000000"/>
                          <w:sz w:val="18"/>
                          <w:szCs w:val="18"/>
                        </w:rPr>
                        <w:t>321809</w:t>
                      </w:r>
                    </w:p>
                  </w:txbxContent>
                </v:textbox>
              </v:rect>
              <v:rect id="_x0000_s63074" style="position:absolute;left:8687;top:11356;width:1191;height:295" stroked="f"/>
              <v:rect id="_x0000_s63075" style="position:absolute;left:9304;top:11384;width:401;height:207;mso-wrap-style:none" filled="f" stroked="f">
                <v:textbox style="mso-next-textbox:#_x0000_s63075;mso-fit-shape-to-text:t" inset="0,0,0,0">
                  <w:txbxContent>
                    <w:p w:rsidR="00CB6FAE" w:rsidRDefault="00CB6FAE">
                      <w:r>
                        <w:rPr>
                          <w:rFonts w:ascii="Arial" w:hAnsi="Arial" w:cs="Arial"/>
                          <w:color w:val="000000"/>
                          <w:sz w:val="18"/>
                          <w:szCs w:val="18"/>
                        </w:rPr>
                        <w:t>9389</w:t>
                      </w:r>
                    </w:p>
                  </w:txbxContent>
                </v:textbox>
              </v:rect>
              <v:rect id="_x0000_s63076" style="position:absolute;left:3265;top:11623;width:1471;height:295" stroked="f"/>
              <v:rect id="_x0000_s63077" style="position:absolute;left:3531;top:11651;width:1152;height:207;mso-wrap-style:none" filled="f" stroked="f">
                <v:textbox style="mso-next-textbox:#_x0000_s63077;mso-fit-shape-to-text:t" inset="0,0,0,0">
                  <w:txbxContent>
                    <w:p w:rsidR="00CB6FAE" w:rsidRDefault="00CB6FAE">
                      <w:r>
                        <w:rPr>
                          <w:rFonts w:ascii="Arial" w:hAnsi="Arial" w:cs="Arial"/>
                          <w:color w:val="000000"/>
                          <w:sz w:val="18"/>
                          <w:szCs w:val="18"/>
                        </w:rPr>
                        <w:t>161024225.66</w:t>
                      </w:r>
                    </w:p>
                  </w:txbxContent>
                </v:textbox>
              </v:rect>
              <v:rect id="_x0000_s63078" style="position:absolute;left:4708;top:11623;width:1345;height:295" stroked="f"/>
              <v:rect id="_x0000_s63079" style="position:absolute;left:4932;top:11651;width:1052;height:207;mso-wrap-style:none" filled="f" stroked="f">
                <v:textbox style="mso-next-textbox:#_x0000_s63079;mso-fit-shape-to-text:t" inset="0,0,0,0">
                  <w:txbxContent>
                    <w:p w:rsidR="00CB6FAE" w:rsidRDefault="00CB6FAE">
                      <w:r>
                        <w:rPr>
                          <w:rFonts w:ascii="Arial" w:hAnsi="Arial" w:cs="Arial"/>
                          <w:color w:val="000000"/>
                          <w:sz w:val="18"/>
                          <w:szCs w:val="18"/>
                        </w:rPr>
                        <w:t>32414445.46</w:t>
                      </w:r>
                    </w:p>
                  </w:txbxContent>
                </v:textbox>
              </v:rect>
              <v:rect id="_x0000_s63080" style="position:absolute;left:6025;top:11623;width:1359;height:295" stroked="f"/>
              <v:rect id="_x0000_s63081" style="position:absolute;left:6263;top:11651;width:1052;height:207;mso-wrap-style:none" filled="f" stroked="f">
                <v:textbox style="mso-next-textbox:#_x0000_s63081;mso-fit-shape-to-text:t" inset="0,0,0,0">
                  <w:txbxContent>
                    <w:p w:rsidR="00CB6FAE" w:rsidRDefault="00CB6FAE">
                      <w:r>
                        <w:rPr>
                          <w:rFonts w:ascii="Arial" w:hAnsi="Arial" w:cs="Arial"/>
                          <w:color w:val="000000"/>
                          <w:sz w:val="18"/>
                          <w:szCs w:val="18"/>
                        </w:rPr>
                        <w:t>19573601.41</w:t>
                      </w:r>
                    </w:p>
                  </w:txbxContent>
                </v:textbox>
              </v:rect>
              <v:rect id="_x0000_s63082" style="position:absolute;left:7356;top:11623;width:1359;height:295" stroked="f"/>
              <v:rect id="_x0000_s63083" style="position:absolute;left:7846;top:11651;width:751;height:207;mso-wrap-style:none" filled="f" stroked="f">
                <v:textbox style="mso-next-textbox:#_x0000_s63083;mso-fit-shape-to-text:t" inset="0,0,0,0">
                  <w:txbxContent>
                    <w:p w:rsidR="00CB6FAE" w:rsidRDefault="00CB6FAE">
                      <w:r>
                        <w:rPr>
                          <w:rFonts w:ascii="Arial" w:hAnsi="Arial" w:cs="Arial"/>
                          <w:color w:val="000000"/>
                          <w:sz w:val="18"/>
                          <w:szCs w:val="18"/>
                        </w:rPr>
                        <w:t>74874.56</w:t>
                      </w:r>
                    </w:p>
                  </w:txbxContent>
                </v:textbox>
              </v:rect>
            </v:group>
            <v:rect id="_x0000_s63085" style="position:absolute;left:8687;top:11623;width:1191;height:295" stroked="f"/>
            <v:rect id="_x0000_s63086" style="position:absolute;left:9094;top:11651;width:651;height:207;mso-wrap-style:none" filled="f" stroked="f">
              <v:textbox style="mso-next-textbox:#_x0000_s63086;mso-fit-shape-to-text:t" inset="0,0,0,0">
                <w:txbxContent>
                  <w:p w:rsidR="00CB6FAE" w:rsidRDefault="00CB6FAE">
                    <w:r>
                      <w:rPr>
                        <w:rFonts w:ascii="Arial" w:hAnsi="Arial" w:cs="Arial"/>
                        <w:color w:val="000000"/>
                        <w:sz w:val="18"/>
                        <w:szCs w:val="18"/>
                      </w:rPr>
                      <w:t>1968.26</w:t>
                    </w:r>
                  </w:p>
                </w:txbxContent>
              </v:textbox>
            </v:rect>
            <v:rect id="_x0000_s63087" style="position:absolute;left:1906;top:505;width:1387;height:744" stroked="f"/>
            <v:rect id="_x0000_s63088" style="position:absolute;left:1906;top:1221;width:1387;height:295" stroked="f"/>
            <v:rect id="_x0000_s63089" style="position:absolute;left:2018;top:1235;width:451;height:207;mso-wrap-style:none" filled="f" stroked="f">
              <v:textbox style="mso-next-textbox:#_x0000_s63089;mso-fit-shape-to-text:t" inset="0,0,0,0">
                <w:txbxContent>
                  <w:p w:rsidR="00CB6FAE" w:rsidRDefault="00CB6FAE">
                    <w:r>
                      <w:rPr>
                        <w:rFonts w:ascii="Arial" w:hAnsi="Arial" w:cs="Arial"/>
                        <w:color w:val="000000"/>
                        <w:sz w:val="18"/>
                        <w:szCs w:val="18"/>
                      </w:rPr>
                      <w:t>Mean</w:t>
                    </w:r>
                  </w:p>
                </w:txbxContent>
              </v:textbox>
            </v:rect>
            <v:rect id="_x0000_s63090" style="position:absolute;left:1906;top:1488;width:1387;height:295" stroked="f"/>
            <v:rect id="_x0000_s63091" style="position:absolute;left:2018;top:1502;width:731;height:207;mso-wrap-style:none" filled="f" stroked="f">
              <v:textbox style="mso-next-textbox:#_x0000_s63091;mso-fit-shape-to-text:t" inset="0,0,0,0">
                <w:txbxContent>
                  <w:p w:rsidR="00CB6FAE" w:rsidRDefault="00CB6FAE">
                    <w:r>
                      <w:rPr>
                        <w:rFonts w:ascii="Arial" w:hAnsi="Arial" w:cs="Arial"/>
                        <w:color w:val="000000"/>
                        <w:sz w:val="18"/>
                        <w:szCs w:val="18"/>
                      </w:rPr>
                      <w:t>Minimum</w:t>
                    </w:r>
                  </w:p>
                </w:txbxContent>
              </v:textbox>
            </v:rect>
            <v:rect id="_x0000_s63092" style="position:absolute;left:1906;top:1755;width:1387;height:294" stroked="f"/>
            <v:rect id="_x0000_s63093" style="position:absolute;left:2018;top:1769;width:781;height:207;mso-wrap-style:none" filled="f" stroked="f">
              <v:textbox style="mso-next-textbox:#_x0000_s63093;mso-fit-shape-to-text:t" inset="0,0,0,0">
                <w:txbxContent>
                  <w:p w:rsidR="00CB6FAE" w:rsidRDefault="00CB6FAE">
                    <w:r>
                      <w:rPr>
                        <w:rFonts w:ascii="Arial" w:hAnsi="Arial" w:cs="Arial"/>
                        <w:color w:val="000000"/>
                        <w:sz w:val="18"/>
                        <w:szCs w:val="18"/>
                      </w:rPr>
                      <w:t>Maximum</w:t>
                    </w:r>
                  </w:p>
                </w:txbxContent>
              </v:textbox>
            </v:rect>
            <v:rect id="_x0000_s63094" style="position:absolute;left:1906;top:2021;width:1387;height:295" stroked="f"/>
            <v:rect id="_x0000_s63095" style="position:absolute;left:2018;top:2035;width:1121;height:207;mso-wrap-style:none" filled="f" stroked="f">
              <v:textbox style="mso-next-textbox:#_x0000_s63095;mso-fit-shape-to-text:t" inset="0,0,0,0">
                <w:txbxContent>
                  <w:p w:rsidR="00CB6FAE" w:rsidRDefault="00CB6FAE">
                    <w:r>
                      <w:rPr>
                        <w:rFonts w:ascii="Arial" w:hAnsi="Arial" w:cs="Arial"/>
                        <w:color w:val="000000"/>
                        <w:sz w:val="18"/>
                        <w:szCs w:val="18"/>
                      </w:rPr>
                      <w:t>Std. Deviation</w:t>
                    </w:r>
                  </w:p>
                </w:txbxContent>
              </v:textbox>
            </v:rect>
            <v:rect id="_x0000_s63096" style="position:absolute;left:1906;top:2288;width:1387;height:295" stroked="f"/>
            <v:rect id="_x0000_s63097" style="position:absolute;left:2018;top:2302;width:451;height:207;mso-wrap-style:none" filled="f" stroked="f">
              <v:textbox style="mso-next-textbox:#_x0000_s63097;mso-fit-shape-to-text:t" inset="0,0,0,0">
                <w:txbxContent>
                  <w:p w:rsidR="00CB6FAE" w:rsidRDefault="00CB6FAE">
                    <w:r>
                      <w:rPr>
                        <w:rFonts w:ascii="Arial" w:hAnsi="Arial" w:cs="Arial"/>
                        <w:color w:val="000000"/>
                        <w:sz w:val="18"/>
                        <w:szCs w:val="18"/>
                      </w:rPr>
                      <w:t>Mean</w:t>
                    </w:r>
                  </w:p>
                </w:txbxContent>
              </v:textbox>
            </v:rect>
            <v:rect id="_x0000_s63098" style="position:absolute;left:1906;top:2555;width:1387;height:295" stroked="f"/>
            <v:rect id="_x0000_s63099" style="position:absolute;left:2018;top:2569;width:731;height:207;mso-wrap-style:none" filled="f" stroked="f">
              <v:textbox style="mso-next-textbox:#_x0000_s63099;mso-fit-shape-to-text:t" inset="0,0,0,0">
                <w:txbxContent>
                  <w:p w:rsidR="00CB6FAE" w:rsidRDefault="00CB6FAE">
                    <w:r>
                      <w:rPr>
                        <w:rFonts w:ascii="Arial" w:hAnsi="Arial" w:cs="Arial"/>
                        <w:color w:val="000000"/>
                        <w:sz w:val="18"/>
                        <w:szCs w:val="18"/>
                      </w:rPr>
                      <w:t>Minimum</w:t>
                    </w:r>
                  </w:p>
                </w:txbxContent>
              </v:textbox>
            </v:rect>
            <v:rect id="_x0000_s63100" style="position:absolute;left:1906;top:2822;width:1387;height:294" stroked="f"/>
            <v:rect id="_x0000_s63101" style="position:absolute;left:2018;top:2836;width:781;height:207;mso-wrap-style:none" filled="f" stroked="f">
              <v:textbox style="mso-next-textbox:#_x0000_s63101;mso-fit-shape-to-text:t" inset="0,0,0,0">
                <w:txbxContent>
                  <w:p w:rsidR="00CB6FAE" w:rsidRDefault="00CB6FAE">
                    <w:r>
                      <w:rPr>
                        <w:rFonts w:ascii="Arial" w:hAnsi="Arial" w:cs="Arial"/>
                        <w:color w:val="000000"/>
                        <w:sz w:val="18"/>
                        <w:szCs w:val="18"/>
                      </w:rPr>
                      <w:t>Maximum</w:t>
                    </w:r>
                  </w:p>
                </w:txbxContent>
              </v:textbox>
            </v:rect>
            <v:rect id="_x0000_s63102" style="position:absolute;left:1906;top:3088;width:1387;height:295" stroked="f"/>
            <v:rect id="_x0000_s63103" style="position:absolute;left:2018;top:3102;width:1121;height:207;mso-wrap-style:none" filled="f" stroked="f">
              <v:textbox style="mso-next-textbox:#_x0000_s63103;mso-fit-shape-to-text:t" inset="0,0,0,0">
                <w:txbxContent>
                  <w:p w:rsidR="00CB6FAE" w:rsidRDefault="00CB6FAE">
                    <w:r>
                      <w:rPr>
                        <w:rFonts w:ascii="Arial" w:hAnsi="Arial" w:cs="Arial"/>
                        <w:color w:val="000000"/>
                        <w:sz w:val="18"/>
                        <w:szCs w:val="18"/>
                      </w:rPr>
                      <w:t>Std. Deviation</w:t>
                    </w:r>
                  </w:p>
                </w:txbxContent>
              </v:textbox>
            </v:rect>
            <v:rect id="_x0000_s63104" style="position:absolute;left:1906;top:3355;width:1387;height:295" stroked="f"/>
            <v:rect id="_x0000_s63105" style="position:absolute;left:2018;top:3369;width:451;height:207;mso-wrap-style:none" filled="f" stroked="f">
              <v:textbox style="mso-next-textbox:#_x0000_s63105;mso-fit-shape-to-text:t" inset="0,0,0,0">
                <w:txbxContent>
                  <w:p w:rsidR="00CB6FAE" w:rsidRDefault="00CB6FAE">
                    <w:r>
                      <w:rPr>
                        <w:rFonts w:ascii="Arial" w:hAnsi="Arial" w:cs="Arial"/>
                        <w:color w:val="000000"/>
                        <w:sz w:val="18"/>
                        <w:szCs w:val="18"/>
                      </w:rPr>
                      <w:t>Mean</w:t>
                    </w:r>
                  </w:p>
                </w:txbxContent>
              </v:textbox>
            </v:rect>
            <v:rect id="_x0000_s63106" style="position:absolute;left:1906;top:3622;width:1387;height:294" stroked="f"/>
            <v:rect id="_x0000_s63107" style="position:absolute;left:2018;top:3636;width:731;height:207;mso-wrap-style:none" filled="f" stroked="f">
              <v:textbox style="mso-next-textbox:#_x0000_s63107;mso-fit-shape-to-text:t" inset="0,0,0,0">
                <w:txbxContent>
                  <w:p w:rsidR="00CB6FAE" w:rsidRDefault="00CB6FAE">
                    <w:r>
                      <w:rPr>
                        <w:rFonts w:ascii="Arial" w:hAnsi="Arial" w:cs="Arial"/>
                        <w:color w:val="000000"/>
                        <w:sz w:val="18"/>
                        <w:szCs w:val="18"/>
                      </w:rPr>
                      <w:t>Minimum</w:t>
                    </w:r>
                  </w:p>
                </w:txbxContent>
              </v:textbox>
            </v:rect>
            <v:rect id="_x0000_s63108" style="position:absolute;left:1906;top:3888;width:1387;height:295" stroked="f"/>
            <v:rect id="_x0000_s63109" style="position:absolute;left:2018;top:3902;width:781;height:207;mso-wrap-style:none" filled="f" stroked="f">
              <v:textbox style="mso-next-textbox:#_x0000_s63109;mso-fit-shape-to-text:t" inset="0,0,0,0">
                <w:txbxContent>
                  <w:p w:rsidR="00CB6FAE" w:rsidRDefault="00CB6FAE">
                    <w:r>
                      <w:rPr>
                        <w:rFonts w:ascii="Arial" w:hAnsi="Arial" w:cs="Arial"/>
                        <w:color w:val="000000"/>
                        <w:sz w:val="18"/>
                        <w:szCs w:val="18"/>
                      </w:rPr>
                      <w:t>Maximum</w:t>
                    </w:r>
                  </w:p>
                </w:txbxContent>
              </v:textbox>
            </v:rect>
            <v:rect id="_x0000_s63110" style="position:absolute;left:1906;top:4155;width:1387;height:295" stroked="f"/>
            <v:rect id="_x0000_s63111" style="position:absolute;left:2018;top:4169;width:1121;height:207;mso-wrap-style:none" filled="f" stroked="f">
              <v:textbox style="mso-next-textbox:#_x0000_s63111;mso-fit-shape-to-text:t" inset="0,0,0,0">
                <w:txbxContent>
                  <w:p w:rsidR="00CB6FAE" w:rsidRDefault="00CB6FAE">
                    <w:r>
                      <w:rPr>
                        <w:rFonts w:ascii="Arial" w:hAnsi="Arial" w:cs="Arial"/>
                        <w:color w:val="000000"/>
                        <w:sz w:val="18"/>
                        <w:szCs w:val="18"/>
                      </w:rPr>
                      <w:t>Std. Deviation</w:t>
                    </w:r>
                  </w:p>
                </w:txbxContent>
              </v:textbox>
            </v:rect>
            <v:rect id="_x0000_s63112" style="position:absolute;left:1906;top:4422;width:1387;height:295" stroked="f"/>
            <v:rect id="_x0000_s63113" style="position:absolute;left:2018;top:4436;width:451;height:207;mso-wrap-style:none" filled="f" stroked="f">
              <v:textbox style="mso-next-textbox:#_x0000_s63113;mso-fit-shape-to-text:t" inset="0,0,0,0">
                <w:txbxContent>
                  <w:p w:rsidR="00CB6FAE" w:rsidRDefault="00CB6FAE">
                    <w:r>
                      <w:rPr>
                        <w:rFonts w:ascii="Arial" w:hAnsi="Arial" w:cs="Arial"/>
                        <w:color w:val="000000"/>
                        <w:sz w:val="18"/>
                        <w:szCs w:val="18"/>
                      </w:rPr>
                      <w:t>Mean</w:t>
                    </w:r>
                  </w:p>
                </w:txbxContent>
              </v:textbox>
            </v:rect>
            <v:rect id="_x0000_s63114" style="position:absolute;left:1906;top:4688;width:1387;height:295" stroked="f"/>
            <v:rect id="_x0000_s63115" style="position:absolute;left:2018;top:4703;width:731;height:207;mso-wrap-style:none" filled="f" stroked="f">
              <v:textbox style="mso-next-textbox:#_x0000_s63115;mso-fit-shape-to-text:t" inset="0,0,0,0">
                <w:txbxContent>
                  <w:p w:rsidR="00CB6FAE" w:rsidRDefault="00CB6FAE">
                    <w:r>
                      <w:rPr>
                        <w:rFonts w:ascii="Arial" w:hAnsi="Arial" w:cs="Arial"/>
                        <w:color w:val="000000"/>
                        <w:sz w:val="18"/>
                        <w:szCs w:val="18"/>
                      </w:rPr>
                      <w:t>Minimum</w:t>
                    </w:r>
                  </w:p>
                </w:txbxContent>
              </v:textbox>
            </v:rect>
            <v:rect id="_x0000_s63116" style="position:absolute;left:1906;top:4955;width:1387;height:295" stroked="f"/>
            <v:rect id="_x0000_s63117" style="position:absolute;left:2018;top:4969;width:781;height:207;mso-wrap-style:none" filled="f" stroked="f">
              <v:textbox style="mso-next-textbox:#_x0000_s63117;mso-fit-shape-to-text:t" inset="0,0,0,0">
                <w:txbxContent>
                  <w:p w:rsidR="00CB6FAE" w:rsidRDefault="00CB6FAE">
                    <w:r>
                      <w:rPr>
                        <w:rFonts w:ascii="Arial" w:hAnsi="Arial" w:cs="Arial"/>
                        <w:color w:val="000000"/>
                        <w:sz w:val="18"/>
                        <w:szCs w:val="18"/>
                      </w:rPr>
                      <w:t>Maximum</w:t>
                    </w:r>
                  </w:p>
                </w:txbxContent>
              </v:textbox>
            </v:rect>
            <v:rect id="_x0000_s63118" style="position:absolute;left:1906;top:5222;width:1387;height:295" stroked="f"/>
            <v:rect id="_x0000_s63119" style="position:absolute;left:2018;top:5236;width:1121;height:207;mso-wrap-style:none" filled="f" stroked="f">
              <v:textbox style="mso-next-textbox:#_x0000_s63119;mso-fit-shape-to-text:t" inset="0,0,0,0">
                <w:txbxContent>
                  <w:p w:rsidR="00CB6FAE" w:rsidRDefault="00CB6FAE">
                    <w:r>
                      <w:rPr>
                        <w:rFonts w:ascii="Arial" w:hAnsi="Arial" w:cs="Arial"/>
                        <w:color w:val="000000"/>
                        <w:sz w:val="18"/>
                        <w:szCs w:val="18"/>
                      </w:rPr>
                      <w:t>Std. Deviation</w:t>
                    </w:r>
                  </w:p>
                </w:txbxContent>
              </v:textbox>
            </v:rect>
            <v:rect id="_x0000_s63120" style="position:absolute;left:1906;top:5489;width:1387;height:294" stroked="f"/>
            <v:rect id="_x0000_s63121" style="position:absolute;left:2018;top:5503;width:451;height:207;mso-wrap-style:none" filled="f" stroked="f">
              <v:textbox style="mso-next-textbox:#_x0000_s63121;mso-fit-shape-to-text:t" inset="0,0,0,0">
                <w:txbxContent>
                  <w:p w:rsidR="00CB6FAE" w:rsidRDefault="00CB6FAE">
                    <w:r>
                      <w:rPr>
                        <w:rFonts w:ascii="Arial" w:hAnsi="Arial" w:cs="Arial"/>
                        <w:color w:val="000000"/>
                        <w:sz w:val="18"/>
                        <w:szCs w:val="18"/>
                      </w:rPr>
                      <w:t>Mean</w:t>
                    </w:r>
                  </w:p>
                </w:txbxContent>
              </v:textbox>
            </v:rect>
            <v:rect id="_x0000_s63122" style="position:absolute;left:1906;top:5755;width:1387;height:295" stroked="f"/>
            <v:rect id="_x0000_s63123" style="position:absolute;left:2018;top:5769;width:731;height:207;mso-wrap-style:none" filled="f" stroked="f">
              <v:textbox style="mso-next-textbox:#_x0000_s63123;mso-fit-shape-to-text:t" inset="0,0,0,0">
                <w:txbxContent>
                  <w:p w:rsidR="00CB6FAE" w:rsidRDefault="00CB6FAE">
                    <w:r>
                      <w:rPr>
                        <w:rFonts w:ascii="Arial" w:hAnsi="Arial" w:cs="Arial"/>
                        <w:color w:val="000000"/>
                        <w:sz w:val="18"/>
                        <w:szCs w:val="18"/>
                      </w:rPr>
                      <w:t>Minimum</w:t>
                    </w:r>
                  </w:p>
                </w:txbxContent>
              </v:textbox>
            </v:rect>
            <v:rect id="_x0000_s63124" style="position:absolute;left:1906;top:6022;width:1387;height:295" stroked="f"/>
            <v:rect id="_x0000_s63125" style="position:absolute;left:2018;top:6036;width:781;height:207;mso-wrap-style:none" filled="f" stroked="f">
              <v:textbox style="mso-next-textbox:#_x0000_s63125;mso-fit-shape-to-text:t" inset="0,0,0,0">
                <w:txbxContent>
                  <w:p w:rsidR="00CB6FAE" w:rsidRDefault="00CB6FAE">
                    <w:r>
                      <w:rPr>
                        <w:rFonts w:ascii="Arial" w:hAnsi="Arial" w:cs="Arial"/>
                        <w:color w:val="000000"/>
                        <w:sz w:val="18"/>
                        <w:szCs w:val="18"/>
                      </w:rPr>
                      <w:t>Maximum</w:t>
                    </w:r>
                  </w:p>
                </w:txbxContent>
              </v:textbox>
            </v:rect>
            <v:rect id="_x0000_s63126" style="position:absolute;left:1906;top:6289;width:1387;height:295" stroked="f"/>
            <v:rect id="_x0000_s63127" style="position:absolute;left:2018;top:6303;width:1121;height:207;mso-wrap-style:none" filled="f" stroked="f">
              <v:textbox style="mso-next-textbox:#_x0000_s63127;mso-fit-shape-to-text:t" inset="0,0,0,0">
                <w:txbxContent>
                  <w:p w:rsidR="00CB6FAE" w:rsidRDefault="00CB6FAE">
                    <w:r>
                      <w:rPr>
                        <w:rFonts w:ascii="Arial" w:hAnsi="Arial" w:cs="Arial"/>
                        <w:color w:val="000000"/>
                        <w:sz w:val="18"/>
                        <w:szCs w:val="18"/>
                      </w:rPr>
                      <w:t>Std. Deviation</w:t>
                    </w:r>
                  </w:p>
                </w:txbxContent>
              </v:textbox>
            </v:rect>
            <v:rect id="_x0000_s63128" style="position:absolute;left:1906;top:6555;width:1387;height:295" stroked="f"/>
            <v:rect id="_x0000_s63129" style="position:absolute;left:2018;top:6569;width:451;height:207;mso-wrap-style:none" filled="f" stroked="f">
              <v:textbox style="mso-next-textbox:#_x0000_s63129;mso-fit-shape-to-text:t" inset="0,0,0,0">
                <w:txbxContent>
                  <w:p w:rsidR="00CB6FAE" w:rsidRDefault="00CB6FAE">
                    <w:r>
                      <w:rPr>
                        <w:rFonts w:ascii="Arial" w:hAnsi="Arial" w:cs="Arial"/>
                        <w:color w:val="000000"/>
                        <w:sz w:val="18"/>
                        <w:szCs w:val="18"/>
                      </w:rPr>
                      <w:t>Mean</w:t>
                    </w:r>
                  </w:p>
                </w:txbxContent>
              </v:textbox>
            </v:rect>
            <v:rect id="_x0000_s63130" style="position:absolute;left:1906;top:6822;width:1387;height:295" stroked="f"/>
            <v:rect id="_x0000_s63131" style="position:absolute;left:2018;top:6836;width:731;height:207;mso-wrap-style:none" filled="f" stroked="f">
              <v:textbox style="mso-next-textbox:#_x0000_s63131;mso-fit-shape-to-text:t" inset="0,0,0,0">
                <w:txbxContent>
                  <w:p w:rsidR="00CB6FAE" w:rsidRDefault="00CB6FAE">
                    <w:r>
                      <w:rPr>
                        <w:rFonts w:ascii="Arial" w:hAnsi="Arial" w:cs="Arial"/>
                        <w:color w:val="000000"/>
                        <w:sz w:val="18"/>
                        <w:szCs w:val="18"/>
                      </w:rPr>
                      <w:t>Minimum</w:t>
                    </w:r>
                  </w:p>
                </w:txbxContent>
              </v:textbox>
            </v:rect>
            <v:rect id="_x0000_s63132" style="position:absolute;left:1906;top:7089;width:1387;height:295" stroked="f"/>
            <v:rect id="_x0000_s63133" style="position:absolute;left:2018;top:7103;width:781;height:207;mso-wrap-style:none" filled="f" stroked="f">
              <v:textbox style="mso-next-textbox:#_x0000_s63133;mso-fit-shape-to-text:t" inset="0,0,0,0">
                <w:txbxContent>
                  <w:p w:rsidR="00CB6FAE" w:rsidRDefault="00CB6FAE">
                    <w:r>
                      <w:rPr>
                        <w:rFonts w:ascii="Arial" w:hAnsi="Arial" w:cs="Arial"/>
                        <w:color w:val="000000"/>
                        <w:sz w:val="18"/>
                        <w:szCs w:val="18"/>
                      </w:rPr>
                      <w:t>Maximum</w:t>
                    </w:r>
                  </w:p>
                </w:txbxContent>
              </v:textbox>
            </v:rect>
            <v:rect id="_x0000_s63134" style="position:absolute;left:1906;top:7356;width:1387;height:294" stroked="f"/>
            <v:rect id="_x0000_s63135" style="position:absolute;left:2018;top:7370;width:1121;height:207;mso-wrap-style:none" filled="f" stroked="f">
              <v:textbox style="mso-next-textbox:#_x0000_s63135;mso-fit-shape-to-text:t" inset="0,0,0,0">
                <w:txbxContent>
                  <w:p w:rsidR="00CB6FAE" w:rsidRDefault="00CB6FAE">
                    <w:r>
                      <w:rPr>
                        <w:rFonts w:ascii="Arial" w:hAnsi="Arial" w:cs="Arial"/>
                        <w:color w:val="000000"/>
                        <w:sz w:val="18"/>
                        <w:szCs w:val="18"/>
                      </w:rPr>
                      <w:t>Std. Deviation</w:t>
                    </w:r>
                  </w:p>
                </w:txbxContent>
              </v:textbox>
            </v:rect>
            <v:rect id="_x0000_s63136" style="position:absolute;left:1906;top:7622;width:1387;height:295" stroked="f"/>
            <v:rect id="_x0000_s63137" style="position:absolute;left:2018;top:7636;width:451;height:207;mso-wrap-style:none" filled="f" stroked="f">
              <v:textbox style="mso-next-textbox:#_x0000_s63137;mso-fit-shape-to-text:t" inset="0,0,0,0">
                <w:txbxContent>
                  <w:p w:rsidR="00CB6FAE" w:rsidRDefault="00CB6FAE">
                    <w:r>
                      <w:rPr>
                        <w:rFonts w:ascii="Arial" w:hAnsi="Arial" w:cs="Arial"/>
                        <w:color w:val="000000"/>
                        <w:sz w:val="18"/>
                        <w:szCs w:val="18"/>
                      </w:rPr>
                      <w:t>Mean</w:t>
                    </w:r>
                  </w:p>
                </w:txbxContent>
              </v:textbox>
            </v:rect>
            <v:rect id="_x0000_s63138" style="position:absolute;left:1906;top:7889;width:1387;height:295" stroked="f"/>
            <v:rect id="_x0000_s63139" style="position:absolute;left:2018;top:7903;width:731;height:207;mso-wrap-style:none" filled="f" stroked="f">
              <v:textbox style="mso-next-textbox:#_x0000_s63139;mso-fit-shape-to-text:t" inset="0,0,0,0">
                <w:txbxContent>
                  <w:p w:rsidR="00CB6FAE" w:rsidRDefault="00CB6FAE">
                    <w:r>
                      <w:rPr>
                        <w:rFonts w:ascii="Arial" w:hAnsi="Arial" w:cs="Arial"/>
                        <w:color w:val="000000"/>
                        <w:sz w:val="18"/>
                        <w:szCs w:val="18"/>
                      </w:rPr>
                      <w:t>Minimum</w:t>
                    </w:r>
                  </w:p>
                </w:txbxContent>
              </v:textbox>
            </v:rect>
            <v:rect id="_x0000_s63140" style="position:absolute;left:1906;top:8156;width:1387;height:294" stroked="f"/>
            <v:rect id="_x0000_s63141" style="position:absolute;left:2018;top:8170;width:781;height:207;mso-wrap-style:none" filled="f" stroked="f">
              <v:textbox style="mso-next-textbox:#_x0000_s63141;mso-fit-shape-to-text:t" inset="0,0,0,0">
                <w:txbxContent>
                  <w:p w:rsidR="00CB6FAE" w:rsidRDefault="00CB6FAE">
                    <w:r>
                      <w:rPr>
                        <w:rFonts w:ascii="Arial" w:hAnsi="Arial" w:cs="Arial"/>
                        <w:color w:val="000000"/>
                        <w:sz w:val="18"/>
                        <w:szCs w:val="18"/>
                      </w:rPr>
                      <w:t>Maximum</w:t>
                    </w:r>
                  </w:p>
                </w:txbxContent>
              </v:textbox>
            </v:rect>
            <v:rect id="_x0000_s63142" style="position:absolute;left:1906;top:8422;width:1387;height:295" stroked="f"/>
            <v:rect id="_x0000_s63143" style="position:absolute;left:2018;top:8436;width:1121;height:207;mso-wrap-style:none" filled="f" stroked="f">
              <v:textbox style="mso-next-textbox:#_x0000_s63143;mso-fit-shape-to-text:t" inset="0,0,0,0">
                <w:txbxContent>
                  <w:p w:rsidR="00CB6FAE" w:rsidRDefault="00CB6FAE">
                    <w:r>
                      <w:rPr>
                        <w:rFonts w:ascii="Arial" w:hAnsi="Arial" w:cs="Arial"/>
                        <w:color w:val="000000"/>
                        <w:sz w:val="18"/>
                        <w:szCs w:val="18"/>
                      </w:rPr>
                      <w:t>Std. Deviation</w:t>
                    </w:r>
                  </w:p>
                </w:txbxContent>
              </v:textbox>
            </v:rect>
            <v:rect id="_x0000_s63144" style="position:absolute;left:1906;top:8689;width:1387;height:295" stroked="f"/>
            <v:rect id="_x0000_s63145" style="position:absolute;left:2018;top:8703;width:451;height:207;mso-wrap-style:none" filled="f" stroked="f">
              <v:textbox style="mso-next-textbox:#_x0000_s63145;mso-fit-shape-to-text:t" inset="0,0,0,0">
                <w:txbxContent>
                  <w:p w:rsidR="00CB6FAE" w:rsidRDefault="00CB6FAE">
                    <w:r>
                      <w:rPr>
                        <w:rFonts w:ascii="Arial" w:hAnsi="Arial" w:cs="Arial"/>
                        <w:color w:val="000000"/>
                        <w:sz w:val="18"/>
                        <w:szCs w:val="18"/>
                      </w:rPr>
                      <w:t>Mean</w:t>
                    </w:r>
                  </w:p>
                </w:txbxContent>
              </v:textbox>
            </v:rect>
            <v:rect id="_x0000_s63146" style="position:absolute;left:1906;top:8956;width:1387;height:295" stroked="f"/>
            <v:rect id="_x0000_s63147" style="position:absolute;left:2018;top:8970;width:731;height:207;mso-wrap-style:none" filled="f" stroked="f">
              <v:textbox style="mso-next-textbox:#_x0000_s63147;mso-fit-shape-to-text:t" inset="0,0,0,0">
                <w:txbxContent>
                  <w:p w:rsidR="00CB6FAE" w:rsidRDefault="00CB6FAE">
                    <w:r>
                      <w:rPr>
                        <w:rFonts w:ascii="Arial" w:hAnsi="Arial" w:cs="Arial"/>
                        <w:color w:val="000000"/>
                        <w:sz w:val="18"/>
                        <w:szCs w:val="18"/>
                      </w:rPr>
                      <w:t>Minimum</w:t>
                    </w:r>
                  </w:p>
                </w:txbxContent>
              </v:textbox>
            </v:rect>
            <v:rect id="_x0000_s63148" style="position:absolute;left:1906;top:9223;width:1387;height:294" stroked="f"/>
            <v:rect id="_x0000_s63149" style="position:absolute;left:2018;top:9237;width:781;height:207;mso-wrap-style:none" filled="f" stroked="f">
              <v:textbox style="mso-next-textbox:#_x0000_s63149;mso-fit-shape-to-text:t" inset="0,0,0,0">
                <w:txbxContent>
                  <w:p w:rsidR="00CB6FAE" w:rsidRDefault="00CB6FAE">
                    <w:r>
                      <w:rPr>
                        <w:rFonts w:ascii="Arial" w:hAnsi="Arial" w:cs="Arial"/>
                        <w:color w:val="000000"/>
                        <w:sz w:val="18"/>
                        <w:szCs w:val="18"/>
                      </w:rPr>
                      <w:t>Maximum</w:t>
                    </w:r>
                  </w:p>
                </w:txbxContent>
              </v:textbox>
            </v:rect>
            <v:rect id="_x0000_s63150" style="position:absolute;left:1906;top:9489;width:1387;height:295" stroked="f"/>
            <v:rect id="_x0000_s63151" style="position:absolute;left:2018;top:9503;width:1121;height:207;mso-wrap-style:none" filled="f" stroked="f">
              <v:textbox style="mso-next-textbox:#_x0000_s63151;mso-fit-shape-to-text:t" inset="0,0,0,0">
                <w:txbxContent>
                  <w:p w:rsidR="00CB6FAE" w:rsidRDefault="00CB6FAE">
                    <w:r>
                      <w:rPr>
                        <w:rFonts w:ascii="Arial" w:hAnsi="Arial" w:cs="Arial"/>
                        <w:color w:val="000000"/>
                        <w:sz w:val="18"/>
                        <w:szCs w:val="18"/>
                      </w:rPr>
                      <w:t>Std. Deviation</w:t>
                    </w:r>
                  </w:p>
                </w:txbxContent>
              </v:textbox>
            </v:rect>
            <v:rect id="_x0000_s63152" style="position:absolute;left:1906;top:9756;width:1387;height:295" stroked="f"/>
            <v:rect id="_x0000_s63153" style="position:absolute;left:2018;top:9770;width:451;height:207;mso-wrap-style:none" filled="f" stroked="f">
              <v:textbox style="mso-next-textbox:#_x0000_s63153;mso-fit-shape-to-text:t" inset="0,0,0,0">
                <w:txbxContent>
                  <w:p w:rsidR="00CB6FAE" w:rsidRDefault="00CB6FAE">
                    <w:r>
                      <w:rPr>
                        <w:rFonts w:ascii="Arial" w:hAnsi="Arial" w:cs="Arial"/>
                        <w:color w:val="000000"/>
                        <w:sz w:val="18"/>
                        <w:szCs w:val="18"/>
                      </w:rPr>
                      <w:t>Mean</w:t>
                    </w:r>
                  </w:p>
                </w:txbxContent>
              </v:textbox>
            </v:rect>
            <v:rect id="_x0000_s63154" style="position:absolute;left:1906;top:10023;width:1387;height:294" stroked="f"/>
            <v:rect id="_x0000_s63155" style="position:absolute;left:2018;top:10037;width:731;height:207;mso-wrap-style:none" filled="f" stroked="f">
              <v:textbox style="mso-next-textbox:#_x0000_s63155;mso-fit-shape-to-text:t" inset="0,0,0,0">
                <w:txbxContent>
                  <w:p w:rsidR="00CB6FAE" w:rsidRDefault="00CB6FAE">
                    <w:r>
                      <w:rPr>
                        <w:rFonts w:ascii="Arial" w:hAnsi="Arial" w:cs="Arial"/>
                        <w:color w:val="000000"/>
                        <w:sz w:val="18"/>
                        <w:szCs w:val="18"/>
                      </w:rPr>
                      <w:t>Minimum</w:t>
                    </w:r>
                  </w:p>
                </w:txbxContent>
              </v:textbox>
            </v:rect>
            <v:rect id="_x0000_s63156" style="position:absolute;left:1906;top:10289;width:1387;height:295" stroked="f"/>
            <v:rect id="_x0000_s63157" style="position:absolute;left:2018;top:10303;width:781;height:207;mso-wrap-style:none" filled="f" stroked="f">
              <v:textbox style="mso-next-textbox:#_x0000_s63157;mso-fit-shape-to-text:t" inset="0,0,0,0">
                <w:txbxContent>
                  <w:p w:rsidR="00CB6FAE" w:rsidRDefault="00CB6FAE">
                    <w:r>
                      <w:rPr>
                        <w:rFonts w:ascii="Arial" w:hAnsi="Arial" w:cs="Arial"/>
                        <w:color w:val="000000"/>
                        <w:sz w:val="18"/>
                        <w:szCs w:val="18"/>
                      </w:rPr>
                      <w:t>Maximum</w:t>
                    </w:r>
                  </w:p>
                </w:txbxContent>
              </v:textbox>
            </v:rect>
            <v:rect id="_x0000_s63158" style="position:absolute;left:1906;top:10556;width:1387;height:295" stroked="f"/>
            <v:rect id="_x0000_s63159" style="position:absolute;left:2018;top:10570;width:1121;height:207;mso-wrap-style:none" filled="f" stroked="f">
              <v:textbox style="mso-next-textbox:#_x0000_s63159;mso-fit-shape-to-text:t" inset="0,0,0,0">
                <w:txbxContent>
                  <w:p w:rsidR="00CB6FAE" w:rsidRDefault="00CB6FAE">
                    <w:r>
                      <w:rPr>
                        <w:rFonts w:ascii="Arial" w:hAnsi="Arial" w:cs="Arial"/>
                        <w:color w:val="000000"/>
                        <w:sz w:val="18"/>
                        <w:szCs w:val="18"/>
                      </w:rPr>
                      <w:t>Std. Deviation</w:t>
                    </w:r>
                  </w:p>
                </w:txbxContent>
              </v:textbox>
            </v:rect>
            <v:rect id="_x0000_s63160" style="position:absolute;left:1906;top:10823;width:1387;height:295" stroked="f"/>
            <v:rect id="_x0000_s63161" style="position:absolute;left:2018;top:10837;width:451;height:207;mso-wrap-style:none" filled="f" stroked="f">
              <v:textbox style="mso-next-textbox:#_x0000_s63161;mso-fit-shape-to-text:t" inset="0,0,0,0">
                <w:txbxContent>
                  <w:p w:rsidR="00CB6FAE" w:rsidRDefault="00CB6FAE">
                    <w:r>
                      <w:rPr>
                        <w:rFonts w:ascii="Arial" w:hAnsi="Arial" w:cs="Arial"/>
                        <w:color w:val="000000"/>
                        <w:sz w:val="18"/>
                        <w:szCs w:val="18"/>
                      </w:rPr>
                      <w:t>Mean</w:t>
                    </w:r>
                  </w:p>
                </w:txbxContent>
              </v:textbox>
            </v:rect>
            <v:rect id="_x0000_s63162" style="position:absolute;left:1906;top:11089;width:1387;height:295" stroked="f"/>
            <v:rect id="_x0000_s63163" style="position:absolute;left:2018;top:11104;width:731;height:207;mso-wrap-style:none" filled="f" stroked="f">
              <v:textbox style="mso-next-textbox:#_x0000_s63163;mso-fit-shape-to-text:t" inset="0,0,0,0">
                <w:txbxContent>
                  <w:p w:rsidR="00CB6FAE" w:rsidRDefault="00CB6FAE">
                    <w:r>
                      <w:rPr>
                        <w:rFonts w:ascii="Arial" w:hAnsi="Arial" w:cs="Arial"/>
                        <w:color w:val="000000"/>
                        <w:sz w:val="18"/>
                        <w:szCs w:val="18"/>
                      </w:rPr>
                      <w:t>Minimum</w:t>
                    </w:r>
                  </w:p>
                </w:txbxContent>
              </v:textbox>
            </v:rect>
            <v:rect id="_x0000_s63164" style="position:absolute;left:1906;top:11356;width:1387;height:295" stroked="f"/>
            <v:rect id="_x0000_s63165" style="position:absolute;left:2018;top:11370;width:781;height:207;mso-wrap-style:none" filled="f" stroked="f">
              <v:textbox style="mso-next-textbox:#_x0000_s63165;mso-fit-shape-to-text:t" inset="0,0,0,0">
                <w:txbxContent>
                  <w:p w:rsidR="00CB6FAE" w:rsidRDefault="00CB6FAE">
                    <w:r>
                      <w:rPr>
                        <w:rFonts w:ascii="Arial" w:hAnsi="Arial" w:cs="Arial"/>
                        <w:color w:val="000000"/>
                        <w:sz w:val="18"/>
                        <w:szCs w:val="18"/>
                      </w:rPr>
                      <w:t>Maximum</w:t>
                    </w:r>
                  </w:p>
                </w:txbxContent>
              </v:textbox>
            </v:rect>
            <v:rect id="_x0000_s63166" style="position:absolute;left:1906;top:11623;width:1387;height:295" stroked="f"/>
            <v:rect id="_x0000_s63167" style="position:absolute;left:2018;top:11637;width:1121;height:207;mso-wrap-style:none" filled="f" stroked="f">
              <v:textbox style="mso-next-textbox:#_x0000_s63167;mso-fit-shape-to-text:t" inset="0,0,0,0">
                <w:txbxContent>
                  <w:p w:rsidR="00CB6FAE" w:rsidRDefault="00CB6FAE">
                    <w:r>
                      <w:rPr>
                        <w:rFonts w:ascii="Arial" w:hAnsi="Arial" w:cs="Arial"/>
                        <w:color w:val="000000"/>
                        <w:sz w:val="18"/>
                        <w:szCs w:val="18"/>
                      </w:rPr>
                      <w:t>Std. Deviation</w:t>
                    </w:r>
                  </w:p>
                </w:txbxContent>
              </v:textbox>
            </v:rect>
            <v:rect id="_x0000_s63168" style="position:absolute;left:154;top:520;width:1794;height:744" stroked="f"/>
            <v:rect id="_x0000_s63170" style="position:absolute;left:140;top:1221;width:1794;height:1095" stroked="f"/>
            <v:rect id="_x0000_s63171" style="position:absolute;left:252;top:1235;width:1291;height:207;mso-wrap-style:none" filled="f" stroked="f">
              <v:textbox style="mso-next-textbox:#_x0000_s63171;mso-fit-shape-to-text:t" inset="0,0,0,0">
                <w:txbxContent>
                  <w:p w:rsidR="00CB6FAE" w:rsidRDefault="00CB6FAE">
                    <w:r>
                      <w:rPr>
                        <w:rFonts w:ascii="Arial" w:hAnsi="Arial" w:cs="Arial"/>
                        <w:color w:val="000000"/>
                        <w:sz w:val="18"/>
                        <w:szCs w:val="18"/>
                      </w:rPr>
                      <w:t>AGRICULTURE</w:t>
                    </w:r>
                  </w:p>
                </w:txbxContent>
              </v:textbox>
            </v:rect>
            <v:rect id="_x0000_s63172" style="position:absolute;left:140;top:2288;width:1794;height:1095" stroked="f"/>
            <v:rect id="_x0000_s63173" style="position:absolute;left:252;top:2302;width:1580;height:207;mso-wrap-style:none" filled="f" stroked="f">
              <v:textbox style="mso-next-textbox:#_x0000_s63173;mso-fit-shape-to-text:t" inset="0,0,0,0">
                <w:txbxContent>
                  <w:p w:rsidR="00CB6FAE" w:rsidRDefault="00CB6FAE">
                    <w:r>
                      <w:rPr>
                        <w:rFonts w:ascii="Arial" w:hAnsi="Arial" w:cs="Arial"/>
                        <w:color w:val="000000"/>
                        <w:sz w:val="18"/>
                        <w:szCs w:val="18"/>
                      </w:rPr>
                      <w:t>MANUFACTURING</w:t>
                    </w:r>
                  </w:p>
                </w:txbxContent>
              </v:textbox>
            </v:rect>
            <v:rect id="_x0000_s63174" style="position:absolute;left:140;top:3355;width:1794;height:1095" stroked="f"/>
            <v:rect id="_x0000_s63175" style="position:absolute;left:252;top:3369;width:811;height:207;mso-wrap-style:none" filled="f" stroked="f">
              <v:textbox style="mso-next-textbox:#_x0000_s63175;mso-fit-shape-to-text:t" inset="0,0,0,0">
                <w:txbxContent>
                  <w:p w:rsidR="00CB6FAE" w:rsidRDefault="00CB6FAE">
                    <w:r>
                      <w:rPr>
                        <w:rFonts w:ascii="Arial" w:hAnsi="Arial" w:cs="Arial"/>
                        <w:color w:val="000000"/>
                        <w:sz w:val="18"/>
                        <w:szCs w:val="18"/>
                      </w:rPr>
                      <w:t>BANKING</w:t>
                    </w:r>
                  </w:p>
                </w:txbxContent>
              </v:textbox>
            </v:rect>
            <v:rect id="_x0000_s63176" style="position:absolute;left:140;top:4422;width:1794;height:1095" stroked="f"/>
            <v:rect id="_x0000_s63177" style="position:absolute;left:252;top:4436;width:1451;height:207;mso-wrap-style:none" filled="f" stroked="f">
              <v:textbox style="mso-next-textbox:#_x0000_s63177;mso-fit-shape-to-text:t" inset="0,0,0,0">
                <w:txbxContent>
                  <w:p w:rsidR="00CB6FAE" w:rsidRDefault="00CB6FAE">
                    <w:r>
                      <w:rPr>
                        <w:rFonts w:ascii="Arial" w:hAnsi="Arial" w:cs="Arial"/>
                        <w:color w:val="000000"/>
                        <w:sz w:val="18"/>
                        <w:szCs w:val="18"/>
                      </w:rPr>
                      <w:t>FOOD &amp; HEALTH</w:t>
                    </w:r>
                  </w:p>
                </w:txbxContent>
              </v:textbox>
            </v:rect>
            <v:rect id="_x0000_s63178" style="position:absolute;left:140;top:5489;width:1794;height:1095" stroked="f"/>
            <v:rect id="_x0000_s63179" style="position:absolute;left:252;top:5503;width:1281;height:207;mso-wrap-style:none" filled="f" stroked="f">
              <v:textbox style="mso-next-textbox:#_x0000_s63179;mso-fit-shape-to-text:t" inset="0,0,0,0">
                <w:txbxContent>
                  <w:p w:rsidR="00CB6FAE" w:rsidRDefault="00CB6FAE">
                    <w:r>
                      <w:rPr>
                        <w:rFonts w:ascii="Arial" w:hAnsi="Arial" w:cs="Arial"/>
                        <w:color w:val="000000"/>
                        <w:sz w:val="18"/>
                        <w:szCs w:val="18"/>
                      </w:rPr>
                      <w:t>BUILDING AND</w:t>
                    </w:r>
                  </w:p>
                </w:txbxContent>
              </v:textbox>
            </v:rect>
            <v:rect id="_x0000_s63180" style="position:absolute;left:252;top:5727;width:1450;height:207;mso-wrap-style:none" filled="f" stroked="f">
              <v:textbox style="mso-next-textbox:#_x0000_s63180;mso-fit-shape-to-text:t" inset="0,0,0,0">
                <w:txbxContent>
                  <w:p w:rsidR="00CB6FAE" w:rsidRDefault="00CB6FAE">
                    <w:r>
                      <w:rPr>
                        <w:rFonts w:ascii="Arial" w:hAnsi="Arial" w:cs="Arial"/>
                        <w:color w:val="000000"/>
                        <w:sz w:val="18"/>
                        <w:szCs w:val="18"/>
                      </w:rPr>
                      <w:t>CONSTRUCTION</w:t>
                    </w:r>
                  </w:p>
                </w:txbxContent>
              </v:textbox>
            </v:rect>
            <v:rect id="_x0000_s63181" style="position:absolute;left:140;top:6555;width:1794;height:1095" stroked="f"/>
            <v:rect id="_x0000_s63182" style="position:absolute;left:252;top:6569;width:791;height:207;mso-wrap-style:none" filled="f" stroked="f">
              <v:textbox style="mso-next-textbox:#_x0000_s63182;mso-fit-shape-to-text:t" inset="0,0,0,0">
                <w:txbxContent>
                  <w:p w:rsidR="00CB6FAE" w:rsidRDefault="00CB6FAE">
                    <w:r>
                      <w:rPr>
                        <w:rFonts w:ascii="Arial" w:hAnsi="Arial" w:cs="Arial"/>
                        <w:color w:val="000000"/>
                        <w:sz w:val="18"/>
                        <w:szCs w:val="18"/>
                      </w:rPr>
                      <w:t>SERVICE</w:t>
                    </w:r>
                  </w:p>
                </w:txbxContent>
              </v:textbox>
            </v:rect>
            <v:rect id="_x0000_s63183" style="position:absolute;left:140;top:7622;width:1794;height:1095" stroked="f"/>
            <v:rect id="_x0000_s63184" style="position:absolute;left:252;top:7636;width:1531;height:207;mso-wrap-style:none" filled="f" stroked="f">
              <v:textbox style="mso-next-textbox:#_x0000_s63184;mso-fit-shape-to-text:t" inset="0,0,0,0">
                <w:txbxContent>
                  <w:p w:rsidR="00CB6FAE" w:rsidRDefault="00CB6FAE">
                    <w:r>
                      <w:rPr>
                        <w:rFonts w:ascii="Arial" w:hAnsi="Arial" w:cs="Arial"/>
                        <w:color w:val="000000"/>
                        <w:sz w:val="18"/>
                        <w:szCs w:val="18"/>
                      </w:rPr>
                      <w:t>CONGLOMERATE</w:t>
                    </w:r>
                  </w:p>
                </w:txbxContent>
              </v:textbox>
            </v:rect>
            <v:rect id="_x0000_s63185" style="position:absolute;left:140;top:8689;width:1794;height:1095" stroked="f"/>
            <v:rect id="_x0000_s63186" style="position:absolute;left:252;top:8703;width:1121;height:207;mso-wrap-style:none" filled="f" stroked="f">
              <v:textbox style="mso-next-textbox:#_x0000_s63186;mso-fit-shape-to-text:t" inset="0,0,0,0">
                <w:txbxContent>
                  <w:p w:rsidR="00CB6FAE" w:rsidRDefault="00CB6FAE">
                    <w:r>
                      <w:rPr>
                        <w:rFonts w:ascii="Arial" w:hAnsi="Arial" w:cs="Arial"/>
                        <w:color w:val="000000"/>
                        <w:sz w:val="18"/>
                        <w:szCs w:val="18"/>
                      </w:rPr>
                      <w:t>PETROLEUM</w:t>
                    </w:r>
                  </w:p>
                </w:txbxContent>
              </v:textbox>
            </v:rect>
            <v:rect id="_x0000_s63187" style="position:absolute;left:252;top:8928;width:1071;height:207;mso-wrap-style:none" filled="f" stroked="f">
              <v:textbox style="mso-next-textbox:#_x0000_s63187;mso-fit-shape-to-text:t" inset="0,0,0,0">
                <w:txbxContent>
                  <w:p w:rsidR="00CB6FAE" w:rsidRDefault="00CB6FAE">
                    <w:r>
                      <w:rPr>
                        <w:rFonts w:ascii="Arial" w:hAnsi="Arial" w:cs="Arial"/>
                        <w:color w:val="000000"/>
                        <w:sz w:val="18"/>
                        <w:szCs w:val="18"/>
                      </w:rPr>
                      <w:t>MARKETING</w:t>
                    </w:r>
                  </w:p>
                </w:txbxContent>
              </v:textbox>
            </v:rect>
            <v:rect id="_x0000_s63188" style="position:absolute;left:140;top:9756;width:1794;height:1095" stroked="f"/>
            <v:rect id="_x0000_s63189" style="position:absolute;left:252;top:9770;width:1491;height:207;mso-wrap-style:none" filled="f" stroked="f">
              <v:textbox style="mso-next-textbox:#_x0000_s63189;mso-fit-shape-to-text:t" inset="0,0,0,0">
                <w:txbxContent>
                  <w:p w:rsidR="00CB6FAE" w:rsidRDefault="00CB6FAE">
                    <w:r>
                      <w:rPr>
                        <w:rFonts w:ascii="Arial" w:hAnsi="Arial" w:cs="Arial"/>
                        <w:color w:val="000000"/>
                        <w:sz w:val="18"/>
                        <w:szCs w:val="18"/>
                      </w:rPr>
                      <w:t>INSURANCE AND</w:t>
                    </w:r>
                  </w:p>
                </w:txbxContent>
              </v:textbox>
            </v:rect>
            <v:rect id="_x0000_s63190" style="position:absolute;left:252;top:9995;width:1051;height:207;mso-wrap-style:none" filled="f" stroked="f">
              <v:textbox style="mso-next-textbox:#_x0000_s63190;mso-fit-shape-to-text:t" inset="0,0,0,0">
                <w:txbxContent>
                  <w:p w:rsidR="00CB6FAE" w:rsidRDefault="00CB6FAE">
                    <w:r>
                      <w:rPr>
                        <w:rFonts w:ascii="Arial" w:hAnsi="Arial" w:cs="Arial"/>
                        <w:color w:val="000000"/>
                        <w:sz w:val="18"/>
                        <w:szCs w:val="18"/>
                      </w:rPr>
                      <w:t>MORTGAGE</w:t>
                    </w:r>
                  </w:p>
                </w:txbxContent>
              </v:textbox>
            </v:rect>
            <v:rect id="_x0000_s63191" style="position:absolute;left:140;top:10823;width:1794;height:1095" stroked="f"/>
            <v:rect id="_x0000_s63192" style="position:absolute;left:252;top:10837;width:401;height:207;mso-wrap-style:none" filled="f" stroked="f">
              <v:textbox style="mso-next-textbox:#_x0000_s63192;mso-fit-shape-to-text:t" inset="0,0,0,0">
                <w:txbxContent>
                  <w:p w:rsidR="00CB6FAE" w:rsidRDefault="00CB6FAE">
                    <w:r>
                      <w:rPr>
                        <w:rFonts w:ascii="Arial" w:hAnsi="Arial" w:cs="Arial"/>
                        <w:color w:val="000000"/>
                        <w:sz w:val="18"/>
                        <w:szCs w:val="18"/>
                      </w:rPr>
                      <w:t>Total</w:t>
                    </w:r>
                  </w:p>
                </w:txbxContent>
              </v:textbox>
            </v:rect>
            <v:rect id="_x0000_s63193" style="position:absolute;left:3265;top:520;width:1471;height:744" stroked="f"/>
            <v:rect id="_x0000_s63194" style="position:absolute;left:3727;top:997;width:451;height:207;mso-wrap-style:none" filled="f" stroked="f">
              <v:textbox style="mso-next-textbox:#_x0000_s63194;mso-fit-shape-to-text:t" inset="0,0,0,0">
                <w:txbxContent>
                  <w:p w:rsidR="00CB6FAE" w:rsidRDefault="00CB6FAE">
                    <w:r>
                      <w:rPr>
                        <w:rFonts w:ascii="Arial" w:hAnsi="Arial" w:cs="Arial"/>
                        <w:color w:val="000000"/>
                        <w:sz w:val="18"/>
                        <w:szCs w:val="18"/>
                      </w:rPr>
                      <w:t xml:space="preserve">Asset </w:t>
                    </w:r>
                  </w:p>
                </w:txbxContent>
              </v:textbox>
            </v:rect>
            <v:rect id="_x0000_s63195" style="position:absolute;left:4708;top:505;width:1345;height:744" stroked="f"/>
            <v:rect id="_x0000_s63196" style="position:absolute;left:5009;top:997;width:721;height:207;mso-wrap-style:none" filled="f" stroked="f">
              <v:textbox style="mso-next-textbox:#_x0000_s63196;mso-fit-shape-to-text:t" inset="0,0,0,0">
                <w:txbxContent>
                  <w:p w:rsidR="00CB6FAE" w:rsidRDefault="00CB6FAE">
                    <w:r>
                      <w:rPr>
                        <w:rFonts w:ascii="Arial" w:hAnsi="Arial" w:cs="Arial"/>
                        <w:color w:val="000000"/>
                        <w:sz w:val="18"/>
                        <w:szCs w:val="18"/>
                      </w:rPr>
                      <w:t>Turnover</w:t>
                    </w:r>
                  </w:p>
                </w:txbxContent>
              </v:textbox>
            </v:rect>
            <v:rect id="_x0000_s63197" style="position:absolute;left:6025;top:505;width:1359;height:744" stroked="f"/>
            <v:rect id="_x0000_s63198" style="position:absolute;left:6207;top:773;width:1016;height:207;mso-wrap-style:none" filled="f" stroked="f">
              <v:textbox style="mso-next-textbox:#_x0000_s63198;mso-fit-shape-to-text:t" inset="0,0,0,0">
                <w:txbxContent>
                  <w:p w:rsidR="00CB6FAE" w:rsidRDefault="00CB6FAE">
                    <w:r>
                      <w:rPr>
                        <w:rFonts w:ascii="Arial" w:hAnsi="Arial" w:cs="Arial"/>
                        <w:color w:val="000000"/>
                        <w:sz w:val="18"/>
                        <w:szCs w:val="18"/>
                      </w:rPr>
                      <w:t>Shareholder'</w:t>
                    </w:r>
                  </w:p>
                </w:txbxContent>
              </v:textbox>
            </v:rect>
            <v:rect id="_x0000_s63199" style="position:absolute;left:6417;top:997;width:491;height:207;mso-wrap-style:none" filled="f" stroked="f">
              <v:textbox style="mso-next-textbox:#_x0000_s63199;mso-fit-shape-to-text:t" inset="0,0,0,0">
                <w:txbxContent>
                  <w:p w:rsidR="00CB6FAE" w:rsidRDefault="00CB6FAE">
                    <w:r>
                      <w:rPr>
                        <w:rFonts w:ascii="Arial" w:hAnsi="Arial" w:cs="Arial"/>
                        <w:color w:val="000000"/>
                        <w:sz w:val="18"/>
                        <w:szCs w:val="18"/>
                      </w:rPr>
                      <w:t>s fund</w:t>
                    </w:r>
                  </w:p>
                </w:txbxContent>
              </v:textbox>
            </v:rect>
            <v:rect id="_x0000_s63200" style="position:absolute;left:7356;top:505;width:1359;height:744" stroked="f"/>
            <v:rect id="_x0000_s63201" style="position:absolute;left:7615;top:773;width:841;height:207;mso-wrap-style:none" filled="f" stroked="f">
              <v:textbox style="mso-next-textbox:#_x0000_s63201;mso-fit-shape-to-text:t" inset="0,0,0,0">
                <w:txbxContent>
                  <w:p w:rsidR="00CB6FAE" w:rsidRDefault="00CB6FAE">
                    <w:r>
                      <w:rPr>
                        <w:rFonts w:ascii="Arial" w:hAnsi="Arial" w:cs="Arial"/>
                        <w:color w:val="000000"/>
                        <w:sz w:val="18"/>
                        <w:szCs w:val="18"/>
                      </w:rPr>
                      <w:t>Number of</w:t>
                    </w:r>
                  </w:p>
                </w:txbxContent>
              </v:textbox>
            </v:rect>
            <v:rect id="_x0000_s63202" style="position:absolute;left:7517;top:997;width:1041;height:207;mso-wrap-style:none" filled="f" stroked="f">
              <v:textbox style="mso-next-textbox:#_x0000_s63202;mso-fit-shape-to-text:t" inset="0,0,0,0">
                <w:txbxContent>
                  <w:p w:rsidR="00CB6FAE" w:rsidRDefault="00CB6FAE">
                    <w:r>
                      <w:rPr>
                        <w:rFonts w:ascii="Arial" w:hAnsi="Arial" w:cs="Arial"/>
                        <w:color w:val="000000"/>
                        <w:sz w:val="18"/>
                        <w:szCs w:val="18"/>
                      </w:rPr>
                      <w:t>shareholders</w:t>
                    </w:r>
                  </w:p>
                </w:txbxContent>
              </v:textbox>
            </v:rect>
            <v:rect id="_x0000_s63203" style="position:absolute;left:8687;top:520;width:1191;height:744" stroked="f"/>
            <v:rect id="_x0000_s63204" style="position:absolute;left:8862;top:773;width:841;height:207;mso-wrap-style:none" filled="f" stroked="f">
              <v:textbox style="mso-next-textbox:#_x0000_s63204;mso-fit-shape-to-text:t" inset="0,0,0,0">
                <w:txbxContent>
                  <w:p w:rsidR="00CB6FAE" w:rsidRDefault="00CB6FAE">
                    <w:r>
                      <w:rPr>
                        <w:rFonts w:ascii="Arial" w:hAnsi="Arial" w:cs="Arial"/>
                        <w:color w:val="000000"/>
                        <w:sz w:val="18"/>
                        <w:szCs w:val="18"/>
                      </w:rPr>
                      <w:t>Number of</w:t>
                    </w:r>
                  </w:p>
                </w:txbxContent>
              </v:textbox>
            </v:rect>
            <v:rect id="_x0000_s63205" style="position:absolute;left:8848;top:997;width:871;height:207;mso-wrap-style:none" filled="f" stroked="f">
              <v:textbox style="mso-next-textbox:#_x0000_s63205;mso-fit-shape-to-text:t" inset="0,0,0,0">
                <w:txbxContent>
                  <w:p w:rsidR="00CB6FAE" w:rsidRDefault="00CB6FAE">
                    <w:r>
                      <w:rPr>
                        <w:rFonts w:ascii="Arial" w:hAnsi="Arial" w:cs="Arial"/>
                        <w:color w:val="000000"/>
                        <w:sz w:val="18"/>
                        <w:szCs w:val="18"/>
                      </w:rPr>
                      <w:t>employees</w:t>
                    </w:r>
                  </w:p>
                </w:txbxContent>
              </v:textbox>
            </v:rect>
            <v:line id="_x0000_s63206" style="position:absolute" from="1906,2288" to="9850,2289" strokeweight="39e-5mm"/>
            <v:line id="_x0000_s63207" style="position:absolute" from="1906,3355" to="9850,3356" strokeweight="39e-5mm"/>
            <v:line id="_x0000_s63208" style="position:absolute" from="1906,4422" to="9850,4423" strokeweight="39e-5mm"/>
            <v:line id="_x0000_s63209" style="position:absolute" from="1906,5489" to="9850,5490" strokeweight="39e-5mm"/>
            <v:line id="_x0000_s63210" style="position:absolute" from="1906,6555" to="9850,6556" strokeweight="39e-5mm"/>
            <v:line id="_x0000_s63211" style="position:absolute" from="1906,7622" to="9850,7623" strokeweight="39e-5mm"/>
            <v:line id="_x0000_s63212" style="position:absolute" from="1906,8689" to="9850,8690" strokeweight="39e-5mm"/>
            <v:line id="_x0000_s63213" style="position:absolute" from="1906,9756" to="9850,9757" strokeweight="39e-5mm"/>
            <v:line id="_x0000_s63214" style="position:absolute" from="1906,10823" to="9850,10824" strokeweight="39e-5mm"/>
            <v:line id="_x0000_s63215" style="position:absolute" from="140,2288" to="9850,2289" strokeweight="39e-5mm"/>
            <v:line id="_x0000_s63216" style="position:absolute" from="140,3355" to="9850,3356" strokeweight="39e-5mm"/>
            <v:line id="_x0000_s63217" style="position:absolute" from="140,4422" to="9850,4423" strokeweight="39e-5mm"/>
            <v:line id="_x0000_s63218" style="position:absolute" from="140,5489" to="9850,5490" strokeweight="39e-5mm"/>
            <v:line id="_x0000_s63219" style="position:absolute" from="140,6555" to="9850,6556" strokeweight="39e-5mm"/>
            <v:line id="_x0000_s63220" style="position:absolute" from="140,7622" to="9850,7623" strokeweight="39e-5mm"/>
            <v:line id="_x0000_s63221" style="position:absolute" from="140,8689" to="9850,8690" strokeweight="39e-5mm"/>
            <v:line id="_x0000_s63222" style="position:absolute" from="140,9756" to="9850,9757" strokeweight="39e-5mm"/>
            <v:line id="_x0000_s63223" style="position:absolute" from="140,10823" to="9850,10824" strokeweight="39e-5mm"/>
            <v:line id="_x0000_s63224" style="position:absolute" from="4708,505" to="4709,11890" strokeweight="39e-5mm"/>
            <v:line id="_x0000_s63225" style="position:absolute" from="6025,505" to="6026,11890" strokeweight="39e-5mm"/>
            <v:line id="_x0000_s63226" style="position:absolute" from="7356,505" to="7357,11890" strokeweight="39e-5mm"/>
            <v:line id="_x0000_s63227" style="position:absolute" from="8715,477" to="8716,11862" strokeweight="39e-5mm"/>
            <v:rect id="_x0000_s63228" style="position:absolute;left:9584;top:491;width:14;height:11076" stroked="f"/>
            <v:rect id="_x0000_s63229" style="position:absolute;left:140;top:477;width:9458;height:42" stroked="f"/>
            <v:rect id="_x0000_s63230" style="position:absolute;width:9990;height:140" stroked="f"/>
            <v:rect id="_x0000_s63231" style="position:absolute;width:140;height:12030" stroked="f"/>
            <v:rect id="_x0000_s63232" style="position:absolute;left:9850;width:154;height:12030" stroked="f"/>
            <v:rect id="_x0000_s63233" style="position:absolute;top:11890;width:9990;height:154" stroked="f"/>
            <v:line id="_x0000_s63234" style="position:absolute" from="154,519" to="155,11876" strokeweight="78e-5mm"/>
            <v:line id="_x0000_s63235" style="position:absolute" from="9836,519" to="9837,11876" strokeweight="78e-5mm"/>
            <v:line id="_x0000_s63236" style="position:absolute" from="154,519" to="9836,520" strokeweight="78e-5mm"/>
            <v:line id="_x0000_s63237" style="position:absolute" from="154,11876" to="9836,11877" strokeweight="78e-5mm"/>
            <v:line id="_x0000_s63238" style="position:absolute" from="154,1235" to="9836,1236" strokeweight="78e-5mm"/>
            <v:line id="_x0000_s63239" style="position:absolute" from="3279,519" to="3280,11876" strokeweight="78e-5mm"/>
            <w10:wrap type="none"/>
            <w10:anchorlock/>
          </v:group>
        </w:pict>
      </w:r>
    </w:p>
    <w:p w:rsidR="00BF4515" w:rsidRPr="008573C5" w:rsidRDefault="00BF4515" w:rsidP="00BF4515">
      <w:pPr>
        <w:autoSpaceDE w:val="0"/>
        <w:autoSpaceDN w:val="0"/>
        <w:adjustRightInd w:val="0"/>
        <w:jc w:val="center"/>
        <w:rPr>
          <w:rFonts w:eastAsia="Calibri"/>
          <w:b/>
          <w:bCs/>
        </w:rPr>
      </w:pPr>
      <w:r w:rsidRPr="008573C5">
        <w:rPr>
          <w:rFonts w:eastAsia="Calibri"/>
          <w:b/>
          <w:bCs/>
        </w:rPr>
        <w:t>Source: Field Study (2009)</w:t>
      </w:r>
    </w:p>
    <w:p w:rsidR="00FF5EDF" w:rsidRPr="008573C5" w:rsidRDefault="00FF5EDF" w:rsidP="00BF4515">
      <w:pPr>
        <w:autoSpaceDE w:val="0"/>
        <w:autoSpaceDN w:val="0"/>
        <w:adjustRightInd w:val="0"/>
        <w:jc w:val="center"/>
        <w:rPr>
          <w:rFonts w:ascii="System" w:eastAsia="Calibri" w:hAnsi="System" w:cs="System"/>
          <w:b/>
          <w:bCs/>
          <w:sz w:val="20"/>
          <w:szCs w:val="20"/>
        </w:rPr>
      </w:pPr>
    </w:p>
    <w:p w:rsidR="00FF5EDF" w:rsidRPr="008573C5" w:rsidRDefault="00FB1D8E" w:rsidP="00521C15">
      <w:pPr>
        <w:tabs>
          <w:tab w:val="left" w:pos="3700"/>
        </w:tabs>
        <w:spacing w:before="100" w:beforeAutospacing="1" w:after="100" w:afterAutospacing="1" w:line="480" w:lineRule="auto"/>
        <w:rPr>
          <w:b/>
          <w:sz w:val="28"/>
          <w:szCs w:val="28"/>
        </w:rPr>
      </w:pPr>
      <w:r w:rsidRPr="008573C5">
        <w:rPr>
          <w:b/>
          <w:sz w:val="28"/>
          <w:szCs w:val="28"/>
        </w:rPr>
        <w:t>Table 4.07</w:t>
      </w:r>
      <w:r w:rsidR="00FF5EDF" w:rsidRPr="008573C5">
        <w:rPr>
          <w:b/>
          <w:sz w:val="28"/>
          <w:szCs w:val="28"/>
        </w:rPr>
        <w:t>: Descriptive Statistics of Continuous Variables by Sector</w:t>
      </w:r>
    </w:p>
    <w:p w:rsidR="00FF5EDF" w:rsidRPr="008573C5" w:rsidRDefault="006E22C9" w:rsidP="00FF5EDF">
      <w:pPr>
        <w:autoSpaceDE w:val="0"/>
        <w:autoSpaceDN w:val="0"/>
        <w:adjustRightInd w:val="0"/>
        <w:jc w:val="center"/>
        <w:rPr>
          <w:rFonts w:ascii="System" w:eastAsia="Calibri" w:hAnsi="System" w:cs="System"/>
          <w:b/>
          <w:bCs/>
          <w:sz w:val="20"/>
          <w:szCs w:val="20"/>
        </w:rPr>
      </w:pPr>
      <w:r>
        <w:rPr>
          <w:rFonts w:ascii="System" w:eastAsia="Calibri" w:hAnsi="System" w:cs="System"/>
          <w:b/>
          <w:bCs/>
          <w:sz w:val="20"/>
          <w:szCs w:val="20"/>
        </w:rPr>
      </w:r>
      <w:r>
        <w:rPr>
          <w:rFonts w:ascii="System" w:eastAsia="Calibri" w:hAnsi="System" w:cs="System"/>
          <w:b/>
          <w:bCs/>
          <w:sz w:val="20"/>
          <w:szCs w:val="20"/>
        </w:rPr>
        <w:pict>
          <v:group id="_x0000_s63242" editas="canvas" style="width:392.2pt;height:264pt;mso-position-horizontal-relative:char;mso-position-vertical-relative:line" coordsize="7844,5280">
            <o:lock v:ext="edit" aspectratio="t"/>
            <v:shape id="_x0000_s63241" type="#_x0000_t75" style="position:absolute;width:7844;height:5280" o:preferrelative="f">
              <v:fill o:detectmouseclick="t"/>
              <v:path o:extrusionok="t" o:connecttype="none"/>
              <o:lock v:ext="edit" text="t"/>
            </v:shape>
            <v:rect id="_x0000_s63243" style="position:absolute;left:130;top:129;width:7585;height:403" stroked="f"/>
            <v:rect id="_x0000_s63244" style="position:absolute;left:3584;top:158;width:109;height:276;mso-wrap-style:none" filled="f" stroked="f">
              <v:textbox style="mso-next-textbox:#_x0000_s63244;mso-fit-shape-to-text:t" inset="0,0,0,0">
                <w:txbxContent>
                  <w:p w:rsidR="00CB6FAE" w:rsidRDefault="00CB6FAE"/>
                </w:txbxContent>
              </v:textbox>
            </v:rect>
            <v:rect id="_x0000_s63245" style="position:absolute;left:3181;top:1021;width:1180;height:303" stroked="f"/>
            <v:rect id="_x0000_s63246" style="position:absolute;left:3555;top:1050;width:651;height:207;mso-wrap-style:none" filled="f" stroked="f">
              <v:textbox style="mso-next-textbox:#_x0000_s63246;mso-fit-shape-to-text:t" inset="0,0,0,0">
                <w:txbxContent>
                  <w:p w:rsidR="00CB6FAE" w:rsidRDefault="00CB6FAE">
                    <w:r>
                      <w:rPr>
                        <w:rFonts w:ascii="Arial" w:hAnsi="Arial" w:cs="Arial"/>
                        <w:color w:val="000000"/>
                        <w:sz w:val="18"/>
                        <w:szCs w:val="18"/>
                      </w:rPr>
                      <w:t>.161341</w:t>
                    </w:r>
                  </w:p>
                </w:txbxContent>
              </v:textbox>
            </v:rect>
            <v:rect id="_x0000_s63247" style="position:absolute;left:4332;top:1021;width:1109;height:303" stroked="f"/>
            <v:rect id="_x0000_s63248" style="position:absolute;left:4721;top:1050;width:551;height:207;mso-wrap-style:none" filled="f" stroked="f">
              <v:textbox style="mso-next-textbox:#_x0000_s63248;mso-fit-shape-to-text:t" inset="0,0,0,0">
                <w:txbxContent>
                  <w:p w:rsidR="00CB6FAE" w:rsidRDefault="00CB6FAE">
                    <w:r>
                      <w:rPr>
                        <w:rFonts w:ascii="Arial" w:hAnsi="Arial" w:cs="Arial"/>
                        <w:color w:val="000000"/>
                        <w:sz w:val="18"/>
                        <w:szCs w:val="18"/>
                      </w:rPr>
                      <w:t>4.8207</w:t>
                    </w:r>
                  </w:p>
                </w:txbxContent>
              </v:textbox>
            </v:rect>
            <v:rect id="_x0000_s63249" style="position:absolute;left:5412;top:1021;width:1223;height:303" stroked="f"/>
            <v:rect id="_x0000_s63250" style="position:absolute;left:6002;top:1050;width:451;height:207;mso-wrap-style:none" filled="f" stroked="f">
              <v:textbox style="mso-next-textbox:#_x0000_s63250;mso-fit-shape-to-text:t" inset="0,0,0,0">
                <w:txbxContent>
                  <w:p w:rsidR="00CB6FAE" w:rsidRDefault="00CB6FAE">
                    <w:r>
                      <w:rPr>
                        <w:rFonts w:ascii="Arial" w:hAnsi="Arial" w:cs="Arial"/>
                        <w:color w:val="000000"/>
                        <w:sz w:val="18"/>
                        <w:szCs w:val="18"/>
                      </w:rPr>
                      <w:t>11.28</w:t>
                    </w:r>
                  </w:p>
                </w:txbxContent>
              </v:textbox>
            </v:rect>
            <v:rect id="_x0000_s63251" style="position:absolute;left:6607;top:1021;width:1108;height:303" stroked="f"/>
            <v:rect id="_x0000_s63252" style="position:absolute;left:6765;top:1050;width:831;height:207;mso-wrap-style:none" filled="f" stroked="f">
              <v:textbox style="mso-next-textbox:#_x0000_s63252;mso-fit-shape-to-text:t" inset="0,0,0,0">
                <w:txbxContent>
                  <w:p w:rsidR="00CB6FAE" w:rsidRDefault="00CB6FAE">
                    <w:r>
                      <w:rPr>
                        <w:rFonts w:ascii="Arial" w:hAnsi="Arial" w:cs="Arial"/>
                        <w:color w:val="000000"/>
                        <w:sz w:val="18"/>
                        <w:szCs w:val="18"/>
                      </w:rPr>
                      <w:t>9.759E-02</w:t>
                    </w:r>
                  </w:p>
                </w:txbxContent>
              </v:textbox>
            </v:rect>
            <v:rect id="_x0000_s63253" style="position:absolute;left:3181;top:1295;width:1180;height:302" stroked="f"/>
            <v:rect id="_x0000_s63254" style="position:absolute;left:3943;top:1324;width:201;height:207;mso-wrap-style:none" filled="f" stroked="f">
              <v:textbox style="mso-next-textbox:#_x0000_s63254;mso-fit-shape-to-text:t" inset="0,0,0,0">
                <w:txbxContent>
                  <w:p w:rsidR="00CB6FAE" w:rsidRDefault="00CB6FAE">
                    <w:r>
                      <w:rPr>
                        <w:rFonts w:ascii="Arial" w:hAnsi="Arial" w:cs="Arial"/>
                        <w:color w:val="000000"/>
                        <w:sz w:val="18"/>
                        <w:szCs w:val="18"/>
                      </w:rPr>
                      <w:t>29</w:t>
                    </w:r>
                  </w:p>
                </w:txbxContent>
              </v:textbox>
            </v:rect>
            <v:rect id="_x0000_s63255" style="position:absolute;left:4332;top:1295;width:1109;height:302" stroked="f"/>
            <v:rect id="_x0000_s63256" style="position:absolute;left:5023;top:1324;width:201;height:207;mso-wrap-style:none" filled="f" stroked="f">
              <v:textbox style="mso-next-textbox:#_x0000_s63256;mso-fit-shape-to-text:t" inset="0,0,0,0">
                <w:txbxContent>
                  <w:p w:rsidR="00CB6FAE" w:rsidRDefault="00CB6FAE">
                    <w:r>
                      <w:rPr>
                        <w:rFonts w:ascii="Arial" w:hAnsi="Arial" w:cs="Arial"/>
                        <w:color w:val="000000"/>
                        <w:sz w:val="18"/>
                        <w:szCs w:val="18"/>
                      </w:rPr>
                      <w:t>29</w:t>
                    </w:r>
                  </w:p>
                </w:txbxContent>
              </v:textbox>
            </v:rect>
            <v:rect id="_x0000_s63257" style="position:absolute;left:5412;top:1295;width:1223;height:302" stroked="f"/>
            <v:rect id="_x0000_s63258" style="position:absolute;left:6218;top:1324;width:201;height:207;mso-wrap-style:none" filled="f" stroked="f">
              <v:textbox style="mso-next-textbox:#_x0000_s63258;mso-fit-shape-to-text:t" inset="0,0,0,0">
                <w:txbxContent>
                  <w:p w:rsidR="00CB6FAE" w:rsidRDefault="00CB6FAE">
                    <w:r>
                      <w:rPr>
                        <w:rFonts w:ascii="Arial" w:hAnsi="Arial" w:cs="Arial"/>
                        <w:color w:val="000000"/>
                        <w:sz w:val="18"/>
                        <w:szCs w:val="18"/>
                      </w:rPr>
                      <w:t>29</w:t>
                    </w:r>
                  </w:p>
                </w:txbxContent>
              </v:textbox>
            </v:rect>
            <v:rect id="_x0000_s63259" style="position:absolute;left:6607;top:1295;width:1108;height:302" stroked="f"/>
            <v:rect id="_x0000_s63260" style="position:absolute;left:7297;top:1324;width:201;height:207;mso-wrap-style:none" filled="f" stroked="f">
              <v:textbox style="mso-next-textbox:#_x0000_s63260;mso-fit-shape-to-text:t" inset="0,0,0,0">
                <w:txbxContent>
                  <w:p w:rsidR="00CB6FAE" w:rsidRDefault="00CB6FAE">
                    <w:r>
                      <w:rPr>
                        <w:rFonts w:ascii="Arial" w:hAnsi="Arial" w:cs="Arial"/>
                        <w:color w:val="000000"/>
                        <w:sz w:val="18"/>
                        <w:szCs w:val="18"/>
                      </w:rPr>
                      <w:t>29</w:t>
                    </w:r>
                  </w:p>
                </w:txbxContent>
              </v:textbox>
            </v:rect>
            <v:rect id="_x0000_s63261" style="position:absolute;left:3181;top:1568;width:1180;height:302" stroked="f"/>
            <v:rect id="_x0000_s63262" style="position:absolute;left:3411;top:1597;width:831;height:207;mso-wrap-style:none" filled="f" stroked="f">
              <v:textbox style="mso-next-textbox:#_x0000_s63262;mso-fit-shape-to-text:t" inset="0,0,0,0">
                <w:txbxContent>
                  <w:p w:rsidR="00CB6FAE" w:rsidRDefault="00CB6FAE">
                    <w:r>
                      <w:rPr>
                        <w:rFonts w:ascii="Arial" w:hAnsi="Arial" w:cs="Arial"/>
                        <w:color w:val="000000"/>
                        <w:sz w:val="18"/>
                        <w:szCs w:val="18"/>
                      </w:rPr>
                      <w:t>8.715E-02</w:t>
                    </w:r>
                  </w:p>
                </w:txbxContent>
              </v:textbox>
            </v:rect>
            <v:rect id="_x0000_s63263" style="position:absolute;left:4332;top:1568;width:1109;height:302" stroked="f"/>
            <v:rect id="_x0000_s63264" style="position:absolute;left:4721;top:1597;width:551;height:207;mso-wrap-style:none" filled="f" stroked="f">
              <v:textbox style="mso-next-textbox:#_x0000_s63264;mso-fit-shape-to-text:t" inset="0,0,0,0">
                <w:txbxContent>
                  <w:p w:rsidR="00CB6FAE" w:rsidRDefault="00CB6FAE">
                    <w:r>
                      <w:rPr>
                        <w:rFonts w:ascii="Arial" w:hAnsi="Arial" w:cs="Arial"/>
                        <w:color w:val="000000"/>
                        <w:sz w:val="18"/>
                        <w:szCs w:val="18"/>
                      </w:rPr>
                      <w:t>5.1489</w:t>
                    </w:r>
                  </w:p>
                </w:txbxContent>
              </v:textbox>
            </v:rect>
            <v:rect id="_x0000_s63265" style="position:absolute;left:5412;top:1568;width:1223;height:302" stroked="f"/>
            <v:rect id="_x0000_s63266" style="position:absolute;left:6002;top:1597;width:451;height:207;mso-wrap-style:none" filled="f" stroked="f">
              <v:textbox style="mso-next-textbox:#_x0000_s63266;mso-fit-shape-to-text:t" inset="0,0,0,0">
                <w:txbxContent>
                  <w:p w:rsidR="00CB6FAE" w:rsidRDefault="00CB6FAE">
                    <w:r>
                      <w:rPr>
                        <w:rFonts w:ascii="Arial" w:hAnsi="Arial" w:cs="Arial"/>
                        <w:color w:val="000000"/>
                        <w:sz w:val="18"/>
                        <w:szCs w:val="18"/>
                      </w:rPr>
                      <w:t>10.40</w:t>
                    </w:r>
                  </w:p>
                </w:txbxContent>
              </v:textbox>
            </v:rect>
            <v:rect id="_x0000_s63267" style="position:absolute;left:6607;top:1568;width:1108;height:302" stroked="f"/>
            <v:rect id="_x0000_s63268" style="position:absolute;left:7081;top:1597;width:451;height:207;mso-wrap-style:none" filled="f" stroked="f">
              <v:textbox style="mso-next-textbox:#_x0000_s63268;mso-fit-shape-to-text:t" inset="0,0,0,0">
                <w:txbxContent>
                  <w:p w:rsidR="00CB6FAE" w:rsidRDefault="00CB6FAE">
                    <w:r>
                      <w:rPr>
                        <w:rFonts w:ascii="Arial" w:hAnsi="Arial" w:cs="Arial"/>
                        <w:color w:val="000000"/>
                        <w:sz w:val="18"/>
                        <w:szCs w:val="18"/>
                      </w:rPr>
                      <w:t>.2410</w:t>
                    </w:r>
                  </w:p>
                </w:txbxContent>
              </v:textbox>
            </v:rect>
            <v:rect id="_x0000_s63269" style="position:absolute;left:3181;top:1842;width:1180;height:302" stroked="f"/>
            <v:rect id="_x0000_s63270" style="position:absolute;left:3727;top:1870;width:451;height:207;mso-wrap-style:none" filled="f" stroked="f">
              <v:textbox style="mso-next-textbox:#_x0000_s63270;mso-fit-shape-to-text:t" inset="0,0,0,0">
                <w:txbxContent>
                  <w:p w:rsidR="00CB6FAE" w:rsidRDefault="00CB6FAE">
                    <w:r>
                      <w:rPr>
                        <w:rFonts w:ascii="Arial" w:hAnsi="Arial" w:cs="Arial"/>
                        <w:color w:val="000000"/>
                        <w:sz w:val="18"/>
                        <w:szCs w:val="18"/>
                      </w:rPr>
                      <w:t>.0278</w:t>
                    </w:r>
                  </w:p>
                </w:txbxContent>
              </v:textbox>
            </v:rect>
            <v:rect id="_x0000_s63271" style="position:absolute;left:4332;top:1842;width:1109;height:302" stroked="f"/>
            <v:rect id="_x0000_s63272" style="position:absolute;left:4980;top:1870;width:251;height:207;mso-wrap-style:none" filled="f" stroked="f">
              <v:textbox style="mso-next-textbox:#_x0000_s63272;mso-fit-shape-to-text:t" inset="0,0,0,0">
                <w:txbxContent>
                  <w:p w:rsidR="00CB6FAE" w:rsidRDefault="00CB6FAE">
                    <w:r>
                      <w:rPr>
                        <w:rFonts w:ascii="Arial" w:hAnsi="Arial" w:cs="Arial"/>
                        <w:color w:val="000000"/>
                        <w:sz w:val="18"/>
                        <w:szCs w:val="18"/>
                      </w:rPr>
                      <w:t>.28</w:t>
                    </w:r>
                  </w:p>
                </w:txbxContent>
              </v:textbox>
            </v:rect>
            <v:rect id="_x0000_s63273" style="position:absolute;left:5412;top:1842;width:1223;height:302" stroked="f"/>
            <v:rect id="_x0000_s63274" style="position:absolute;left:6305;top:1870;width:101;height:207;mso-wrap-style:none" filled="f" stroked="f">
              <v:textbox style="mso-next-textbox:#_x0000_s63274;mso-fit-shape-to-text:t" inset="0,0,0,0">
                <w:txbxContent>
                  <w:p w:rsidR="00CB6FAE" w:rsidRDefault="00CB6FAE">
                    <w:r>
                      <w:rPr>
                        <w:rFonts w:ascii="Arial" w:hAnsi="Arial" w:cs="Arial"/>
                        <w:color w:val="000000"/>
                        <w:sz w:val="18"/>
                        <w:szCs w:val="18"/>
                      </w:rPr>
                      <w:t>1</w:t>
                    </w:r>
                  </w:p>
                </w:txbxContent>
              </v:textbox>
            </v:rect>
            <v:rect id="_x0000_s63275" style="position:absolute;left:6607;top:1842;width:1108;height:302" stroked="f"/>
            <v:rect id="_x0000_s63276" style="position:absolute;left:7254;top:1870;width:251;height:207;mso-wrap-style:none" filled="f" stroked="f">
              <v:textbox style="mso-next-textbox:#_x0000_s63276;mso-fit-shape-to-text:t" inset="0,0,0,0">
                <w:txbxContent>
                  <w:p w:rsidR="00CB6FAE" w:rsidRDefault="00CB6FAE">
                    <w:r>
                      <w:rPr>
                        <w:rFonts w:ascii="Arial" w:hAnsi="Arial" w:cs="Arial"/>
                        <w:color w:val="000000"/>
                        <w:sz w:val="18"/>
                        <w:szCs w:val="18"/>
                      </w:rPr>
                      <w:t>.00</w:t>
                    </w:r>
                  </w:p>
                </w:txbxContent>
              </v:textbox>
            </v:rect>
            <v:rect id="_x0000_s63277" style="position:absolute;left:3181;top:2115;width:1180;height:302" stroked="f"/>
            <v:rect id="_x0000_s63278" style="position:absolute;left:3727;top:2144;width:451;height:207;mso-wrap-style:none" filled="f" stroked="f">
              <v:textbox style="mso-next-textbox:#_x0000_s63278;mso-fit-shape-to-text:t" inset="0,0,0,0">
                <w:txbxContent>
                  <w:p w:rsidR="00CB6FAE" w:rsidRDefault="00CB6FAE">
                    <w:r>
                      <w:rPr>
                        <w:rFonts w:ascii="Arial" w:hAnsi="Arial" w:cs="Arial"/>
                        <w:color w:val="000000"/>
                        <w:sz w:val="18"/>
                        <w:szCs w:val="18"/>
                      </w:rPr>
                      <w:t>.3384</w:t>
                    </w:r>
                  </w:p>
                </w:txbxContent>
              </v:textbox>
            </v:rect>
            <v:rect id="_x0000_s63279" style="position:absolute;left:4332;top:2115;width:1109;height:302" stroked="f"/>
            <v:rect id="_x0000_s63280" style="position:absolute;left:4807;top:2144;width:451;height:207;mso-wrap-style:none" filled="f" stroked="f">
              <v:textbox style="mso-next-textbox:#_x0000_s63280;mso-fit-shape-to-text:t" inset="0,0,0,0">
                <w:txbxContent>
                  <w:p w:rsidR="00CB6FAE" w:rsidRDefault="00CB6FAE">
                    <w:r>
                      <w:rPr>
                        <w:rFonts w:ascii="Arial" w:hAnsi="Arial" w:cs="Arial"/>
                        <w:color w:val="000000"/>
                        <w:sz w:val="18"/>
                        <w:szCs w:val="18"/>
                      </w:rPr>
                      <w:t>23.79</w:t>
                    </w:r>
                  </w:p>
                </w:txbxContent>
              </v:textbox>
            </v:rect>
            <v:rect id="_x0000_s63281" style="position:absolute;left:5412;top:2115;width:1223;height:302" stroked="f"/>
            <v:rect id="_x0000_s63282" style="position:absolute;left:6218;top:2144;width:201;height:207;mso-wrap-style:none" filled="f" stroked="f">
              <v:textbox style="mso-next-textbox:#_x0000_s63282;mso-fit-shape-to-text:t" inset="0,0,0,0">
                <w:txbxContent>
                  <w:p w:rsidR="00CB6FAE" w:rsidRDefault="00CB6FAE">
                    <w:r>
                      <w:rPr>
                        <w:rFonts w:ascii="Arial" w:hAnsi="Arial" w:cs="Arial"/>
                        <w:color w:val="000000"/>
                        <w:sz w:val="18"/>
                        <w:szCs w:val="18"/>
                      </w:rPr>
                      <w:t>36</w:t>
                    </w:r>
                  </w:p>
                </w:txbxContent>
              </v:textbox>
            </v:rect>
            <v:rect id="_x0000_s63283" style="position:absolute;left:6607;top:2115;width:1108;height:302" stroked="f"/>
            <v:rect id="_x0000_s63284" style="position:absolute;left:7168;top:2144;width:351;height:207;mso-wrap-style:none" filled="f" stroked="f">
              <v:textbox style="mso-next-textbox:#_x0000_s63284;mso-fit-shape-to-text:t" inset="0,0,0,0">
                <w:txbxContent>
                  <w:p w:rsidR="00CB6FAE" w:rsidRDefault="00CB6FAE">
                    <w:r>
                      <w:rPr>
                        <w:rFonts w:ascii="Arial" w:hAnsi="Arial" w:cs="Arial"/>
                        <w:color w:val="000000"/>
                        <w:sz w:val="18"/>
                        <w:szCs w:val="18"/>
                      </w:rPr>
                      <w:t>1.00</w:t>
                    </w:r>
                  </w:p>
                </w:txbxContent>
              </v:textbox>
            </v:rect>
            <v:rect id="_x0000_s63285" style="position:absolute;left:3181;top:2388;width:1180;height:302" stroked="f"/>
            <v:rect id="_x0000_s63286" style="position:absolute;left:3555;top:2417;width:651;height:207;mso-wrap-style:none" filled="f" stroked="f">
              <v:textbox style="mso-next-textbox:#_x0000_s63286;mso-fit-shape-to-text:t" inset="0,0,0,0">
                <w:txbxContent>
                  <w:p w:rsidR="00CB6FAE" w:rsidRDefault="00CB6FAE">
                    <w:r>
                      <w:rPr>
                        <w:rFonts w:ascii="Arial" w:hAnsi="Arial" w:cs="Arial"/>
                        <w:color w:val="000000"/>
                        <w:sz w:val="18"/>
                        <w:szCs w:val="18"/>
                      </w:rPr>
                      <w:t>.229041</w:t>
                    </w:r>
                  </w:p>
                </w:txbxContent>
              </v:textbox>
            </v:rect>
            <v:rect id="_x0000_s63287" style="position:absolute;left:4332;top:2388;width:1109;height:302" stroked="f"/>
            <v:rect id="_x0000_s63288" style="position:absolute;left:4721;top:2417;width:551;height:207;mso-wrap-style:none" filled="f" stroked="f">
              <v:textbox style="mso-next-textbox:#_x0000_s63288;mso-fit-shape-to-text:t" inset="0,0,0,0">
                <w:txbxContent>
                  <w:p w:rsidR="00CB6FAE" w:rsidRDefault="00CB6FAE">
                    <w:r>
                      <w:rPr>
                        <w:rFonts w:ascii="Arial" w:hAnsi="Arial" w:cs="Arial"/>
                        <w:color w:val="000000"/>
                        <w:sz w:val="18"/>
                        <w:szCs w:val="18"/>
                      </w:rPr>
                      <w:t>2.0430</w:t>
                    </w:r>
                  </w:p>
                </w:txbxContent>
              </v:textbox>
            </v:rect>
            <v:rect id="_x0000_s63289" style="position:absolute;left:5412;top:2388;width:1223;height:302" stroked="f"/>
            <v:rect id="_x0000_s63290" style="position:absolute;left:6002;top:2417;width:451;height:207;mso-wrap-style:none" filled="f" stroked="f">
              <v:textbox style="mso-next-textbox:#_x0000_s63290;mso-fit-shape-to-text:t" inset="0,0,0,0">
                <w:txbxContent>
                  <w:p w:rsidR="00CB6FAE" w:rsidRDefault="00CB6FAE">
                    <w:r>
                      <w:rPr>
                        <w:rFonts w:ascii="Arial" w:hAnsi="Arial" w:cs="Arial"/>
                        <w:color w:val="000000"/>
                        <w:sz w:val="18"/>
                        <w:szCs w:val="18"/>
                      </w:rPr>
                      <w:t>23.13</w:t>
                    </w:r>
                  </w:p>
                </w:txbxContent>
              </v:textbox>
            </v:rect>
            <v:rect id="_x0000_s63291" style="position:absolute;left:6607;top:2388;width:1108;height:302" stroked="f"/>
            <v:rect id="_x0000_s63292" style="position:absolute;left:7081;top:2417;width:451;height:207;mso-wrap-style:none" filled="f" stroked="f">
              <v:textbox style="mso-next-textbox:#_x0000_s63292;mso-fit-shape-to-text:t" inset="0,0,0,0">
                <w:txbxContent>
                  <w:p w:rsidR="00CB6FAE" w:rsidRDefault="00CB6FAE">
                    <w:r>
                      <w:rPr>
                        <w:rFonts w:ascii="Arial" w:hAnsi="Arial" w:cs="Arial"/>
                        <w:color w:val="000000"/>
                        <w:sz w:val="18"/>
                        <w:szCs w:val="18"/>
                      </w:rPr>
                      <w:t>.3696</w:t>
                    </w:r>
                  </w:p>
                </w:txbxContent>
              </v:textbox>
            </v:rect>
            <v:rect id="_x0000_s63293" style="position:absolute;left:3181;top:2662;width:1180;height:302" stroked="f"/>
            <v:rect id="_x0000_s63294" style="position:absolute;left:3943;top:2690;width:201;height:207;mso-wrap-style:none" filled="f" stroked="f">
              <v:textbox style="mso-next-textbox:#_x0000_s63294;mso-fit-shape-to-text:t" inset="0,0,0,0">
                <w:txbxContent>
                  <w:p w:rsidR="00CB6FAE" w:rsidRDefault="00CB6FAE">
                    <w:r>
                      <w:rPr>
                        <w:rFonts w:ascii="Arial" w:hAnsi="Arial" w:cs="Arial"/>
                        <w:color w:val="000000"/>
                        <w:sz w:val="18"/>
                        <w:szCs w:val="18"/>
                      </w:rPr>
                      <w:t>61</w:t>
                    </w:r>
                  </w:p>
                </w:txbxContent>
              </v:textbox>
            </v:rect>
            <v:rect id="_x0000_s63295" style="position:absolute;left:4332;top:2662;width:1109;height:302" stroked="f"/>
            <v:rect id="_x0000_s63296" style="position:absolute;left:5023;top:2690;width:201;height:207;mso-wrap-style:none" filled="f" stroked="f">
              <v:textbox style="mso-next-textbox:#_x0000_s63296;mso-fit-shape-to-text:t" inset="0,0,0,0">
                <w:txbxContent>
                  <w:p w:rsidR="00CB6FAE" w:rsidRDefault="00CB6FAE">
                    <w:r>
                      <w:rPr>
                        <w:rFonts w:ascii="Arial" w:hAnsi="Arial" w:cs="Arial"/>
                        <w:color w:val="000000"/>
                        <w:sz w:val="18"/>
                        <w:szCs w:val="18"/>
                      </w:rPr>
                      <w:t>61</w:t>
                    </w:r>
                  </w:p>
                </w:txbxContent>
              </v:textbox>
            </v:rect>
            <v:rect id="_x0000_s63297" style="position:absolute;left:5412;top:2662;width:1223;height:302" stroked="f"/>
            <v:rect id="_x0000_s63298" style="position:absolute;left:6218;top:2690;width:201;height:207;mso-wrap-style:none" filled="f" stroked="f">
              <v:textbox style="mso-next-textbox:#_x0000_s63298;mso-fit-shape-to-text:t" inset="0,0,0,0">
                <w:txbxContent>
                  <w:p w:rsidR="00CB6FAE" w:rsidRDefault="00CB6FAE">
                    <w:r>
                      <w:rPr>
                        <w:rFonts w:ascii="Arial" w:hAnsi="Arial" w:cs="Arial"/>
                        <w:color w:val="000000"/>
                        <w:sz w:val="18"/>
                        <w:szCs w:val="18"/>
                      </w:rPr>
                      <w:t>60</w:t>
                    </w:r>
                  </w:p>
                </w:txbxContent>
              </v:textbox>
            </v:rect>
            <v:rect id="_x0000_s63299" style="position:absolute;left:6607;top:2662;width:1108;height:302" stroked="f"/>
            <v:rect id="_x0000_s63300" style="position:absolute;left:7297;top:2690;width:201;height:207;mso-wrap-style:none" filled="f" stroked="f">
              <v:textbox style="mso-next-textbox:#_x0000_s63300;mso-fit-shape-to-text:t" inset="0,0,0,0">
                <w:txbxContent>
                  <w:p w:rsidR="00CB6FAE" w:rsidRDefault="00CB6FAE">
                    <w:r>
                      <w:rPr>
                        <w:rFonts w:ascii="Arial" w:hAnsi="Arial" w:cs="Arial"/>
                        <w:color w:val="000000"/>
                        <w:sz w:val="18"/>
                        <w:szCs w:val="18"/>
                      </w:rPr>
                      <w:t>58</w:t>
                    </w:r>
                  </w:p>
                </w:txbxContent>
              </v:textbox>
            </v:rect>
            <v:rect id="_x0000_s63301" style="position:absolute;left:3181;top:2935;width:1180;height:302" stroked="f"/>
            <v:rect id="_x0000_s63302" style="position:absolute;left:3555;top:2964;width:651;height:207;mso-wrap-style:none" filled="f" stroked="f">
              <v:textbox style="mso-next-textbox:#_x0000_s63302;mso-fit-shape-to-text:t" inset="0,0,0,0">
                <w:txbxContent>
                  <w:p w:rsidR="00CB6FAE" w:rsidRDefault="00CB6FAE">
                    <w:r>
                      <w:rPr>
                        <w:rFonts w:ascii="Arial" w:hAnsi="Arial" w:cs="Arial"/>
                        <w:color w:val="000000"/>
                        <w:sz w:val="18"/>
                        <w:szCs w:val="18"/>
                      </w:rPr>
                      <w:t>.445859</w:t>
                    </w:r>
                  </w:p>
                </w:txbxContent>
              </v:textbox>
            </v:rect>
            <v:rect id="_x0000_s63303" style="position:absolute;left:4332;top:2935;width:1109;height:302" stroked="f"/>
            <v:rect id="_x0000_s63304" style="position:absolute;left:4721;top:2964;width:551;height:207;mso-wrap-style:none" filled="f" stroked="f">
              <v:textbox style="mso-next-textbox:#_x0000_s63304;mso-fit-shape-to-text:t" inset="0,0,0,0">
                <w:txbxContent>
                  <w:p w:rsidR="00CB6FAE" w:rsidRDefault="00CB6FAE">
                    <w:r>
                      <w:rPr>
                        <w:rFonts w:ascii="Arial" w:hAnsi="Arial" w:cs="Arial"/>
                        <w:color w:val="000000"/>
                        <w:sz w:val="18"/>
                        <w:szCs w:val="18"/>
                      </w:rPr>
                      <w:t>2.6264</w:t>
                    </w:r>
                  </w:p>
                </w:txbxContent>
              </v:textbox>
            </v:rect>
            <v:rect id="_x0000_s63305" style="position:absolute;left:5412;top:2935;width:1223;height:302" stroked="f"/>
            <v:rect id="_x0000_s63306" style="position:absolute;left:6002;top:2964;width:451;height:207;mso-wrap-style:none" filled="f" stroked="f">
              <v:textbox style="mso-next-textbox:#_x0000_s63306;mso-fit-shape-to-text:t" inset="0,0,0,0">
                <w:txbxContent>
                  <w:p w:rsidR="00CB6FAE" w:rsidRDefault="00CB6FAE">
                    <w:r>
                      <w:rPr>
                        <w:rFonts w:ascii="Arial" w:hAnsi="Arial" w:cs="Arial"/>
                        <w:color w:val="000000"/>
                        <w:sz w:val="18"/>
                        <w:szCs w:val="18"/>
                      </w:rPr>
                      <w:t>10.11</w:t>
                    </w:r>
                  </w:p>
                </w:txbxContent>
              </v:textbox>
            </v:rect>
            <v:rect id="_x0000_s63307" style="position:absolute;left:6607;top:2935;width:1108;height:302" stroked="f"/>
            <v:rect id="_x0000_s63308" style="position:absolute;left:7081;top:2964;width:451;height:207;mso-wrap-style:none" filled="f" stroked="f">
              <v:textbox style="mso-next-textbox:#_x0000_s63308;mso-fit-shape-to-text:t" inset="0,0,0,0">
                <w:txbxContent>
                  <w:p w:rsidR="00CB6FAE" w:rsidRDefault="00CB6FAE">
                    <w:r>
                      <w:rPr>
                        <w:rFonts w:ascii="Arial" w:hAnsi="Arial" w:cs="Arial"/>
                        <w:color w:val="000000"/>
                        <w:sz w:val="18"/>
                        <w:szCs w:val="18"/>
                      </w:rPr>
                      <w:t>.2680</w:t>
                    </w:r>
                  </w:p>
                </w:txbxContent>
              </v:textbox>
            </v:rect>
            <v:rect id="_x0000_s63309" style="position:absolute;left:3181;top:3208;width:1180;height:302" stroked="f"/>
            <v:rect id="_x0000_s63310" style="position:absolute;left:3583;top:3237;width:611;height:207;mso-wrap-style:none" filled="f" stroked="f">
              <v:textbox style="mso-next-textbox:#_x0000_s63310;mso-fit-shape-to-text:t" inset="0,0,0,0">
                <w:txbxContent>
                  <w:p w:rsidR="00CB6FAE" w:rsidRDefault="00CB6FAE">
                    <w:r>
                      <w:rPr>
                        <w:rFonts w:ascii="Arial" w:hAnsi="Arial" w:cs="Arial"/>
                        <w:color w:val="000000"/>
                        <w:sz w:val="18"/>
                        <w:szCs w:val="18"/>
                      </w:rPr>
                      <w:t>-2.1204</w:t>
                    </w:r>
                  </w:p>
                </w:txbxContent>
              </v:textbox>
            </v:rect>
            <v:rect id="_x0000_s63311" style="position:absolute;left:4332;top:3208;width:1109;height:302" stroked="f"/>
            <v:rect id="_x0000_s63312" style="position:absolute;left:4836;top:3237;width:411;height:207;mso-wrap-style:none" filled="f" stroked="f">
              <v:textbox style="mso-next-textbox:#_x0000_s63312;mso-fit-shape-to-text:t" inset="0,0,0,0">
                <w:txbxContent>
                  <w:p w:rsidR="00CB6FAE" w:rsidRDefault="00CB6FAE">
                    <w:r>
                      <w:rPr>
                        <w:rFonts w:ascii="Arial" w:hAnsi="Arial" w:cs="Arial"/>
                        <w:color w:val="000000"/>
                        <w:sz w:val="18"/>
                        <w:szCs w:val="18"/>
                      </w:rPr>
                      <w:t>-4.35</w:t>
                    </w:r>
                  </w:p>
                </w:txbxContent>
              </v:textbox>
            </v:rect>
            <v:rect id="_x0000_s63313" style="position:absolute;left:5412;top:3208;width:1223;height:302" stroked="f"/>
            <v:rect id="_x0000_s63314" style="position:absolute;left:6305;top:3237;width:101;height:207;mso-wrap-style:none" filled="f" stroked="f">
              <v:textbox style="mso-next-textbox:#_x0000_s63314;mso-fit-shape-to-text:t" inset="0,0,0,0">
                <w:txbxContent>
                  <w:p w:rsidR="00CB6FAE" w:rsidRDefault="00CB6FAE">
                    <w:r>
                      <w:rPr>
                        <w:rFonts w:ascii="Arial" w:hAnsi="Arial" w:cs="Arial"/>
                        <w:color w:val="000000"/>
                        <w:sz w:val="18"/>
                        <w:szCs w:val="18"/>
                      </w:rPr>
                      <w:t>1</w:t>
                    </w:r>
                  </w:p>
                </w:txbxContent>
              </v:textbox>
            </v:rect>
            <v:rect id="_x0000_s63315" style="position:absolute;left:6607;top:3208;width:1108;height:302" stroked="f"/>
            <v:rect id="_x0000_s63316" style="position:absolute;left:7254;top:3237;width:251;height:207;mso-wrap-style:none" filled="f" stroked="f">
              <v:textbox style="mso-next-textbox:#_x0000_s63316;mso-fit-shape-to-text:t" inset="0,0,0,0">
                <w:txbxContent>
                  <w:p w:rsidR="00CB6FAE" w:rsidRDefault="00CB6FAE">
                    <w:r>
                      <w:rPr>
                        <w:rFonts w:ascii="Arial" w:hAnsi="Arial" w:cs="Arial"/>
                        <w:color w:val="000000"/>
                        <w:sz w:val="18"/>
                        <w:szCs w:val="18"/>
                      </w:rPr>
                      <w:t>.00</w:t>
                    </w:r>
                  </w:p>
                </w:txbxContent>
              </v:textbox>
            </v:rect>
            <v:rect id="_x0000_s63317" style="position:absolute;left:3181;top:3482;width:1180;height:302" stroked="f"/>
            <v:rect id="_x0000_s63318" style="position:absolute;left:3641;top:3510;width:551;height:207;mso-wrap-style:none" filled="f" stroked="f">
              <v:textbox style="mso-next-textbox:#_x0000_s63318;mso-fit-shape-to-text:t" inset="0,0,0,0">
                <w:txbxContent>
                  <w:p w:rsidR="00CB6FAE" w:rsidRDefault="00CB6FAE">
                    <w:r>
                      <w:rPr>
                        <w:rFonts w:ascii="Arial" w:hAnsi="Arial" w:cs="Arial"/>
                        <w:color w:val="000000"/>
                        <w:sz w:val="18"/>
                        <w:szCs w:val="18"/>
                      </w:rPr>
                      <w:t>1.1027</w:t>
                    </w:r>
                  </w:p>
                </w:txbxContent>
              </v:textbox>
            </v:rect>
            <v:rect id="_x0000_s63319" style="position:absolute;left:4332;top:3482;width:1109;height:302" stroked="f"/>
            <v:rect id="_x0000_s63320" style="position:absolute;left:4807;top:3510;width:451;height:207;mso-wrap-style:none" filled="f" stroked="f">
              <v:textbox style="mso-next-textbox:#_x0000_s63320;mso-fit-shape-to-text:t" inset="0,0,0,0">
                <w:txbxContent>
                  <w:p w:rsidR="00CB6FAE" w:rsidRDefault="00CB6FAE">
                    <w:r>
                      <w:rPr>
                        <w:rFonts w:ascii="Arial" w:hAnsi="Arial" w:cs="Arial"/>
                        <w:color w:val="000000"/>
                        <w:sz w:val="18"/>
                        <w:szCs w:val="18"/>
                      </w:rPr>
                      <w:t>10.86</w:t>
                    </w:r>
                  </w:p>
                </w:txbxContent>
              </v:textbox>
            </v:rect>
            <v:rect id="_x0000_s63321" style="position:absolute;left:5412;top:3482;width:1223;height:302" stroked="f"/>
            <v:rect id="_x0000_s63322" style="position:absolute;left:6218;top:3510;width:201;height:207;mso-wrap-style:none" filled="f" stroked="f">
              <v:textbox style="mso-next-textbox:#_x0000_s63322;mso-fit-shape-to-text:t" inset="0,0,0,0">
                <w:txbxContent>
                  <w:p w:rsidR="00CB6FAE" w:rsidRDefault="00CB6FAE">
                    <w:r>
                      <w:rPr>
                        <w:rFonts w:ascii="Arial" w:hAnsi="Arial" w:cs="Arial"/>
                        <w:color w:val="000000"/>
                        <w:sz w:val="18"/>
                        <w:szCs w:val="18"/>
                      </w:rPr>
                      <w:t>45</w:t>
                    </w:r>
                  </w:p>
                </w:txbxContent>
              </v:textbox>
            </v:rect>
            <v:rect id="_x0000_s63323" style="position:absolute;left:6607;top:3482;width:1108;height:302" stroked="f"/>
            <v:rect id="_x0000_s63324" style="position:absolute;left:7254;top:3510;width:251;height:207;mso-wrap-style:none" filled="f" stroked="f">
              <v:textbox style="mso-next-textbox:#_x0000_s63324;mso-fit-shape-to-text:t" inset="0,0,0,0">
                <w:txbxContent>
                  <w:p w:rsidR="00CB6FAE" w:rsidRDefault="00CB6FAE">
                    <w:r>
                      <w:rPr>
                        <w:rFonts w:ascii="Arial" w:hAnsi="Arial" w:cs="Arial"/>
                        <w:color w:val="000000"/>
                        <w:sz w:val="18"/>
                        <w:szCs w:val="18"/>
                      </w:rPr>
                      <w:t>.81</w:t>
                    </w:r>
                  </w:p>
                </w:txbxContent>
              </v:textbox>
            </v:rect>
            <v:rect id="_x0000_s63325" style="position:absolute;left:3181;top:3755;width:1180;height:302" stroked="f"/>
            <v:rect id="_x0000_s63326" style="position:absolute;left:3555;top:3784;width:651;height:207;mso-wrap-style:none" filled="f" stroked="f">
              <v:textbox style="mso-next-textbox:#_x0000_s63326;mso-fit-shape-to-text:t" inset="0,0,0,0">
                <w:txbxContent>
                  <w:p w:rsidR="00CB6FAE" w:rsidRDefault="00CB6FAE">
                    <w:r>
                      <w:rPr>
                        <w:rFonts w:ascii="Arial" w:hAnsi="Arial" w:cs="Arial"/>
                        <w:color w:val="000000"/>
                        <w:sz w:val="18"/>
                        <w:szCs w:val="18"/>
                      </w:rPr>
                      <w:t>.207227</w:t>
                    </w:r>
                  </w:p>
                </w:txbxContent>
              </v:textbox>
            </v:rect>
            <v:rect id="_x0000_s63327" style="position:absolute;left:4332;top:3755;width:1109;height:302" stroked="f"/>
            <v:rect id="_x0000_s63328" style="position:absolute;left:4721;top:3784;width:551;height:207;mso-wrap-style:none" filled="f" stroked="f">
              <v:textbox style="mso-next-textbox:#_x0000_s63328;mso-fit-shape-to-text:t" inset="0,0,0,0">
                <w:txbxContent>
                  <w:p w:rsidR="00CB6FAE" w:rsidRDefault="00CB6FAE">
                    <w:r>
                      <w:rPr>
                        <w:rFonts w:ascii="Arial" w:hAnsi="Arial" w:cs="Arial"/>
                        <w:color w:val="000000"/>
                        <w:sz w:val="18"/>
                        <w:szCs w:val="18"/>
                      </w:rPr>
                      <w:t>2.9380</w:t>
                    </w:r>
                  </w:p>
                </w:txbxContent>
              </v:textbox>
            </v:rect>
            <v:rect id="_x0000_s63329" style="position:absolute;left:5412;top:3755;width:1223;height:302" stroked="f"/>
            <v:rect id="_x0000_s63330" style="position:absolute;left:6002;top:3784;width:451;height:207;mso-wrap-style:none" filled="f" stroked="f">
              <v:textbox style="mso-next-textbox:#_x0000_s63330;mso-fit-shape-to-text:t" inset="0,0,0,0">
                <w:txbxContent>
                  <w:p w:rsidR="00CB6FAE" w:rsidRDefault="00CB6FAE">
                    <w:r>
                      <w:rPr>
                        <w:rFonts w:ascii="Arial" w:hAnsi="Arial" w:cs="Arial"/>
                        <w:color w:val="000000"/>
                        <w:sz w:val="18"/>
                        <w:szCs w:val="18"/>
                      </w:rPr>
                      <w:t>19.27</w:t>
                    </w:r>
                  </w:p>
                </w:txbxContent>
              </v:textbox>
            </v:rect>
            <v:rect id="_x0000_s63331" style="position:absolute;left:6607;top:3755;width:1108;height:302" stroked="f"/>
            <v:rect id="_x0000_s63332" style="position:absolute;left:7081;top:3784;width:451;height:207;mso-wrap-style:none" filled="f" stroked="f">
              <v:textbox style="mso-next-textbox:#_x0000_s63332;mso-fit-shape-to-text:t" inset="0,0,0,0">
                <w:txbxContent>
                  <w:p w:rsidR="00CB6FAE" w:rsidRDefault="00CB6FAE">
                    <w:r>
                      <w:rPr>
                        <w:rFonts w:ascii="Arial" w:hAnsi="Arial" w:cs="Arial"/>
                        <w:color w:val="000000"/>
                        <w:sz w:val="18"/>
                        <w:szCs w:val="18"/>
                      </w:rPr>
                      <w:t>.2789</w:t>
                    </w:r>
                  </w:p>
                </w:txbxContent>
              </v:textbox>
            </v:rect>
            <v:rect id="_x0000_s63333" style="position:absolute;left:3181;top:4028;width:1180;height:302" stroked="f"/>
            <v:rect id="_x0000_s63334" style="position:absolute;left:3943;top:4057;width:201;height:207;mso-wrap-style:none" filled="f" stroked="f">
              <v:textbox style="mso-next-textbox:#_x0000_s63334;mso-fit-shape-to-text:t" inset="0,0,0,0">
                <w:txbxContent>
                  <w:p w:rsidR="00CB6FAE" w:rsidRDefault="00CB6FAE">
                    <w:r>
                      <w:rPr>
                        <w:rFonts w:ascii="Arial" w:hAnsi="Arial" w:cs="Arial"/>
                        <w:color w:val="000000"/>
                        <w:sz w:val="18"/>
                        <w:szCs w:val="18"/>
                      </w:rPr>
                      <w:t>90</w:t>
                    </w:r>
                  </w:p>
                </w:txbxContent>
              </v:textbox>
            </v:rect>
            <v:rect id="_x0000_s63335" style="position:absolute;left:4332;top:4028;width:1109;height:302" stroked="f"/>
            <v:rect id="_x0000_s63336" style="position:absolute;left:5023;top:4057;width:201;height:207;mso-wrap-style:none" filled="f" stroked="f">
              <v:textbox style="mso-next-textbox:#_x0000_s63336;mso-fit-shape-to-text:t" inset="0,0,0,0">
                <w:txbxContent>
                  <w:p w:rsidR="00CB6FAE" w:rsidRDefault="00CB6FAE">
                    <w:r>
                      <w:rPr>
                        <w:rFonts w:ascii="Arial" w:hAnsi="Arial" w:cs="Arial"/>
                        <w:color w:val="000000"/>
                        <w:sz w:val="18"/>
                        <w:szCs w:val="18"/>
                      </w:rPr>
                      <w:t>90</w:t>
                    </w:r>
                  </w:p>
                </w:txbxContent>
              </v:textbox>
            </v:rect>
            <v:rect id="_x0000_s63337" style="position:absolute;left:5412;top:4028;width:1223;height:302" stroked="f"/>
            <v:rect id="_x0000_s63338" style="position:absolute;left:6218;top:4057;width:201;height:207;mso-wrap-style:none" filled="f" stroked="f">
              <v:textbox style="mso-next-textbox:#_x0000_s63338;mso-fit-shape-to-text:t" inset="0,0,0,0">
                <w:txbxContent>
                  <w:p w:rsidR="00CB6FAE" w:rsidRDefault="00CB6FAE">
                    <w:r>
                      <w:rPr>
                        <w:rFonts w:ascii="Arial" w:hAnsi="Arial" w:cs="Arial"/>
                        <w:color w:val="000000"/>
                        <w:sz w:val="18"/>
                        <w:szCs w:val="18"/>
                      </w:rPr>
                      <w:t>89</w:t>
                    </w:r>
                  </w:p>
                </w:txbxContent>
              </v:textbox>
            </v:rect>
            <v:rect id="_x0000_s63339" style="position:absolute;left:6607;top:4028;width:1108;height:302" stroked="f"/>
            <v:rect id="_x0000_s63340" style="position:absolute;left:7297;top:4057;width:201;height:207;mso-wrap-style:none" filled="f" stroked="f">
              <v:textbox style="mso-next-textbox:#_x0000_s63340;mso-fit-shape-to-text:t" inset="0,0,0,0">
                <w:txbxContent>
                  <w:p w:rsidR="00CB6FAE" w:rsidRDefault="00CB6FAE">
                    <w:r>
                      <w:rPr>
                        <w:rFonts w:ascii="Arial" w:hAnsi="Arial" w:cs="Arial"/>
                        <w:color w:val="000000"/>
                        <w:sz w:val="18"/>
                        <w:szCs w:val="18"/>
                      </w:rPr>
                      <w:t>87</w:t>
                    </w:r>
                  </w:p>
                </w:txbxContent>
              </v:textbox>
            </v:rect>
            <v:rect id="_x0000_s63341" style="position:absolute;left:3181;top:4302;width:1180;height:302" stroked="f"/>
            <v:rect id="_x0000_s63342" style="position:absolute;left:3555;top:4330;width:651;height:207;mso-wrap-style:none" filled="f" stroked="f">
              <v:textbox style="mso-next-textbox:#_x0000_s63342;mso-fit-shape-to-text:t" inset="0,0,0,0">
                <w:txbxContent>
                  <w:p w:rsidR="00CB6FAE" w:rsidRDefault="00CB6FAE">
                    <w:r>
                      <w:rPr>
                        <w:rFonts w:ascii="Arial" w:hAnsi="Arial" w:cs="Arial"/>
                        <w:color w:val="000000"/>
                        <w:sz w:val="18"/>
                        <w:szCs w:val="18"/>
                      </w:rPr>
                      <w:t>.370699</w:t>
                    </w:r>
                  </w:p>
                </w:txbxContent>
              </v:textbox>
            </v:rect>
            <v:rect id="_x0000_s63343" style="position:absolute;left:4332;top:4302;width:1109;height:302" stroked="f"/>
            <v:rect id="_x0000_s63344" style="position:absolute;left:4721;top:4330;width:551;height:207;mso-wrap-style:none" filled="f" stroked="f">
              <v:textbox style="mso-next-textbox:#_x0000_s63344;mso-fit-shape-to-text:t" inset="0,0,0,0">
                <w:txbxContent>
                  <w:p w:rsidR="00CB6FAE" w:rsidRDefault="00CB6FAE">
                    <w:r>
                      <w:rPr>
                        <w:rFonts w:ascii="Arial" w:hAnsi="Arial" w:cs="Arial"/>
                        <w:color w:val="000000"/>
                        <w:sz w:val="18"/>
                        <w:szCs w:val="18"/>
                      </w:rPr>
                      <w:t>3.8334</w:t>
                    </w:r>
                  </w:p>
                </w:txbxContent>
              </v:textbox>
            </v:rect>
            <v:rect id="_x0000_s63345" style="position:absolute;left:5412;top:4302;width:1223;height:302" stroked="f"/>
            <v:rect id="_x0000_s63346" style="position:absolute;left:6002;top:4330;width:451;height:207;mso-wrap-style:none" filled="f" stroked="f">
              <v:textbox style="mso-next-textbox:#_x0000_s63346;mso-fit-shape-to-text:t" inset="0,0,0,0">
                <w:txbxContent>
                  <w:p w:rsidR="00CB6FAE" w:rsidRDefault="00CB6FAE">
                    <w:r>
                      <w:rPr>
                        <w:rFonts w:ascii="Arial" w:hAnsi="Arial" w:cs="Arial"/>
                        <w:color w:val="000000"/>
                        <w:sz w:val="18"/>
                        <w:szCs w:val="18"/>
                      </w:rPr>
                      <w:t>11.58</w:t>
                    </w:r>
                  </w:p>
                </w:txbxContent>
              </v:textbox>
            </v:rect>
            <v:rect id="_x0000_s63347" style="position:absolute;left:6607;top:4302;width:1108;height:302" stroked="f"/>
            <v:rect id="_x0000_s63348" style="position:absolute;left:7081;top:4330;width:451;height:207;mso-wrap-style:none" filled="f" stroked="f">
              <v:textbox style="mso-next-textbox:#_x0000_s63348;mso-fit-shape-to-text:t" inset="0,0,0,0">
                <w:txbxContent>
                  <w:p w:rsidR="00CB6FAE" w:rsidRDefault="00CB6FAE">
                    <w:r>
                      <w:rPr>
                        <w:rFonts w:ascii="Arial" w:hAnsi="Arial" w:cs="Arial"/>
                        <w:color w:val="000000"/>
                        <w:sz w:val="18"/>
                        <w:szCs w:val="18"/>
                      </w:rPr>
                      <w:t>.2884</w:t>
                    </w:r>
                  </w:p>
                </w:txbxContent>
              </v:textbox>
            </v:rect>
            <v:rect id="_x0000_s63349" style="position:absolute;left:3181;top:4575;width:1180;height:302" stroked="f"/>
            <v:rect id="_x0000_s63350" style="position:absolute;left:3583;top:4604;width:611;height:207;mso-wrap-style:none" filled="f" stroked="f">
              <v:textbox style="mso-next-textbox:#_x0000_s63350;mso-fit-shape-to-text:t" inset="0,0,0,0">
                <w:txbxContent>
                  <w:p w:rsidR="00CB6FAE" w:rsidRDefault="00CB6FAE">
                    <w:r>
                      <w:rPr>
                        <w:rFonts w:ascii="Arial" w:hAnsi="Arial" w:cs="Arial"/>
                        <w:color w:val="000000"/>
                        <w:sz w:val="18"/>
                        <w:szCs w:val="18"/>
                      </w:rPr>
                      <w:t>-2.1204</w:t>
                    </w:r>
                  </w:p>
                </w:txbxContent>
              </v:textbox>
            </v:rect>
            <v:rect id="_x0000_s63351" style="position:absolute;left:4332;top:4575;width:1109;height:302" stroked="f"/>
            <v:rect id="_x0000_s63352" style="position:absolute;left:4836;top:4604;width:411;height:207;mso-wrap-style:none" filled="f" stroked="f">
              <v:textbox style="mso-next-textbox:#_x0000_s63352;mso-fit-shape-to-text:t" inset="0,0,0,0">
                <w:txbxContent>
                  <w:p w:rsidR="00CB6FAE" w:rsidRDefault="00CB6FAE">
                    <w:r>
                      <w:rPr>
                        <w:rFonts w:ascii="Arial" w:hAnsi="Arial" w:cs="Arial"/>
                        <w:color w:val="000000"/>
                        <w:sz w:val="18"/>
                        <w:szCs w:val="18"/>
                      </w:rPr>
                      <w:t>-4.35</w:t>
                    </w:r>
                  </w:p>
                </w:txbxContent>
              </v:textbox>
            </v:rect>
            <v:rect id="_x0000_s63353" style="position:absolute;left:5412;top:4575;width:1223;height:302" stroked="f"/>
            <v:rect id="_x0000_s63354" style="position:absolute;left:6305;top:4604;width:101;height:207;mso-wrap-style:none" filled="f" stroked="f">
              <v:textbox style="mso-next-textbox:#_x0000_s63354;mso-fit-shape-to-text:t" inset="0,0,0,0">
                <w:txbxContent>
                  <w:p w:rsidR="00CB6FAE" w:rsidRDefault="00CB6FAE">
                    <w:r>
                      <w:rPr>
                        <w:rFonts w:ascii="Arial" w:hAnsi="Arial" w:cs="Arial"/>
                        <w:color w:val="000000"/>
                        <w:sz w:val="18"/>
                        <w:szCs w:val="18"/>
                      </w:rPr>
                      <w:t>1</w:t>
                    </w:r>
                  </w:p>
                </w:txbxContent>
              </v:textbox>
            </v:rect>
            <v:rect id="_x0000_s63355" style="position:absolute;left:6607;top:4575;width:1108;height:302" stroked="f"/>
            <v:rect id="_x0000_s63356" style="position:absolute;left:7254;top:4604;width:251;height:207;mso-wrap-style:none" filled="f" stroked="f">
              <v:textbox style="mso-next-textbox:#_x0000_s63356;mso-fit-shape-to-text:t" inset="0,0,0,0">
                <w:txbxContent>
                  <w:p w:rsidR="00CB6FAE" w:rsidRDefault="00CB6FAE">
                    <w:r>
                      <w:rPr>
                        <w:rFonts w:ascii="Arial" w:hAnsi="Arial" w:cs="Arial"/>
                        <w:color w:val="000000"/>
                        <w:sz w:val="18"/>
                        <w:szCs w:val="18"/>
                      </w:rPr>
                      <w:t>.00</w:t>
                    </w:r>
                  </w:p>
                </w:txbxContent>
              </v:textbox>
            </v:rect>
            <v:rect id="_x0000_s63357" style="position:absolute;left:3181;top:4848;width:1180;height:303" stroked="f"/>
            <v:rect id="_x0000_s63358" style="position:absolute;left:3641;top:4877;width:551;height:207;mso-wrap-style:none" filled="f" stroked="f">
              <v:textbox style="mso-next-textbox:#_x0000_s63358;mso-fit-shape-to-text:t" inset="0,0,0,0">
                <w:txbxContent>
                  <w:p w:rsidR="00CB6FAE" w:rsidRDefault="00CB6FAE">
                    <w:r>
                      <w:rPr>
                        <w:rFonts w:ascii="Arial" w:hAnsi="Arial" w:cs="Arial"/>
                        <w:color w:val="000000"/>
                        <w:sz w:val="18"/>
                        <w:szCs w:val="18"/>
                      </w:rPr>
                      <w:t>1.1027</w:t>
                    </w:r>
                  </w:p>
                </w:txbxContent>
              </v:textbox>
            </v:rect>
            <v:rect id="_x0000_s63359" style="position:absolute;left:4332;top:4848;width:1109;height:303" stroked="f"/>
            <v:rect id="_x0000_s63360" style="position:absolute;left:4807;top:4877;width:451;height:207;mso-wrap-style:none" filled="f" stroked="f">
              <v:textbox style="mso-next-textbox:#_x0000_s63360;mso-fit-shape-to-text:t" inset="0,0,0,0">
                <w:txbxContent>
                  <w:p w:rsidR="00CB6FAE" w:rsidRDefault="00CB6FAE">
                    <w:r>
                      <w:rPr>
                        <w:rFonts w:ascii="Arial" w:hAnsi="Arial" w:cs="Arial"/>
                        <w:color w:val="000000"/>
                        <w:sz w:val="18"/>
                        <w:szCs w:val="18"/>
                      </w:rPr>
                      <w:t>23.79</w:t>
                    </w:r>
                  </w:p>
                </w:txbxContent>
              </v:textbox>
            </v:rect>
            <v:rect id="_x0000_s63361" style="position:absolute;left:5412;top:4848;width:1223;height:303" stroked="f"/>
            <v:rect id="_x0000_s63362" style="position:absolute;left:6218;top:4877;width:201;height:207;mso-wrap-style:none" filled="f" stroked="f">
              <v:textbox style="mso-next-textbox:#_x0000_s63362;mso-fit-shape-to-text:t" inset="0,0,0,0">
                <w:txbxContent>
                  <w:p w:rsidR="00CB6FAE" w:rsidRDefault="00CB6FAE">
                    <w:r>
                      <w:rPr>
                        <w:rFonts w:ascii="Arial" w:hAnsi="Arial" w:cs="Arial"/>
                        <w:color w:val="000000"/>
                        <w:sz w:val="18"/>
                        <w:szCs w:val="18"/>
                      </w:rPr>
                      <w:t>45</w:t>
                    </w:r>
                  </w:p>
                </w:txbxContent>
              </v:textbox>
            </v:rect>
            <v:rect id="_x0000_s63363" style="position:absolute;left:6607;top:4848;width:1108;height:303" stroked="f"/>
            <v:rect id="_x0000_s63364" style="position:absolute;left:7168;top:4877;width:351;height:207;mso-wrap-style:none" filled="f" stroked="f">
              <v:textbox style="mso-next-textbox:#_x0000_s63364;mso-fit-shape-to-text:t" inset="0,0,0,0">
                <w:txbxContent>
                  <w:p w:rsidR="00CB6FAE" w:rsidRDefault="00CB6FAE">
                    <w:r>
                      <w:rPr>
                        <w:rFonts w:ascii="Arial" w:hAnsi="Arial" w:cs="Arial"/>
                        <w:color w:val="000000"/>
                        <w:sz w:val="18"/>
                        <w:szCs w:val="18"/>
                      </w:rPr>
                      <w:t>1.00</w:t>
                    </w:r>
                  </w:p>
                </w:txbxContent>
              </v:textbox>
            </v:rect>
            <v:rect id="_x0000_s63365" style="position:absolute;left:1785;top:518;width:1425;height:532" stroked="f"/>
            <v:rect id="_x0000_s63366" style="position:absolute;left:1785;top:1021;width:1425;height:303" stroked="f"/>
            <v:rect id="_x0000_s63367" style="position:absolute;left:1900;top:1036;width:451;height:207;mso-wrap-style:none" filled="f" stroked="f">
              <v:textbox style="mso-next-textbox:#_x0000_s63367;mso-fit-shape-to-text:t" inset="0,0,0,0">
                <w:txbxContent>
                  <w:p w:rsidR="00CB6FAE" w:rsidRDefault="00CB6FAE">
                    <w:r>
                      <w:rPr>
                        <w:rFonts w:ascii="Arial" w:hAnsi="Arial" w:cs="Arial"/>
                        <w:color w:val="000000"/>
                        <w:sz w:val="18"/>
                        <w:szCs w:val="18"/>
                      </w:rPr>
                      <w:t>Mean</w:t>
                    </w:r>
                  </w:p>
                </w:txbxContent>
              </v:textbox>
            </v:rect>
            <v:rect id="_x0000_s63368" style="position:absolute;left:1785;top:1295;width:1425;height:302" stroked="f"/>
            <v:rect id="_x0000_s63369" style="position:absolute;left:1900;top:1309;width:130;height:207;mso-wrap-style:none" filled="f" stroked="f">
              <v:textbox style="mso-next-textbox:#_x0000_s63369;mso-fit-shape-to-text:t" inset="0,0,0,0">
                <w:txbxContent>
                  <w:p w:rsidR="00CB6FAE" w:rsidRDefault="00CB6FAE">
                    <w:r>
                      <w:rPr>
                        <w:rFonts w:ascii="Arial" w:hAnsi="Arial" w:cs="Arial"/>
                        <w:color w:val="000000"/>
                        <w:sz w:val="18"/>
                        <w:szCs w:val="18"/>
                      </w:rPr>
                      <w:t>N</w:t>
                    </w:r>
                  </w:p>
                </w:txbxContent>
              </v:textbox>
            </v:rect>
            <v:rect id="_x0000_s63370" style="position:absolute;left:1785;top:1568;width:1425;height:302" stroked="f"/>
            <v:rect id="_x0000_s63371" style="position:absolute;left:1900;top:1583;width:1121;height:207;mso-wrap-style:none" filled="f" stroked="f">
              <v:textbox style="mso-next-textbox:#_x0000_s63371;mso-fit-shape-to-text:t" inset="0,0,0,0">
                <w:txbxContent>
                  <w:p w:rsidR="00CB6FAE" w:rsidRDefault="00CB6FAE">
                    <w:r>
                      <w:rPr>
                        <w:rFonts w:ascii="Arial" w:hAnsi="Arial" w:cs="Arial"/>
                        <w:color w:val="000000"/>
                        <w:sz w:val="18"/>
                        <w:szCs w:val="18"/>
                      </w:rPr>
                      <w:t>Std. Deviation</w:t>
                    </w:r>
                  </w:p>
                </w:txbxContent>
              </v:textbox>
            </v:rect>
            <v:rect id="_x0000_s63372" style="position:absolute;left:1785;top:1842;width:1425;height:302" stroked="f"/>
            <v:rect id="_x0000_s63373" style="position:absolute;left:1900;top:1856;width:731;height:207;mso-wrap-style:none" filled="f" stroked="f">
              <v:textbox style="mso-next-textbox:#_x0000_s63373;mso-fit-shape-to-text:t" inset="0,0,0,0">
                <w:txbxContent>
                  <w:p w:rsidR="00CB6FAE" w:rsidRDefault="00CB6FAE">
                    <w:r>
                      <w:rPr>
                        <w:rFonts w:ascii="Arial" w:hAnsi="Arial" w:cs="Arial"/>
                        <w:color w:val="000000"/>
                        <w:sz w:val="18"/>
                        <w:szCs w:val="18"/>
                      </w:rPr>
                      <w:t>Minimum</w:t>
                    </w:r>
                  </w:p>
                </w:txbxContent>
              </v:textbox>
            </v:rect>
            <v:rect id="_x0000_s63374" style="position:absolute;left:1785;top:2115;width:1425;height:302" stroked="f"/>
            <v:rect id="_x0000_s63375" style="position:absolute;left:1900;top:2129;width:781;height:207;mso-wrap-style:none" filled="f" stroked="f">
              <v:textbox style="mso-next-textbox:#_x0000_s63375;mso-fit-shape-to-text:t" inset="0,0,0,0">
                <w:txbxContent>
                  <w:p w:rsidR="00CB6FAE" w:rsidRDefault="00CB6FAE">
                    <w:r>
                      <w:rPr>
                        <w:rFonts w:ascii="Arial" w:hAnsi="Arial" w:cs="Arial"/>
                        <w:color w:val="000000"/>
                        <w:sz w:val="18"/>
                        <w:szCs w:val="18"/>
                      </w:rPr>
                      <w:t>Maximum</w:t>
                    </w:r>
                  </w:p>
                </w:txbxContent>
              </v:textbox>
            </v:rect>
            <v:rect id="_x0000_s63376" style="position:absolute;left:1785;top:2388;width:1425;height:302" stroked="f"/>
            <v:rect id="_x0000_s63377" style="position:absolute;left:1900;top:2403;width:451;height:207;mso-wrap-style:none" filled="f" stroked="f">
              <v:textbox style="mso-next-textbox:#_x0000_s63377;mso-fit-shape-to-text:t" inset="0,0,0,0">
                <w:txbxContent>
                  <w:p w:rsidR="00CB6FAE" w:rsidRDefault="00CB6FAE">
                    <w:r>
                      <w:rPr>
                        <w:rFonts w:ascii="Arial" w:hAnsi="Arial" w:cs="Arial"/>
                        <w:color w:val="000000"/>
                        <w:sz w:val="18"/>
                        <w:szCs w:val="18"/>
                      </w:rPr>
                      <w:t>Mean</w:t>
                    </w:r>
                  </w:p>
                </w:txbxContent>
              </v:textbox>
            </v:rect>
            <v:rect id="_x0000_s63378" style="position:absolute;left:1785;top:2662;width:1425;height:302" stroked="f"/>
            <v:rect id="_x0000_s63379" style="position:absolute;left:1900;top:2676;width:130;height:207;mso-wrap-style:none" filled="f" stroked="f">
              <v:textbox style="mso-next-textbox:#_x0000_s63379;mso-fit-shape-to-text:t" inset="0,0,0,0">
                <w:txbxContent>
                  <w:p w:rsidR="00CB6FAE" w:rsidRDefault="00CB6FAE">
                    <w:r>
                      <w:rPr>
                        <w:rFonts w:ascii="Arial" w:hAnsi="Arial" w:cs="Arial"/>
                        <w:color w:val="000000"/>
                        <w:sz w:val="18"/>
                        <w:szCs w:val="18"/>
                      </w:rPr>
                      <w:t>N</w:t>
                    </w:r>
                  </w:p>
                </w:txbxContent>
              </v:textbox>
            </v:rect>
            <v:rect id="_x0000_s63380" style="position:absolute;left:1785;top:2935;width:1425;height:302" stroked="f"/>
            <v:rect id="_x0000_s63381" style="position:absolute;left:1900;top:2949;width:1121;height:207;mso-wrap-style:none" filled="f" stroked="f">
              <v:textbox style="mso-next-textbox:#_x0000_s63381;mso-fit-shape-to-text:t" inset="0,0,0,0">
                <w:txbxContent>
                  <w:p w:rsidR="00CB6FAE" w:rsidRDefault="00CB6FAE">
                    <w:r>
                      <w:rPr>
                        <w:rFonts w:ascii="Arial" w:hAnsi="Arial" w:cs="Arial"/>
                        <w:color w:val="000000"/>
                        <w:sz w:val="18"/>
                        <w:szCs w:val="18"/>
                      </w:rPr>
                      <w:t>Std. Deviation</w:t>
                    </w:r>
                  </w:p>
                </w:txbxContent>
              </v:textbox>
            </v:rect>
            <v:rect id="_x0000_s63382" style="position:absolute;left:1785;top:3208;width:1425;height:302" stroked="f"/>
            <v:rect id="_x0000_s63383" style="position:absolute;left:1900;top:3223;width:731;height:207;mso-wrap-style:none" filled="f" stroked="f">
              <v:textbox style="mso-next-textbox:#_x0000_s63383;mso-fit-shape-to-text:t" inset="0,0,0,0">
                <w:txbxContent>
                  <w:p w:rsidR="00CB6FAE" w:rsidRDefault="00CB6FAE">
                    <w:r>
                      <w:rPr>
                        <w:rFonts w:ascii="Arial" w:hAnsi="Arial" w:cs="Arial"/>
                        <w:color w:val="000000"/>
                        <w:sz w:val="18"/>
                        <w:szCs w:val="18"/>
                      </w:rPr>
                      <w:t>Minimum</w:t>
                    </w:r>
                  </w:p>
                </w:txbxContent>
              </v:textbox>
            </v:rect>
            <v:rect id="_x0000_s63384" style="position:absolute;left:1785;top:3482;width:1425;height:302" stroked="f"/>
            <v:rect id="_x0000_s63385" style="position:absolute;left:1900;top:3496;width:781;height:207;mso-wrap-style:none" filled="f" stroked="f">
              <v:textbox style="mso-next-textbox:#_x0000_s63385;mso-fit-shape-to-text:t" inset="0,0,0,0">
                <w:txbxContent>
                  <w:p w:rsidR="00CB6FAE" w:rsidRDefault="00CB6FAE">
                    <w:r>
                      <w:rPr>
                        <w:rFonts w:ascii="Arial" w:hAnsi="Arial" w:cs="Arial"/>
                        <w:color w:val="000000"/>
                        <w:sz w:val="18"/>
                        <w:szCs w:val="18"/>
                      </w:rPr>
                      <w:t>Maximum</w:t>
                    </w:r>
                  </w:p>
                </w:txbxContent>
              </v:textbox>
            </v:rect>
            <v:rect id="_x0000_s63386" style="position:absolute;left:1785;top:3755;width:1425;height:302" stroked="f"/>
            <v:rect id="_x0000_s63387" style="position:absolute;left:1900;top:3769;width:451;height:207;mso-wrap-style:none" filled="f" stroked="f">
              <v:textbox style="mso-next-textbox:#_x0000_s63387;mso-fit-shape-to-text:t" inset="0,0,0,0">
                <w:txbxContent>
                  <w:p w:rsidR="00CB6FAE" w:rsidRDefault="00CB6FAE">
                    <w:r>
                      <w:rPr>
                        <w:rFonts w:ascii="Arial" w:hAnsi="Arial" w:cs="Arial"/>
                        <w:color w:val="000000"/>
                        <w:sz w:val="18"/>
                        <w:szCs w:val="18"/>
                      </w:rPr>
                      <w:t>Mean</w:t>
                    </w:r>
                  </w:p>
                </w:txbxContent>
              </v:textbox>
            </v:rect>
            <v:rect id="_x0000_s63388" style="position:absolute;left:1785;top:4028;width:1425;height:302" stroked="f"/>
            <v:rect id="_x0000_s63389" style="position:absolute;left:1900;top:4043;width:130;height:207;mso-wrap-style:none" filled="f" stroked="f">
              <v:textbox style="mso-next-textbox:#_x0000_s63389;mso-fit-shape-to-text:t" inset="0,0,0,0">
                <w:txbxContent>
                  <w:p w:rsidR="00CB6FAE" w:rsidRDefault="00CB6FAE">
                    <w:r>
                      <w:rPr>
                        <w:rFonts w:ascii="Arial" w:hAnsi="Arial" w:cs="Arial"/>
                        <w:color w:val="000000"/>
                        <w:sz w:val="18"/>
                        <w:szCs w:val="18"/>
                      </w:rPr>
                      <w:t>N</w:t>
                    </w:r>
                  </w:p>
                </w:txbxContent>
              </v:textbox>
            </v:rect>
            <v:rect id="_x0000_s63390" style="position:absolute;left:1785;top:4302;width:1425;height:302" stroked="f"/>
            <v:rect id="_x0000_s63391" style="position:absolute;left:1900;top:4316;width:1121;height:207;mso-wrap-style:none" filled="f" stroked="f">
              <v:textbox style="mso-next-textbox:#_x0000_s63391;mso-fit-shape-to-text:t" inset="0,0,0,0">
                <w:txbxContent>
                  <w:p w:rsidR="00CB6FAE" w:rsidRDefault="00CB6FAE">
                    <w:r>
                      <w:rPr>
                        <w:rFonts w:ascii="Arial" w:hAnsi="Arial" w:cs="Arial"/>
                        <w:color w:val="000000"/>
                        <w:sz w:val="18"/>
                        <w:szCs w:val="18"/>
                      </w:rPr>
                      <w:t>Std. Deviation</w:t>
                    </w:r>
                  </w:p>
                </w:txbxContent>
              </v:textbox>
            </v:rect>
            <v:rect id="_x0000_s63392" style="position:absolute;left:1785;top:4575;width:1425;height:302" stroked="f"/>
            <v:rect id="_x0000_s63393" style="position:absolute;left:1900;top:4589;width:731;height:207;mso-wrap-style:none" filled="f" stroked="f">
              <v:textbox style="mso-next-textbox:#_x0000_s63393;mso-fit-shape-to-text:t" inset="0,0,0,0">
                <w:txbxContent>
                  <w:p w:rsidR="00CB6FAE" w:rsidRDefault="00CB6FAE">
                    <w:r>
                      <w:rPr>
                        <w:rFonts w:ascii="Arial" w:hAnsi="Arial" w:cs="Arial"/>
                        <w:color w:val="000000"/>
                        <w:sz w:val="18"/>
                        <w:szCs w:val="18"/>
                      </w:rPr>
                      <w:t>Minimum</w:t>
                    </w:r>
                  </w:p>
                </w:txbxContent>
              </v:textbox>
            </v:rect>
            <v:rect id="_x0000_s63394" style="position:absolute;left:1785;top:4848;width:1425;height:303" stroked="f"/>
            <v:rect id="_x0000_s63395" style="position:absolute;left:1900;top:4863;width:781;height:207;mso-wrap-style:none" filled="f" stroked="f">
              <v:textbox style="mso-next-textbox:#_x0000_s63395;mso-fit-shape-to-text:t" inset="0,0,0,0">
                <w:txbxContent>
                  <w:p w:rsidR="00CB6FAE" w:rsidRDefault="00CB6FAE">
                    <w:r>
                      <w:rPr>
                        <w:rFonts w:ascii="Arial" w:hAnsi="Arial" w:cs="Arial"/>
                        <w:color w:val="000000"/>
                        <w:sz w:val="18"/>
                        <w:szCs w:val="18"/>
                      </w:rPr>
                      <w:t>Maximum</w:t>
                    </w:r>
                  </w:p>
                </w:txbxContent>
              </v:textbox>
            </v:rect>
            <v:rect id="_x0000_s63396" style="position:absolute;left:144;top:518;width:1670;height:532" stroked="f"/>
            <v:rect id="_x0000_s63397" style="position:absolute;left:259;top:791;width:521;height:207;mso-wrap-style:none" filled="f" stroked="f">
              <v:textbox style="mso-next-textbox:#_x0000_s63397;mso-fit-shape-to-text:t" inset="0,0,0,0">
                <w:txbxContent>
                  <w:p w:rsidR="00CB6FAE" w:rsidRDefault="00CB6FAE">
                    <w:r>
                      <w:rPr>
                        <w:rFonts w:ascii="Arial" w:hAnsi="Arial" w:cs="Arial"/>
                        <w:color w:val="000000"/>
                        <w:sz w:val="18"/>
                        <w:szCs w:val="18"/>
                      </w:rPr>
                      <w:t>Sector</w:t>
                    </w:r>
                  </w:p>
                </w:txbxContent>
              </v:textbox>
            </v:rect>
            <v:rect id="_x0000_s63398" style="position:absolute;left:144;top:1021;width:1670;height:1396" stroked="f"/>
            <v:rect id="_x0000_s63399" style="position:absolute;left:259;top:1036;width:941;height:207;mso-wrap-style:none" filled="f" stroked="f">
              <v:textbox style="mso-next-textbox:#_x0000_s63399;mso-fit-shape-to-text:t" inset="0,0,0,0">
                <w:txbxContent>
                  <w:p w:rsidR="00CB6FAE" w:rsidRDefault="00CB6FAE">
                    <w:r>
                      <w:rPr>
                        <w:rFonts w:ascii="Arial" w:hAnsi="Arial" w:cs="Arial"/>
                        <w:color w:val="000000"/>
                        <w:sz w:val="18"/>
                        <w:szCs w:val="18"/>
                      </w:rPr>
                      <w:t>FINANCIAL</w:t>
                    </w:r>
                  </w:p>
                </w:txbxContent>
              </v:textbox>
            </v:rect>
            <v:rect id="_x0000_s63400" style="position:absolute;left:144;top:2388;width:1670;height:1396" stroked="f"/>
            <v:rect id="_x0000_s63401" style="position:absolute;left:259;top:2403;width:1391;height:207;mso-wrap-style:none" filled="f" stroked="f">
              <v:textbox style="mso-next-textbox:#_x0000_s63401;mso-fit-shape-to-text:t" inset="0,0,0,0">
                <w:txbxContent>
                  <w:p w:rsidR="00CB6FAE" w:rsidRDefault="00CB6FAE">
                    <w:r>
                      <w:rPr>
                        <w:rFonts w:ascii="Arial" w:hAnsi="Arial" w:cs="Arial"/>
                        <w:color w:val="000000"/>
                        <w:sz w:val="18"/>
                        <w:szCs w:val="18"/>
                      </w:rPr>
                      <w:t>NON FINANCIAL</w:t>
                    </w:r>
                  </w:p>
                </w:txbxContent>
              </v:textbox>
            </v:rect>
            <v:rect id="_x0000_s63402" style="position:absolute;left:144;top:3755;width:1670;height:1396" stroked="f"/>
            <v:rect id="_x0000_s63403" style="position:absolute;left:259;top:3769;width:401;height:207;mso-wrap-style:none" filled="f" stroked="f">
              <v:textbox style="mso-next-textbox:#_x0000_s63403;mso-fit-shape-to-text:t" inset="0,0,0,0">
                <w:txbxContent>
                  <w:p w:rsidR="00CB6FAE" w:rsidRDefault="00CB6FAE">
                    <w:r>
                      <w:rPr>
                        <w:rFonts w:ascii="Arial" w:hAnsi="Arial" w:cs="Arial"/>
                        <w:color w:val="000000"/>
                        <w:sz w:val="18"/>
                        <w:szCs w:val="18"/>
                      </w:rPr>
                      <w:t>Total</w:t>
                    </w:r>
                  </w:p>
                </w:txbxContent>
              </v:textbox>
            </v:rect>
            <v:rect id="_x0000_s63404" style="position:absolute;left:3181;top:518;width:1180;height:532" stroked="f"/>
            <v:rect id="_x0000_s63405" style="position:absolute;left:3332;top:791;width:881;height:207;mso-wrap-style:none" filled="f" stroked="f">
              <v:textbox style="mso-next-textbox:#_x0000_s63405;mso-fit-shape-to-text:t" inset="0,0,0,0">
                <w:txbxContent>
                  <w:p w:rsidR="00CB6FAE" w:rsidRDefault="00CB6FAE">
                    <w:r>
                      <w:rPr>
                        <w:rFonts w:ascii="Arial" w:hAnsi="Arial" w:cs="Arial"/>
                        <w:color w:val="000000"/>
                        <w:sz w:val="18"/>
                        <w:szCs w:val="18"/>
                      </w:rPr>
                      <w:t>Profitability</w:t>
                    </w:r>
                  </w:p>
                </w:txbxContent>
              </v:textbox>
            </v:rect>
            <v:rect id="_x0000_s63406" style="position:absolute;left:4332;top:518;width:1109;height:532" stroked="f"/>
            <v:rect id="_x0000_s63407" style="position:absolute;left:4484;top:791;width:751;height:207;mso-wrap-style:none" filled="f" stroked="f">
              <v:textbox style="mso-next-textbox:#_x0000_s63407;mso-fit-shape-to-text:t" inset="0,0,0,0">
                <w:txbxContent>
                  <w:p w:rsidR="00CB6FAE" w:rsidRDefault="00CB6FAE">
                    <w:r>
                      <w:rPr>
                        <w:rFonts w:ascii="Arial" w:hAnsi="Arial" w:cs="Arial"/>
                        <w:color w:val="000000"/>
                        <w:sz w:val="18"/>
                        <w:szCs w:val="18"/>
                      </w:rPr>
                      <w:t>Leverage</w:t>
                    </w:r>
                  </w:p>
                </w:txbxContent>
              </v:textbox>
            </v:rect>
            <v:rect id="_x0000_s63408" style="position:absolute;left:5412;top:518;width:1223;height:532" stroked="f"/>
            <v:rect id="_x0000_s63409" style="position:absolute;left:5578;top:791;width:871;height:207;mso-wrap-style:none" filled="f" stroked="f">
              <v:textbox style="mso-next-textbox:#_x0000_s63409;mso-fit-shape-to-text:t" inset="0,0,0,0">
                <w:txbxContent>
                  <w:p w:rsidR="00CB6FAE" w:rsidRDefault="00CB6FAE">
                    <w:r>
                      <w:rPr>
                        <w:rFonts w:ascii="Arial" w:hAnsi="Arial" w:cs="Arial"/>
                        <w:color w:val="000000"/>
                        <w:sz w:val="18"/>
                        <w:szCs w:val="18"/>
                      </w:rPr>
                      <w:t>Listing age</w:t>
                    </w:r>
                  </w:p>
                </w:txbxContent>
              </v:textbox>
            </v:rect>
            <v:rect id="_x0000_s63410" style="position:absolute;left:6607;top:518;width:1108;height:532" stroked="f"/>
            <v:rect id="_x0000_s63411" style="position:absolute;left:6773;top:561;width:771;height:207;mso-wrap-style:none" filled="f" stroked="f">
              <v:textbox style="mso-next-textbox:#_x0000_s63411;mso-fit-shape-to-text:t" inset="0,0,0,0">
                <w:txbxContent>
                  <w:p w:rsidR="00CB6FAE" w:rsidRDefault="00CB6FAE">
                    <w:r>
                      <w:rPr>
                        <w:rFonts w:ascii="Arial" w:hAnsi="Arial" w:cs="Arial"/>
                        <w:color w:val="000000"/>
                        <w:sz w:val="18"/>
                        <w:szCs w:val="18"/>
                      </w:rPr>
                      <w:t>Multinatio</w:t>
                    </w:r>
                  </w:p>
                </w:txbxContent>
              </v:textbox>
            </v:rect>
            <v:rect id="_x0000_s63412" style="position:absolute;left:6909;top:791;width:421;height:207;mso-wrap-style:none" filled="f" stroked="f">
              <v:textbox style="mso-next-textbox:#_x0000_s63412;mso-fit-shape-to-text:t" inset="0,0,0,0">
                <w:txbxContent>
                  <w:p w:rsidR="00CB6FAE" w:rsidRDefault="00CB6FAE">
                    <w:r>
                      <w:rPr>
                        <w:rFonts w:ascii="Arial" w:hAnsi="Arial" w:cs="Arial"/>
                        <w:color w:val="000000"/>
                        <w:sz w:val="18"/>
                        <w:szCs w:val="18"/>
                      </w:rPr>
                      <w:t>nality</w:t>
                    </w:r>
                  </w:p>
                </w:txbxContent>
              </v:textbox>
            </v:rect>
            <v:line id="_x0000_s63413" style="position:absolute" from="1785,2388" to="7686,2389" strokeweight="39e-5mm"/>
            <v:line id="_x0000_s63414" style="position:absolute" from="1785,3755" to="7686,3756" strokeweight="39e-5mm"/>
            <v:line id="_x0000_s63415" style="position:absolute" from="144,2388" to="7686,2389" strokeweight="39e-5mm"/>
            <v:line id="_x0000_s63416" style="position:absolute" from="144,3755" to="7686,3756" strokeweight="39e-5mm"/>
            <v:line id="_x0000_s63417" style="position:absolute" from="4332,518" to="4333,5122" strokeweight="39e-5mm"/>
            <v:line id="_x0000_s63418" style="position:absolute" from="5412,518" to="5413,5122" strokeweight="39e-5mm"/>
            <v:line id="_x0000_s63419" style="position:absolute" from="6607,518" to="6608,5122" strokeweight="39e-5mm"/>
            <v:rect id="_x0000_s63420" style="position:absolute;left:7513;top:504;width:15;height:4575" stroked="f"/>
            <v:rect id="_x0000_s63421" style="position:absolute;left:144;top:489;width:7384;height:43" stroked="f"/>
            <v:rect id="_x0000_s63422" style="position:absolute;width:7830;height:144" stroked="f"/>
            <v:rect id="_x0000_s63423" style="position:absolute;width:144;height:5266" stroked="f"/>
            <v:rect id="_x0000_s63424" style="position:absolute;left:7686;width:158;height:5266" stroked="f"/>
            <v:rect id="_x0000_s63425" style="position:absolute;top:5122;width:7830;height:158" stroked="f"/>
            <v:line id="_x0000_s63426" style="position:absolute" from="158,532" to="159,5107" strokeweight="81e-5mm"/>
            <v:line id="_x0000_s63427" style="position:absolute" from="7672,532" to="7673,5107" strokeweight="81e-5mm"/>
            <v:line id="_x0000_s63428" style="position:absolute" from="158,532" to="7672,533" strokeweight="81e-5mm"/>
            <v:line id="_x0000_s63429" style="position:absolute" from="158,5107" to="7672,5108" strokeweight="81e-5mm"/>
            <v:line id="_x0000_s63430" style="position:absolute" from="158,1036" to="7672,1037" strokeweight="81e-5mm"/>
            <v:line id="_x0000_s63431" style="position:absolute" from="3195,532" to="3196,5107" strokeweight="81e-5mm"/>
            <w10:wrap type="none"/>
            <w10:anchorlock/>
          </v:group>
        </w:pict>
      </w:r>
    </w:p>
    <w:p w:rsidR="00BF4515" w:rsidRPr="008573C5" w:rsidRDefault="00BF4515" w:rsidP="00BF4515">
      <w:pPr>
        <w:autoSpaceDE w:val="0"/>
        <w:autoSpaceDN w:val="0"/>
        <w:adjustRightInd w:val="0"/>
        <w:jc w:val="center"/>
        <w:rPr>
          <w:rFonts w:eastAsia="Calibri"/>
          <w:b/>
          <w:bCs/>
        </w:rPr>
      </w:pPr>
      <w:r w:rsidRPr="008573C5">
        <w:rPr>
          <w:rFonts w:eastAsia="Calibri"/>
          <w:b/>
          <w:bCs/>
        </w:rPr>
        <w:t>Source: Field Study (2009)</w:t>
      </w:r>
    </w:p>
    <w:p w:rsidR="00FF5EDF" w:rsidRPr="008573C5" w:rsidRDefault="00FF5EDF" w:rsidP="00BF4515">
      <w:pPr>
        <w:autoSpaceDE w:val="0"/>
        <w:autoSpaceDN w:val="0"/>
        <w:adjustRightInd w:val="0"/>
        <w:jc w:val="center"/>
        <w:rPr>
          <w:rFonts w:ascii="System" w:eastAsia="Calibri" w:hAnsi="System" w:cs="System"/>
          <w:bCs/>
          <w:sz w:val="20"/>
          <w:szCs w:val="20"/>
        </w:rPr>
      </w:pPr>
    </w:p>
    <w:p w:rsidR="00DF1A07" w:rsidRPr="008573C5" w:rsidRDefault="00DF1A07" w:rsidP="00BF4515">
      <w:pPr>
        <w:autoSpaceDE w:val="0"/>
        <w:autoSpaceDN w:val="0"/>
        <w:adjustRightInd w:val="0"/>
        <w:jc w:val="center"/>
        <w:rPr>
          <w:rFonts w:ascii="System" w:eastAsia="Calibri" w:hAnsi="System" w:cs="System"/>
          <w:bCs/>
          <w:sz w:val="20"/>
          <w:szCs w:val="20"/>
        </w:rPr>
      </w:pPr>
    </w:p>
    <w:p w:rsidR="00DF1A07" w:rsidRPr="008573C5" w:rsidRDefault="00DF1A07" w:rsidP="00BF4515">
      <w:pPr>
        <w:autoSpaceDE w:val="0"/>
        <w:autoSpaceDN w:val="0"/>
        <w:adjustRightInd w:val="0"/>
        <w:jc w:val="center"/>
        <w:rPr>
          <w:rFonts w:ascii="System" w:eastAsia="Calibri" w:hAnsi="System" w:cs="System"/>
          <w:bCs/>
          <w:sz w:val="20"/>
          <w:szCs w:val="20"/>
        </w:rPr>
      </w:pPr>
    </w:p>
    <w:p w:rsidR="00DF1A07" w:rsidRPr="008573C5" w:rsidRDefault="00DF1A07" w:rsidP="00BF4515">
      <w:pPr>
        <w:autoSpaceDE w:val="0"/>
        <w:autoSpaceDN w:val="0"/>
        <w:adjustRightInd w:val="0"/>
        <w:jc w:val="center"/>
        <w:rPr>
          <w:rFonts w:ascii="System" w:eastAsia="Calibri" w:hAnsi="System" w:cs="System"/>
          <w:bCs/>
          <w:sz w:val="20"/>
          <w:szCs w:val="20"/>
        </w:rPr>
      </w:pPr>
    </w:p>
    <w:p w:rsidR="00DF1A07" w:rsidRPr="008573C5" w:rsidRDefault="00DF1A07" w:rsidP="00DF1A07">
      <w:pPr>
        <w:spacing w:before="100" w:beforeAutospacing="1" w:after="100" w:afterAutospacing="1" w:line="480" w:lineRule="auto"/>
        <w:jc w:val="center"/>
        <w:rPr>
          <w:b/>
          <w:sz w:val="28"/>
          <w:szCs w:val="28"/>
        </w:rPr>
      </w:pPr>
      <w:r w:rsidRPr="008573C5">
        <w:rPr>
          <w:b/>
          <w:sz w:val="28"/>
          <w:szCs w:val="28"/>
        </w:rPr>
        <w:t>Figure 4.02: Box Plot of Profitability Ratio by Sector</w:t>
      </w:r>
    </w:p>
    <w:p w:rsidR="00DF1A07" w:rsidRPr="008573C5" w:rsidRDefault="00DF1A07" w:rsidP="00DF1A07">
      <w:pPr>
        <w:autoSpaceDE w:val="0"/>
        <w:autoSpaceDN w:val="0"/>
        <w:adjustRightInd w:val="0"/>
        <w:jc w:val="center"/>
        <w:rPr>
          <w:rFonts w:ascii="System" w:eastAsia="Calibri" w:hAnsi="System" w:cs="System"/>
          <w:b/>
          <w:bCs/>
          <w:sz w:val="20"/>
          <w:szCs w:val="20"/>
        </w:rPr>
      </w:pPr>
      <w:r w:rsidRPr="008573C5">
        <w:rPr>
          <w:rFonts w:ascii="System" w:eastAsia="Calibri" w:hAnsi="System" w:cs="System"/>
          <w:b/>
          <w:bCs/>
          <w:noProof/>
          <w:sz w:val="20"/>
          <w:szCs w:val="20"/>
        </w:rPr>
        <w:drawing>
          <wp:inline distT="0" distB="0" distL="0" distR="0">
            <wp:extent cx="3453130" cy="2764790"/>
            <wp:effectExtent l="1905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3453130" cy="2764790"/>
                    </a:xfrm>
                    <a:prstGeom prst="rect">
                      <a:avLst/>
                    </a:prstGeom>
                    <a:noFill/>
                    <a:ln w="9525">
                      <a:noFill/>
                      <a:miter lim="800000"/>
                      <a:headEnd/>
                      <a:tailEnd/>
                    </a:ln>
                  </pic:spPr>
                </pic:pic>
              </a:graphicData>
            </a:graphic>
          </wp:inline>
        </w:drawing>
      </w:r>
    </w:p>
    <w:p w:rsidR="00DF1A07" w:rsidRPr="008573C5" w:rsidRDefault="00DF1A07" w:rsidP="00DF1A07">
      <w:pPr>
        <w:autoSpaceDE w:val="0"/>
        <w:autoSpaceDN w:val="0"/>
        <w:adjustRightInd w:val="0"/>
        <w:rPr>
          <w:rFonts w:ascii="System" w:eastAsia="Calibri" w:hAnsi="System" w:cs="System"/>
          <w:b/>
          <w:bCs/>
          <w:sz w:val="20"/>
          <w:szCs w:val="20"/>
        </w:rPr>
      </w:pPr>
    </w:p>
    <w:p w:rsidR="00DF1A07" w:rsidRPr="008573C5" w:rsidRDefault="00DF1A07" w:rsidP="00DF1A07">
      <w:pPr>
        <w:autoSpaceDE w:val="0"/>
        <w:autoSpaceDN w:val="0"/>
        <w:adjustRightInd w:val="0"/>
        <w:jc w:val="center"/>
        <w:rPr>
          <w:rFonts w:eastAsia="Calibri"/>
          <w:b/>
          <w:bCs/>
        </w:rPr>
      </w:pPr>
      <w:r w:rsidRPr="008573C5">
        <w:rPr>
          <w:rFonts w:eastAsia="Calibri"/>
          <w:b/>
          <w:bCs/>
        </w:rPr>
        <w:t>Source: Field Study (2009)</w:t>
      </w:r>
    </w:p>
    <w:p w:rsidR="00DF1A07" w:rsidRPr="008573C5" w:rsidRDefault="00DF1A07" w:rsidP="00BF4515">
      <w:pPr>
        <w:autoSpaceDE w:val="0"/>
        <w:autoSpaceDN w:val="0"/>
        <w:adjustRightInd w:val="0"/>
        <w:jc w:val="center"/>
        <w:rPr>
          <w:rFonts w:ascii="System" w:eastAsia="Calibri" w:hAnsi="System" w:cs="System"/>
          <w:bCs/>
          <w:sz w:val="20"/>
          <w:szCs w:val="20"/>
        </w:rPr>
      </w:pPr>
    </w:p>
    <w:p w:rsidR="00DF1A07" w:rsidRPr="008573C5" w:rsidRDefault="00DF1A07" w:rsidP="00BF4515">
      <w:pPr>
        <w:autoSpaceDE w:val="0"/>
        <w:autoSpaceDN w:val="0"/>
        <w:adjustRightInd w:val="0"/>
        <w:jc w:val="center"/>
        <w:rPr>
          <w:rFonts w:ascii="System" w:eastAsia="Calibri" w:hAnsi="System" w:cs="System"/>
          <w:bCs/>
          <w:sz w:val="20"/>
          <w:szCs w:val="20"/>
        </w:rPr>
      </w:pPr>
    </w:p>
    <w:p w:rsidR="00E9103C" w:rsidRDefault="00FB1D8E" w:rsidP="001C3856">
      <w:pPr>
        <w:spacing w:before="100" w:beforeAutospacing="1" w:after="100" w:afterAutospacing="1"/>
        <w:jc w:val="center"/>
        <w:rPr>
          <w:b/>
          <w:sz w:val="28"/>
          <w:szCs w:val="28"/>
        </w:rPr>
      </w:pPr>
      <w:r w:rsidRPr="008573C5">
        <w:rPr>
          <w:b/>
          <w:sz w:val="28"/>
          <w:szCs w:val="28"/>
        </w:rPr>
        <w:t>Table 4.08</w:t>
      </w:r>
      <w:r w:rsidR="00FF5EDF" w:rsidRPr="008573C5">
        <w:rPr>
          <w:b/>
          <w:sz w:val="28"/>
          <w:szCs w:val="28"/>
        </w:rPr>
        <w:t xml:space="preserve">: Descriptive Statistics of Continuous Variables by </w:t>
      </w:r>
    </w:p>
    <w:p w:rsidR="00FF5EDF" w:rsidRPr="008573C5" w:rsidRDefault="00FF5EDF" w:rsidP="001C3856">
      <w:pPr>
        <w:spacing w:before="100" w:beforeAutospacing="1" w:after="100" w:afterAutospacing="1"/>
        <w:jc w:val="center"/>
        <w:rPr>
          <w:b/>
          <w:sz w:val="28"/>
          <w:szCs w:val="28"/>
        </w:rPr>
      </w:pPr>
      <w:r w:rsidRPr="008573C5">
        <w:rPr>
          <w:b/>
          <w:sz w:val="28"/>
          <w:szCs w:val="28"/>
        </w:rPr>
        <w:t>Industry</w:t>
      </w:r>
    </w:p>
    <w:tbl>
      <w:tblPr>
        <w:tblStyle w:val="TableGrid"/>
        <w:tblW w:w="0" w:type="auto"/>
        <w:tblLook w:val="04A0"/>
      </w:tblPr>
      <w:tblGrid>
        <w:gridCol w:w="2148"/>
        <w:gridCol w:w="1123"/>
        <w:gridCol w:w="1398"/>
        <w:gridCol w:w="1143"/>
        <w:gridCol w:w="956"/>
        <w:gridCol w:w="1757"/>
      </w:tblGrid>
      <w:tr w:rsidR="00E9103C" w:rsidRPr="00E9103C" w:rsidTr="00E9103C">
        <w:tc>
          <w:tcPr>
            <w:tcW w:w="2148" w:type="dxa"/>
          </w:tcPr>
          <w:p w:rsidR="00E9103C" w:rsidRPr="00E9103C" w:rsidRDefault="00E9103C" w:rsidP="00E9103C">
            <w:pPr>
              <w:autoSpaceDE w:val="0"/>
              <w:autoSpaceDN w:val="0"/>
              <w:adjustRightInd w:val="0"/>
              <w:rPr>
                <w:rFonts w:ascii="Times New Roman" w:hAnsi="Times New Roman"/>
                <w:b/>
                <w:bCs/>
                <w:sz w:val="22"/>
                <w:szCs w:val="22"/>
              </w:rPr>
            </w:pPr>
            <w:r>
              <w:rPr>
                <w:rFonts w:ascii="Times New Roman" w:hAnsi="Times New Roman"/>
                <w:b/>
                <w:bCs/>
                <w:sz w:val="22"/>
                <w:szCs w:val="22"/>
              </w:rPr>
              <w:t>INDUSTRY</w:t>
            </w:r>
          </w:p>
        </w:tc>
        <w:tc>
          <w:tcPr>
            <w:tcW w:w="1123" w:type="dxa"/>
          </w:tcPr>
          <w:p w:rsidR="00E9103C" w:rsidRPr="00E9103C" w:rsidRDefault="00E9103C" w:rsidP="00FF5EDF">
            <w:pPr>
              <w:autoSpaceDE w:val="0"/>
              <w:autoSpaceDN w:val="0"/>
              <w:adjustRightInd w:val="0"/>
              <w:jc w:val="center"/>
              <w:rPr>
                <w:b/>
                <w:bCs/>
                <w:sz w:val="22"/>
                <w:szCs w:val="22"/>
              </w:rPr>
            </w:pPr>
          </w:p>
        </w:tc>
        <w:tc>
          <w:tcPr>
            <w:tcW w:w="1398" w:type="dxa"/>
          </w:tcPr>
          <w:p w:rsidR="00E9103C" w:rsidRPr="00E9103C" w:rsidRDefault="00E9103C" w:rsidP="00FF5EDF">
            <w:pPr>
              <w:autoSpaceDE w:val="0"/>
              <w:autoSpaceDN w:val="0"/>
              <w:adjustRightInd w:val="0"/>
              <w:jc w:val="center"/>
              <w:rPr>
                <w:rFonts w:ascii="Times New Roman" w:hAnsi="Times New Roman"/>
                <w:b/>
                <w:bCs/>
                <w:sz w:val="22"/>
                <w:szCs w:val="22"/>
              </w:rPr>
            </w:pPr>
            <w:r w:rsidRPr="00E9103C">
              <w:rPr>
                <w:rFonts w:ascii="Times New Roman" w:hAnsi="Times New Roman"/>
                <w:b/>
                <w:bCs/>
                <w:sz w:val="22"/>
                <w:szCs w:val="22"/>
              </w:rPr>
              <w:t>Pro</w:t>
            </w:r>
            <w:r>
              <w:rPr>
                <w:rFonts w:ascii="Times New Roman" w:hAnsi="Times New Roman"/>
                <w:b/>
                <w:bCs/>
                <w:sz w:val="22"/>
                <w:szCs w:val="22"/>
              </w:rPr>
              <w:t>fitability</w:t>
            </w:r>
          </w:p>
        </w:tc>
        <w:tc>
          <w:tcPr>
            <w:tcW w:w="1143" w:type="dxa"/>
          </w:tcPr>
          <w:p w:rsidR="00E9103C" w:rsidRPr="00E9103C" w:rsidRDefault="00E9103C" w:rsidP="00FF5EDF">
            <w:pPr>
              <w:autoSpaceDE w:val="0"/>
              <w:autoSpaceDN w:val="0"/>
              <w:adjustRightInd w:val="0"/>
              <w:jc w:val="center"/>
              <w:rPr>
                <w:rFonts w:ascii="Times New Roman" w:hAnsi="Times New Roman"/>
                <w:b/>
                <w:bCs/>
                <w:sz w:val="22"/>
                <w:szCs w:val="22"/>
              </w:rPr>
            </w:pPr>
            <w:r>
              <w:rPr>
                <w:rFonts w:ascii="Times New Roman" w:hAnsi="Times New Roman"/>
                <w:b/>
                <w:bCs/>
                <w:sz w:val="22"/>
                <w:szCs w:val="22"/>
              </w:rPr>
              <w:t>Leverage</w:t>
            </w:r>
          </w:p>
        </w:tc>
        <w:tc>
          <w:tcPr>
            <w:tcW w:w="956" w:type="dxa"/>
          </w:tcPr>
          <w:p w:rsidR="00E9103C" w:rsidRPr="00E9103C" w:rsidRDefault="00E9103C" w:rsidP="00FF5EDF">
            <w:pPr>
              <w:autoSpaceDE w:val="0"/>
              <w:autoSpaceDN w:val="0"/>
              <w:adjustRightInd w:val="0"/>
              <w:jc w:val="center"/>
              <w:rPr>
                <w:rFonts w:ascii="Times New Roman" w:hAnsi="Times New Roman"/>
                <w:b/>
                <w:bCs/>
                <w:sz w:val="22"/>
                <w:szCs w:val="22"/>
              </w:rPr>
            </w:pPr>
            <w:r>
              <w:rPr>
                <w:rFonts w:ascii="Times New Roman" w:hAnsi="Times New Roman"/>
                <w:b/>
                <w:bCs/>
                <w:sz w:val="22"/>
                <w:szCs w:val="22"/>
              </w:rPr>
              <w:t>Listing Age</w:t>
            </w:r>
          </w:p>
        </w:tc>
        <w:tc>
          <w:tcPr>
            <w:tcW w:w="1757" w:type="dxa"/>
          </w:tcPr>
          <w:p w:rsidR="00E9103C" w:rsidRPr="00E9103C" w:rsidRDefault="00E9103C" w:rsidP="00FF5EDF">
            <w:pPr>
              <w:autoSpaceDE w:val="0"/>
              <w:autoSpaceDN w:val="0"/>
              <w:adjustRightInd w:val="0"/>
              <w:jc w:val="center"/>
              <w:rPr>
                <w:rFonts w:ascii="Times New Roman" w:hAnsi="Times New Roman"/>
                <w:b/>
                <w:bCs/>
                <w:sz w:val="22"/>
                <w:szCs w:val="22"/>
              </w:rPr>
            </w:pPr>
            <w:r>
              <w:rPr>
                <w:rFonts w:ascii="Times New Roman" w:hAnsi="Times New Roman"/>
                <w:b/>
                <w:bCs/>
                <w:sz w:val="22"/>
                <w:szCs w:val="22"/>
              </w:rPr>
              <w:t>Multinationality</w:t>
            </w:r>
          </w:p>
        </w:tc>
      </w:tr>
      <w:tr w:rsidR="00E9103C" w:rsidRPr="00E9103C" w:rsidTr="00E9103C">
        <w:tc>
          <w:tcPr>
            <w:tcW w:w="2148" w:type="dxa"/>
            <w:vMerge w:val="restart"/>
          </w:tcPr>
          <w:p w:rsidR="00E9103C" w:rsidRPr="00E9103C" w:rsidRDefault="00E9103C" w:rsidP="00E9103C">
            <w:pPr>
              <w:autoSpaceDE w:val="0"/>
              <w:autoSpaceDN w:val="0"/>
              <w:adjustRightInd w:val="0"/>
              <w:rPr>
                <w:rFonts w:ascii="Times New Roman" w:hAnsi="Times New Roman"/>
                <w:bCs/>
                <w:sz w:val="22"/>
                <w:szCs w:val="22"/>
              </w:rPr>
            </w:pPr>
            <w:r w:rsidRPr="00E9103C">
              <w:rPr>
                <w:rFonts w:ascii="Times New Roman" w:hAnsi="Times New Roman"/>
                <w:bCs/>
                <w:sz w:val="22"/>
                <w:szCs w:val="22"/>
              </w:rPr>
              <w:t>AGRICULTURE</w:t>
            </w:r>
          </w:p>
        </w:tc>
        <w:tc>
          <w:tcPr>
            <w:tcW w:w="1123" w:type="dxa"/>
          </w:tcPr>
          <w:p w:rsidR="00E9103C" w:rsidRPr="00E9103C" w:rsidRDefault="00E9103C" w:rsidP="00E9103C">
            <w:pPr>
              <w:autoSpaceDE w:val="0"/>
              <w:autoSpaceDN w:val="0"/>
              <w:adjustRightInd w:val="0"/>
              <w:rPr>
                <w:bCs/>
                <w:sz w:val="22"/>
                <w:szCs w:val="22"/>
              </w:rPr>
            </w:pPr>
            <w:r w:rsidRPr="00E9103C">
              <w:rPr>
                <w:bCs/>
                <w:sz w:val="22"/>
                <w:szCs w:val="22"/>
              </w:rPr>
              <w:t>Mean</w:t>
            </w:r>
          </w:p>
        </w:tc>
        <w:tc>
          <w:tcPr>
            <w:tcW w:w="1398" w:type="dxa"/>
          </w:tcPr>
          <w:p w:rsidR="00E9103C" w:rsidRPr="00E9103C" w:rsidRDefault="00C370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-0.6317</w:t>
            </w:r>
          </w:p>
        </w:tc>
        <w:tc>
          <w:tcPr>
            <w:tcW w:w="1143" w:type="dxa"/>
          </w:tcPr>
          <w:p w:rsidR="00E9103C" w:rsidRPr="00E9103C" w:rsidRDefault="00C370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-0.1500</w:t>
            </w:r>
          </w:p>
        </w:tc>
        <w:tc>
          <w:tcPr>
            <w:tcW w:w="956" w:type="dxa"/>
          </w:tcPr>
          <w:p w:rsidR="00E9103C" w:rsidRPr="00E9103C" w:rsidRDefault="00C370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15.6700</w:t>
            </w:r>
          </w:p>
        </w:tc>
        <w:tc>
          <w:tcPr>
            <w:tcW w:w="1757" w:type="dxa"/>
          </w:tcPr>
          <w:p w:rsidR="00E9103C" w:rsidRPr="00E9103C" w:rsidRDefault="00C370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0.4233</w:t>
            </w:r>
          </w:p>
        </w:tc>
      </w:tr>
      <w:tr w:rsidR="00E9103C" w:rsidRPr="00E9103C" w:rsidTr="00E9103C">
        <w:tc>
          <w:tcPr>
            <w:tcW w:w="2148" w:type="dxa"/>
            <w:vMerge/>
          </w:tcPr>
          <w:p w:rsidR="00E9103C" w:rsidRPr="00E9103C" w:rsidRDefault="00E9103C" w:rsidP="00E9103C">
            <w:pPr>
              <w:autoSpaceDE w:val="0"/>
              <w:autoSpaceDN w:val="0"/>
              <w:adjustRightInd w:val="0"/>
              <w:rPr>
                <w:rFonts w:ascii="Times New Roman" w:hAnsi="Times New Roman"/>
                <w:bCs/>
                <w:sz w:val="22"/>
                <w:szCs w:val="22"/>
              </w:rPr>
            </w:pPr>
          </w:p>
        </w:tc>
        <w:tc>
          <w:tcPr>
            <w:tcW w:w="1123" w:type="dxa"/>
          </w:tcPr>
          <w:p w:rsidR="00E9103C" w:rsidRPr="00E9103C" w:rsidRDefault="00E9103C" w:rsidP="00E9103C">
            <w:pPr>
              <w:autoSpaceDE w:val="0"/>
              <w:autoSpaceDN w:val="0"/>
              <w:adjustRightInd w:val="0"/>
              <w:rPr>
                <w:bCs/>
                <w:sz w:val="22"/>
                <w:szCs w:val="22"/>
              </w:rPr>
            </w:pPr>
            <w:r>
              <w:rPr>
                <w:bCs/>
                <w:sz w:val="22"/>
                <w:szCs w:val="22"/>
              </w:rPr>
              <w:t>Minimum</w:t>
            </w:r>
          </w:p>
        </w:tc>
        <w:tc>
          <w:tcPr>
            <w:tcW w:w="1398" w:type="dxa"/>
          </w:tcPr>
          <w:p w:rsidR="00E9103C" w:rsidRPr="00E9103C" w:rsidRDefault="00C370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-2.1204</w:t>
            </w:r>
          </w:p>
        </w:tc>
        <w:tc>
          <w:tcPr>
            <w:tcW w:w="1143" w:type="dxa"/>
          </w:tcPr>
          <w:p w:rsidR="00E9103C" w:rsidRPr="00E9103C" w:rsidRDefault="00C370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-1.9400</w:t>
            </w:r>
          </w:p>
        </w:tc>
        <w:tc>
          <w:tcPr>
            <w:tcW w:w="956" w:type="dxa"/>
          </w:tcPr>
          <w:p w:rsidR="00E9103C" w:rsidRPr="00E9103C" w:rsidRDefault="00C370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4.0000</w:t>
            </w:r>
          </w:p>
        </w:tc>
        <w:tc>
          <w:tcPr>
            <w:tcW w:w="1757" w:type="dxa"/>
          </w:tcPr>
          <w:p w:rsidR="00E9103C" w:rsidRPr="00E9103C" w:rsidRDefault="00C370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0.0000</w:t>
            </w:r>
          </w:p>
        </w:tc>
      </w:tr>
      <w:tr w:rsidR="00E9103C" w:rsidRPr="00E9103C" w:rsidTr="00E9103C">
        <w:tc>
          <w:tcPr>
            <w:tcW w:w="2148" w:type="dxa"/>
            <w:vMerge/>
          </w:tcPr>
          <w:p w:rsidR="00E9103C" w:rsidRPr="00E9103C" w:rsidRDefault="00E9103C" w:rsidP="00E9103C">
            <w:pPr>
              <w:autoSpaceDE w:val="0"/>
              <w:autoSpaceDN w:val="0"/>
              <w:adjustRightInd w:val="0"/>
              <w:rPr>
                <w:rFonts w:ascii="Times New Roman" w:hAnsi="Times New Roman"/>
                <w:bCs/>
                <w:sz w:val="22"/>
                <w:szCs w:val="22"/>
              </w:rPr>
            </w:pPr>
          </w:p>
        </w:tc>
        <w:tc>
          <w:tcPr>
            <w:tcW w:w="1123" w:type="dxa"/>
          </w:tcPr>
          <w:p w:rsidR="00E9103C" w:rsidRPr="00E9103C" w:rsidRDefault="00E9103C" w:rsidP="00E9103C">
            <w:pPr>
              <w:autoSpaceDE w:val="0"/>
              <w:autoSpaceDN w:val="0"/>
              <w:adjustRightInd w:val="0"/>
              <w:rPr>
                <w:bCs/>
                <w:sz w:val="22"/>
                <w:szCs w:val="22"/>
              </w:rPr>
            </w:pPr>
            <w:r>
              <w:rPr>
                <w:bCs/>
                <w:sz w:val="22"/>
                <w:szCs w:val="22"/>
              </w:rPr>
              <w:t>Maximum</w:t>
            </w:r>
          </w:p>
        </w:tc>
        <w:tc>
          <w:tcPr>
            <w:tcW w:w="1398" w:type="dxa"/>
          </w:tcPr>
          <w:p w:rsidR="00E9103C" w:rsidRPr="00E9103C" w:rsidRDefault="00C370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0.1362</w:t>
            </w:r>
          </w:p>
        </w:tc>
        <w:tc>
          <w:tcPr>
            <w:tcW w:w="1143" w:type="dxa"/>
          </w:tcPr>
          <w:p w:rsidR="00E9103C" w:rsidRPr="00E9103C" w:rsidRDefault="00C370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1.0800</w:t>
            </w:r>
          </w:p>
        </w:tc>
        <w:tc>
          <w:tcPr>
            <w:tcW w:w="956" w:type="dxa"/>
          </w:tcPr>
          <w:p w:rsidR="00E9103C" w:rsidRPr="00E9103C" w:rsidRDefault="00C370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28.0000</w:t>
            </w:r>
          </w:p>
        </w:tc>
        <w:tc>
          <w:tcPr>
            <w:tcW w:w="1757" w:type="dxa"/>
          </w:tcPr>
          <w:p w:rsidR="00E9103C" w:rsidRPr="00E9103C" w:rsidRDefault="00C370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0.6700</w:t>
            </w:r>
          </w:p>
        </w:tc>
      </w:tr>
      <w:tr w:rsidR="00E9103C" w:rsidRPr="00E9103C" w:rsidTr="00E9103C">
        <w:tc>
          <w:tcPr>
            <w:tcW w:w="2148" w:type="dxa"/>
            <w:vMerge w:val="restart"/>
          </w:tcPr>
          <w:p w:rsidR="00E9103C" w:rsidRPr="00E9103C" w:rsidRDefault="00E9103C" w:rsidP="00E9103C">
            <w:pPr>
              <w:autoSpaceDE w:val="0"/>
              <w:autoSpaceDN w:val="0"/>
              <w:adjustRightInd w:val="0"/>
              <w:rPr>
                <w:rFonts w:ascii="Times New Roman" w:hAnsi="Times New Roman"/>
                <w:bCs/>
                <w:sz w:val="22"/>
                <w:szCs w:val="22"/>
              </w:rPr>
            </w:pPr>
            <w:r>
              <w:rPr>
                <w:rFonts w:ascii="Times New Roman" w:hAnsi="Times New Roman"/>
                <w:bCs/>
                <w:sz w:val="22"/>
                <w:szCs w:val="22"/>
              </w:rPr>
              <w:t>MANUFACTURING</w:t>
            </w:r>
          </w:p>
        </w:tc>
        <w:tc>
          <w:tcPr>
            <w:tcW w:w="1123" w:type="dxa"/>
          </w:tcPr>
          <w:p w:rsidR="00E9103C" w:rsidRPr="00E9103C" w:rsidRDefault="00E9103C" w:rsidP="000E7663">
            <w:pPr>
              <w:autoSpaceDE w:val="0"/>
              <w:autoSpaceDN w:val="0"/>
              <w:adjustRightInd w:val="0"/>
              <w:rPr>
                <w:bCs/>
                <w:sz w:val="22"/>
                <w:szCs w:val="22"/>
              </w:rPr>
            </w:pPr>
            <w:r w:rsidRPr="00E9103C">
              <w:rPr>
                <w:bCs/>
                <w:sz w:val="22"/>
                <w:szCs w:val="22"/>
              </w:rPr>
              <w:t>Mean</w:t>
            </w:r>
          </w:p>
        </w:tc>
        <w:tc>
          <w:tcPr>
            <w:tcW w:w="1398"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0.1645</w:t>
            </w:r>
          </w:p>
        </w:tc>
        <w:tc>
          <w:tcPr>
            <w:tcW w:w="1143"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2.8460</w:t>
            </w:r>
          </w:p>
        </w:tc>
        <w:tc>
          <w:tcPr>
            <w:tcW w:w="956"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25.8700</w:t>
            </w:r>
          </w:p>
        </w:tc>
        <w:tc>
          <w:tcPr>
            <w:tcW w:w="1757"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0.3790</w:t>
            </w:r>
          </w:p>
        </w:tc>
      </w:tr>
      <w:tr w:rsidR="00E9103C" w:rsidRPr="00E9103C" w:rsidTr="00E9103C">
        <w:tc>
          <w:tcPr>
            <w:tcW w:w="2148" w:type="dxa"/>
            <w:vMerge/>
          </w:tcPr>
          <w:p w:rsidR="00E9103C" w:rsidRPr="00E9103C" w:rsidRDefault="00E9103C" w:rsidP="00E9103C">
            <w:pPr>
              <w:autoSpaceDE w:val="0"/>
              <w:autoSpaceDN w:val="0"/>
              <w:adjustRightInd w:val="0"/>
              <w:rPr>
                <w:rFonts w:ascii="Times New Roman" w:hAnsi="Times New Roman"/>
                <w:bCs/>
                <w:sz w:val="22"/>
                <w:szCs w:val="22"/>
              </w:rPr>
            </w:pPr>
          </w:p>
        </w:tc>
        <w:tc>
          <w:tcPr>
            <w:tcW w:w="1123" w:type="dxa"/>
          </w:tcPr>
          <w:p w:rsidR="00E9103C" w:rsidRPr="00E9103C" w:rsidRDefault="00E9103C" w:rsidP="000E7663">
            <w:pPr>
              <w:autoSpaceDE w:val="0"/>
              <w:autoSpaceDN w:val="0"/>
              <w:adjustRightInd w:val="0"/>
              <w:rPr>
                <w:bCs/>
                <w:sz w:val="22"/>
                <w:szCs w:val="22"/>
              </w:rPr>
            </w:pPr>
            <w:r>
              <w:rPr>
                <w:bCs/>
                <w:sz w:val="22"/>
                <w:szCs w:val="22"/>
              </w:rPr>
              <w:t>Minimum</w:t>
            </w:r>
          </w:p>
        </w:tc>
        <w:tc>
          <w:tcPr>
            <w:tcW w:w="1398"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-0.0804</w:t>
            </w:r>
          </w:p>
        </w:tc>
        <w:tc>
          <w:tcPr>
            <w:tcW w:w="1143"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0.7600</w:t>
            </w:r>
          </w:p>
        </w:tc>
        <w:tc>
          <w:tcPr>
            <w:tcW w:w="956"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11.0000</w:t>
            </w:r>
          </w:p>
        </w:tc>
        <w:tc>
          <w:tcPr>
            <w:tcW w:w="1757"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0.0000</w:t>
            </w:r>
          </w:p>
        </w:tc>
      </w:tr>
      <w:tr w:rsidR="00E9103C" w:rsidRPr="00E9103C" w:rsidTr="00E9103C">
        <w:tc>
          <w:tcPr>
            <w:tcW w:w="2148" w:type="dxa"/>
            <w:vMerge/>
          </w:tcPr>
          <w:p w:rsidR="00E9103C" w:rsidRPr="00E9103C" w:rsidRDefault="00E9103C" w:rsidP="00E9103C">
            <w:pPr>
              <w:autoSpaceDE w:val="0"/>
              <w:autoSpaceDN w:val="0"/>
              <w:adjustRightInd w:val="0"/>
              <w:rPr>
                <w:rFonts w:ascii="Times New Roman" w:hAnsi="Times New Roman"/>
                <w:bCs/>
                <w:sz w:val="22"/>
                <w:szCs w:val="22"/>
              </w:rPr>
            </w:pPr>
          </w:p>
        </w:tc>
        <w:tc>
          <w:tcPr>
            <w:tcW w:w="1123" w:type="dxa"/>
          </w:tcPr>
          <w:p w:rsidR="00E9103C" w:rsidRPr="00E9103C" w:rsidRDefault="00E9103C" w:rsidP="000E7663">
            <w:pPr>
              <w:autoSpaceDE w:val="0"/>
              <w:autoSpaceDN w:val="0"/>
              <w:adjustRightInd w:val="0"/>
              <w:rPr>
                <w:bCs/>
                <w:sz w:val="22"/>
                <w:szCs w:val="22"/>
              </w:rPr>
            </w:pPr>
            <w:r>
              <w:rPr>
                <w:bCs/>
                <w:sz w:val="22"/>
                <w:szCs w:val="22"/>
              </w:rPr>
              <w:t>Maximum</w:t>
            </w:r>
          </w:p>
        </w:tc>
        <w:tc>
          <w:tcPr>
            <w:tcW w:w="1398"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0.7148</w:t>
            </w:r>
          </w:p>
        </w:tc>
        <w:tc>
          <w:tcPr>
            <w:tcW w:w="1143"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9.3400</w:t>
            </w:r>
          </w:p>
        </w:tc>
        <w:tc>
          <w:tcPr>
            <w:tcW w:w="956"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45.0000</w:t>
            </w:r>
          </w:p>
        </w:tc>
        <w:tc>
          <w:tcPr>
            <w:tcW w:w="1757"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0.8100</w:t>
            </w:r>
          </w:p>
        </w:tc>
      </w:tr>
      <w:tr w:rsidR="00E9103C" w:rsidRPr="00E9103C" w:rsidTr="00E9103C">
        <w:tc>
          <w:tcPr>
            <w:tcW w:w="2148" w:type="dxa"/>
            <w:vMerge w:val="restart"/>
          </w:tcPr>
          <w:p w:rsidR="00E9103C" w:rsidRPr="00E9103C" w:rsidRDefault="00E9103C" w:rsidP="00E9103C">
            <w:pPr>
              <w:autoSpaceDE w:val="0"/>
              <w:autoSpaceDN w:val="0"/>
              <w:adjustRightInd w:val="0"/>
              <w:rPr>
                <w:rFonts w:ascii="Times New Roman" w:hAnsi="Times New Roman"/>
                <w:bCs/>
                <w:sz w:val="22"/>
                <w:szCs w:val="22"/>
              </w:rPr>
            </w:pPr>
            <w:r>
              <w:rPr>
                <w:rFonts w:ascii="Times New Roman" w:hAnsi="Times New Roman"/>
                <w:bCs/>
                <w:sz w:val="22"/>
                <w:szCs w:val="22"/>
              </w:rPr>
              <w:t>BANKING</w:t>
            </w:r>
          </w:p>
        </w:tc>
        <w:tc>
          <w:tcPr>
            <w:tcW w:w="1123" w:type="dxa"/>
          </w:tcPr>
          <w:p w:rsidR="00E9103C" w:rsidRPr="00E9103C" w:rsidRDefault="00E9103C" w:rsidP="000E7663">
            <w:pPr>
              <w:autoSpaceDE w:val="0"/>
              <w:autoSpaceDN w:val="0"/>
              <w:adjustRightInd w:val="0"/>
              <w:rPr>
                <w:bCs/>
                <w:sz w:val="22"/>
                <w:szCs w:val="22"/>
              </w:rPr>
            </w:pPr>
            <w:r w:rsidRPr="00E9103C">
              <w:rPr>
                <w:bCs/>
                <w:sz w:val="22"/>
                <w:szCs w:val="22"/>
              </w:rPr>
              <w:t>Mean</w:t>
            </w:r>
          </w:p>
        </w:tc>
        <w:tc>
          <w:tcPr>
            <w:tcW w:w="1398"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0.1762</w:t>
            </w:r>
          </w:p>
        </w:tc>
        <w:tc>
          <w:tcPr>
            <w:tcW w:w="1143"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6.1612</w:t>
            </w:r>
          </w:p>
        </w:tc>
        <w:tc>
          <w:tcPr>
            <w:tcW w:w="956"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9.4700</w:t>
            </w:r>
          </w:p>
        </w:tc>
        <w:tc>
          <w:tcPr>
            <w:tcW w:w="1757"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0.1188</w:t>
            </w:r>
          </w:p>
        </w:tc>
      </w:tr>
      <w:tr w:rsidR="00E9103C" w:rsidRPr="00E9103C" w:rsidTr="00E9103C">
        <w:tc>
          <w:tcPr>
            <w:tcW w:w="2148" w:type="dxa"/>
            <w:vMerge/>
          </w:tcPr>
          <w:p w:rsidR="00E9103C" w:rsidRPr="00E9103C" w:rsidRDefault="00E9103C" w:rsidP="00E9103C">
            <w:pPr>
              <w:autoSpaceDE w:val="0"/>
              <w:autoSpaceDN w:val="0"/>
              <w:adjustRightInd w:val="0"/>
              <w:rPr>
                <w:rFonts w:ascii="Times New Roman" w:hAnsi="Times New Roman"/>
                <w:bCs/>
                <w:sz w:val="22"/>
                <w:szCs w:val="22"/>
              </w:rPr>
            </w:pPr>
          </w:p>
        </w:tc>
        <w:tc>
          <w:tcPr>
            <w:tcW w:w="1123" w:type="dxa"/>
          </w:tcPr>
          <w:p w:rsidR="00E9103C" w:rsidRPr="00E9103C" w:rsidRDefault="00E9103C" w:rsidP="000E7663">
            <w:pPr>
              <w:autoSpaceDE w:val="0"/>
              <w:autoSpaceDN w:val="0"/>
              <w:adjustRightInd w:val="0"/>
              <w:rPr>
                <w:bCs/>
                <w:sz w:val="22"/>
                <w:szCs w:val="22"/>
              </w:rPr>
            </w:pPr>
            <w:r>
              <w:rPr>
                <w:bCs/>
                <w:sz w:val="22"/>
                <w:szCs w:val="22"/>
              </w:rPr>
              <w:t>Minimum</w:t>
            </w:r>
          </w:p>
        </w:tc>
        <w:tc>
          <w:tcPr>
            <w:tcW w:w="1398"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0.0278</w:t>
            </w:r>
          </w:p>
        </w:tc>
        <w:tc>
          <w:tcPr>
            <w:tcW w:w="1143"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2.4500</w:t>
            </w:r>
          </w:p>
        </w:tc>
        <w:tc>
          <w:tcPr>
            <w:tcW w:w="956"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1.0000</w:t>
            </w:r>
          </w:p>
        </w:tc>
        <w:tc>
          <w:tcPr>
            <w:tcW w:w="1757"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0.0000</w:t>
            </w:r>
          </w:p>
        </w:tc>
      </w:tr>
      <w:tr w:rsidR="00E9103C" w:rsidRPr="00E9103C" w:rsidTr="00E9103C">
        <w:tc>
          <w:tcPr>
            <w:tcW w:w="2148" w:type="dxa"/>
            <w:vMerge/>
          </w:tcPr>
          <w:p w:rsidR="00E9103C" w:rsidRPr="00E9103C" w:rsidRDefault="00E9103C" w:rsidP="00E9103C">
            <w:pPr>
              <w:autoSpaceDE w:val="0"/>
              <w:autoSpaceDN w:val="0"/>
              <w:adjustRightInd w:val="0"/>
              <w:rPr>
                <w:rFonts w:ascii="Times New Roman" w:hAnsi="Times New Roman"/>
                <w:bCs/>
                <w:sz w:val="22"/>
                <w:szCs w:val="22"/>
              </w:rPr>
            </w:pPr>
          </w:p>
        </w:tc>
        <w:tc>
          <w:tcPr>
            <w:tcW w:w="1123" w:type="dxa"/>
          </w:tcPr>
          <w:p w:rsidR="00E9103C" w:rsidRPr="00E9103C" w:rsidRDefault="00E9103C" w:rsidP="000E7663">
            <w:pPr>
              <w:autoSpaceDE w:val="0"/>
              <w:autoSpaceDN w:val="0"/>
              <w:adjustRightInd w:val="0"/>
              <w:rPr>
                <w:bCs/>
                <w:sz w:val="22"/>
                <w:szCs w:val="22"/>
              </w:rPr>
            </w:pPr>
            <w:r>
              <w:rPr>
                <w:bCs/>
                <w:sz w:val="22"/>
                <w:szCs w:val="22"/>
              </w:rPr>
              <w:t>Maximum</w:t>
            </w:r>
          </w:p>
        </w:tc>
        <w:tc>
          <w:tcPr>
            <w:tcW w:w="1398"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0.3384</w:t>
            </w:r>
          </w:p>
        </w:tc>
        <w:tc>
          <w:tcPr>
            <w:tcW w:w="1143"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17.1000</w:t>
            </w:r>
          </w:p>
        </w:tc>
        <w:tc>
          <w:tcPr>
            <w:tcW w:w="956"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36.0000</w:t>
            </w:r>
          </w:p>
        </w:tc>
        <w:tc>
          <w:tcPr>
            <w:tcW w:w="1757" w:type="dxa"/>
          </w:tcPr>
          <w:p w:rsidR="00E9103C"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1.0000</w:t>
            </w:r>
          </w:p>
        </w:tc>
      </w:tr>
      <w:tr w:rsidR="00C3702E" w:rsidRPr="00E9103C" w:rsidTr="00A24D2E">
        <w:trPr>
          <w:trHeight w:val="179"/>
        </w:trPr>
        <w:tc>
          <w:tcPr>
            <w:tcW w:w="2148" w:type="dxa"/>
            <w:vMerge w:val="restart"/>
          </w:tcPr>
          <w:p w:rsidR="00C3702E" w:rsidRPr="00E9103C" w:rsidRDefault="00C3702E" w:rsidP="00E9103C">
            <w:pPr>
              <w:autoSpaceDE w:val="0"/>
              <w:autoSpaceDN w:val="0"/>
              <w:adjustRightInd w:val="0"/>
              <w:rPr>
                <w:rFonts w:ascii="Times New Roman" w:hAnsi="Times New Roman"/>
                <w:bCs/>
                <w:sz w:val="22"/>
                <w:szCs w:val="22"/>
              </w:rPr>
            </w:pPr>
            <w:r>
              <w:rPr>
                <w:rFonts w:ascii="Times New Roman" w:hAnsi="Times New Roman"/>
                <w:bCs/>
                <w:sz w:val="22"/>
                <w:szCs w:val="22"/>
              </w:rPr>
              <w:t>FOOD AND HEALTH</w:t>
            </w:r>
          </w:p>
        </w:tc>
        <w:tc>
          <w:tcPr>
            <w:tcW w:w="1123" w:type="dxa"/>
          </w:tcPr>
          <w:p w:rsidR="00C3702E" w:rsidRPr="00E9103C" w:rsidRDefault="00C3702E" w:rsidP="000E7663">
            <w:pPr>
              <w:autoSpaceDE w:val="0"/>
              <w:autoSpaceDN w:val="0"/>
              <w:adjustRightInd w:val="0"/>
              <w:rPr>
                <w:bCs/>
                <w:sz w:val="22"/>
                <w:szCs w:val="22"/>
              </w:rPr>
            </w:pPr>
            <w:r w:rsidRPr="00E9103C">
              <w:rPr>
                <w:bCs/>
                <w:sz w:val="22"/>
                <w:szCs w:val="22"/>
              </w:rPr>
              <w:t>Mean</w:t>
            </w:r>
          </w:p>
        </w:tc>
        <w:tc>
          <w:tcPr>
            <w:tcW w:w="1398"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0.2877</w:t>
            </w:r>
          </w:p>
        </w:tc>
        <w:tc>
          <w:tcPr>
            <w:tcW w:w="1143"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1.1992</w:t>
            </w:r>
          </w:p>
        </w:tc>
        <w:tc>
          <w:tcPr>
            <w:tcW w:w="956"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24.4200</w:t>
            </w:r>
          </w:p>
        </w:tc>
        <w:tc>
          <w:tcPr>
            <w:tcW w:w="1757" w:type="dxa"/>
          </w:tcPr>
          <w:p w:rsidR="00C3702E"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0.3346</w:t>
            </w:r>
          </w:p>
        </w:tc>
      </w:tr>
      <w:tr w:rsidR="00C3702E" w:rsidRPr="00E9103C" w:rsidTr="00E9103C">
        <w:tc>
          <w:tcPr>
            <w:tcW w:w="2148" w:type="dxa"/>
            <w:vMerge/>
          </w:tcPr>
          <w:p w:rsidR="00C3702E" w:rsidRPr="00E9103C" w:rsidRDefault="00C3702E" w:rsidP="00E9103C">
            <w:pPr>
              <w:autoSpaceDE w:val="0"/>
              <w:autoSpaceDN w:val="0"/>
              <w:adjustRightInd w:val="0"/>
              <w:rPr>
                <w:rFonts w:ascii="Times New Roman" w:hAnsi="Times New Roman"/>
                <w:bCs/>
                <w:sz w:val="22"/>
                <w:szCs w:val="22"/>
              </w:rPr>
            </w:pPr>
          </w:p>
        </w:tc>
        <w:tc>
          <w:tcPr>
            <w:tcW w:w="1123" w:type="dxa"/>
          </w:tcPr>
          <w:p w:rsidR="00C3702E" w:rsidRPr="00E9103C" w:rsidRDefault="00C3702E" w:rsidP="000E7663">
            <w:pPr>
              <w:autoSpaceDE w:val="0"/>
              <w:autoSpaceDN w:val="0"/>
              <w:adjustRightInd w:val="0"/>
              <w:rPr>
                <w:bCs/>
                <w:sz w:val="22"/>
                <w:szCs w:val="22"/>
              </w:rPr>
            </w:pPr>
            <w:r>
              <w:rPr>
                <w:bCs/>
                <w:sz w:val="22"/>
                <w:szCs w:val="22"/>
              </w:rPr>
              <w:t>Minimum</w:t>
            </w:r>
          </w:p>
        </w:tc>
        <w:tc>
          <w:tcPr>
            <w:tcW w:w="1398"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0.0216</w:t>
            </w:r>
          </w:p>
        </w:tc>
        <w:tc>
          <w:tcPr>
            <w:tcW w:w="1143"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0.3900</w:t>
            </w:r>
          </w:p>
        </w:tc>
        <w:tc>
          <w:tcPr>
            <w:tcW w:w="956"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1.0000</w:t>
            </w:r>
          </w:p>
        </w:tc>
        <w:tc>
          <w:tcPr>
            <w:tcW w:w="1757" w:type="dxa"/>
          </w:tcPr>
          <w:p w:rsidR="00C3702E"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0.0000</w:t>
            </w:r>
          </w:p>
        </w:tc>
      </w:tr>
      <w:tr w:rsidR="00C3702E" w:rsidRPr="00E9103C" w:rsidTr="00E9103C">
        <w:tc>
          <w:tcPr>
            <w:tcW w:w="2148" w:type="dxa"/>
            <w:vMerge/>
          </w:tcPr>
          <w:p w:rsidR="00C3702E" w:rsidRPr="00E9103C" w:rsidRDefault="00C3702E" w:rsidP="00E9103C">
            <w:pPr>
              <w:autoSpaceDE w:val="0"/>
              <w:autoSpaceDN w:val="0"/>
              <w:adjustRightInd w:val="0"/>
              <w:rPr>
                <w:rFonts w:ascii="Times New Roman" w:hAnsi="Times New Roman"/>
                <w:bCs/>
                <w:sz w:val="22"/>
                <w:szCs w:val="22"/>
              </w:rPr>
            </w:pPr>
          </w:p>
        </w:tc>
        <w:tc>
          <w:tcPr>
            <w:tcW w:w="1123" w:type="dxa"/>
          </w:tcPr>
          <w:p w:rsidR="00C3702E" w:rsidRPr="00E9103C" w:rsidRDefault="00C3702E" w:rsidP="000E7663">
            <w:pPr>
              <w:autoSpaceDE w:val="0"/>
              <w:autoSpaceDN w:val="0"/>
              <w:adjustRightInd w:val="0"/>
              <w:rPr>
                <w:bCs/>
                <w:sz w:val="22"/>
                <w:szCs w:val="22"/>
              </w:rPr>
            </w:pPr>
            <w:r>
              <w:rPr>
                <w:bCs/>
                <w:sz w:val="22"/>
                <w:szCs w:val="22"/>
              </w:rPr>
              <w:t>Maximum</w:t>
            </w:r>
          </w:p>
        </w:tc>
        <w:tc>
          <w:tcPr>
            <w:tcW w:w="1398"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0.5954</w:t>
            </w:r>
          </w:p>
        </w:tc>
        <w:tc>
          <w:tcPr>
            <w:tcW w:w="1143"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2.3800</w:t>
            </w:r>
          </w:p>
        </w:tc>
        <w:tc>
          <w:tcPr>
            <w:tcW w:w="956"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41.0000</w:t>
            </w:r>
          </w:p>
        </w:tc>
        <w:tc>
          <w:tcPr>
            <w:tcW w:w="1757" w:type="dxa"/>
          </w:tcPr>
          <w:p w:rsidR="00C3702E"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0.7200</w:t>
            </w:r>
          </w:p>
        </w:tc>
      </w:tr>
      <w:tr w:rsidR="00C3702E" w:rsidRPr="00E9103C" w:rsidTr="00E9103C">
        <w:tc>
          <w:tcPr>
            <w:tcW w:w="2148" w:type="dxa"/>
            <w:vMerge w:val="restart"/>
          </w:tcPr>
          <w:p w:rsidR="00C3702E" w:rsidRPr="00E9103C" w:rsidRDefault="00C3702E" w:rsidP="00E9103C">
            <w:pPr>
              <w:autoSpaceDE w:val="0"/>
              <w:autoSpaceDN w:val="0"/>
              <w:adjustRightInd w:val="0"/>
              <w:rPr>
                <w:rFonts w:ascii="Times New Roman" w:hAnsi="Times New Roman"/>
                <w:bCs/>
                <w:sz w:val="22"/>
                <w:szCs w:val="22"/>
              </w:rPr>
            </w:pPr>
            <w:r>
              <w:rPr>
                <w:rFonts w:ascii="Times New Roman" w:hAnsi="Times New Roman"/>
                <w:bCs/>
                <w:sz w:val="22"/>
                <w:szCs w:val="22"/>
              </w:rPr>
              <w:t>BUILDING CONSTRUCTION</w:t>
            </w:r>
          </w:p>
        </w:tc>
        <w:tc>
          <w:tcPr>
            <w:tcW w:w="1123" w:type="dxa"/>
          </w:tcPr>
          <w:p w:rsidR="00C3702E" w:rsidRPr="00E9103C" w:rsidRDefault="00C3702E" w:rsidP="000E7663">
            <w:pPr>
              <w:autoSpaceDE w:val="0"/>
              <w:autoSpaceDN w:val="0"/>
              <w:adjustRightInd w:val="0"/>
              <w:rPr>
                <w:bCs/>
                <w:sz w:val="22"/>
                <w:szCs w:val="22"/>
              </w:rPr>
            </w:pPr>
            <w:r w:rsidRPr="00E9103C">
              <w:rPr>
                <w:bCs/>
                <w:sz w:val="22"/>
                <w:szCs w:val="22"/>
              </w:rPr>
              <w:t>Mean</w:t>
            </w:r>
          </w:p>
        </w:tc>
        <w:tc>
          <w:tcPr>
            <w:tcW w:w="1398"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0.3518</w:t>
            </w:r>
          </w:p>
        </w:tc>
        <w:tc>
          <w:tcPr>
            <w:tcW w:w="1143"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1.0850</w:t>
            </w:r>
          </w:p>
        </w:tc>
        <w:tc>
          <w:tcPr>
            <w:tcW w:w="956"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19.8000</w:t>
            </w:r>
          </w:p>
        </w:tc>
        <w:tc>
          <w:tcPr>
            <w:tcW w:w="1757" w:type="dxa"/>
          </w:tcPr>
          <w:p w:rsidR="00C3702E"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0.3060</w:t>
            </w:r>
          </w:p>
        </w:tc>
      </w:tr>
      <w:tr w:rsidR="00C3702E" w:rsidRPr="00E9103C" w:rsidTr="00E9103C">
        <w:tc>
          <w:tcPr>
            <w:tcW w:w="2148" w:type="dxa"/>
            <w:vMerge/>
          </w:tcPr>
          <w:p w:rsidR="00C3702E" w:rsidRPr="00E9103C" w:rsidRDefault="00C3702E" w:rsidP="00E9103C">
            <w:pPr>
              <w:autoSpaceDE w:val="0"/>
              <w:autoSpaceDN w:val="0"/>
              <w:adjustRightInd w:val="0"/>
              <w:rPr>
                <w:rFonts w:ascii="Times New Roman" w:hAnsi="Times New Roman"/>
                <w:bCs/>
                <w:sz w:val="22"/>
                <w:szCs w:val="22"/>
              </w:rPr>
            </w:pPr>
          </w:p>
        </w:tc>
        <w:tc>
          <w:tcPr>
            <w:tcW w:w="1123" w:type="dxa"/>
          </w:tcPr>
          <w:p w:rsidR="00C3702E" w:rsidRPr="00E9103C" w:rsidRDefault="00C3702E" w:rsidP="000E7663">
            <w:pPr>
              <w:autoSpaceDE w:val="0"/>
              <w:autoSpaceDN w:val="0"/>
              <w:adjustRightInd w:val="0"/>
              <w:rPr>
                <w:bCs/>
                <w:sz w:val="22"/>
                <w:szCs w:val="22"/>
              </w:rPr>
            </w:pPr>
            <w:r>
              <w:rPr>
                <w:bCs/>
                <w:sz w:val="22"/>
                <w:szCs w:val="22"/>
              </w:rPr>
              <w:t>Minimum</w:t>
            </w:r>
          </w:p>
        </w:tc>
        <w:tc>
          <w:tcPr>
            <w:tcW w:w="1398"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-0.4192</w:t>
            </w:r>
          </w:p>
        </w:tc>
        <w:tc>
          <w:tcPr>
            <w:tcW w:w="1143"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-3.1700</w:t>
            </w:r>
          </w:p>
        </w:tc>
        <w:tc>
          <w:tcPr>
            <w:tcW w:w="956"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10.0000</w:t>
            </w:r>
          </w:p>
        </w:tc>
        <w:tc>
          <w:tcPr>
            <w:tcW w:w="1757" w:type="dxa"/>
          </w:tcPr>
          <w:p w:rsidR="00C3702E"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0.0000</w:t>
            </w:r>
          </w:p>
        </w:tc>
      </w:tr>
      <w:tr w:rsidR="00C3702E" w:rsidRPr="00E9103C" w:rsidTr="00E9103C">
        <w:tc>
          <w:tcPr>
            <w:tcW w:w="2148" w:type="dxa"/>
            <w:vMerge/>
          </w:tcPr>
          <w:p w:rsidR="00C3702E" w:rsidRPr="00E9103C" w:rsidRDefault="00C3702E" w:rsidP="00E9103C">
            <w:pPr>
              <w:autoSpaceDE w:val="0"/>
              <w:autoSpaceDN w:val="0"/>
              <w:adjustRightInd w:val="0"/>
              <w:rPr>
                <w:rFonts w:ascii="Times New Roman" w:hAnsi="Times New Roman"/>
                <w:bCs/>
                <w:sz w:val="22"/>
                <w:szCs w:val="22"/>
              </w:rPr>
            </w:pPr>
          </w:p>
        </w:tc>
        <w:tc>
          <w:tcPr>
            <w:tcW w:w="1123" w:type="dxa"/>
          </w:tcPr>
          <w:p w:rsidR="00C3702E" w:rsidRPr="00E9103C" w:rsidRDefault="00C3702E" w:rsidP="000E7663">
            <w:pPr>
              <w:autoSpaceDE w:val="0"/>
              <w:autoSpaceDN w:val="0"/>
              <w:adjustRightInd w:val="0"/>
              <w:rPr>
                <w:bCs/>
                <w:sz w:val="22"/>
                <w:szCs w:val="22"/>
              </w:rPr>
            </w:pPr>
            <w:r>
              <w:rPr>
                <w:bCs/>
                <w:sz w:val="22"/>
                <w:szCs w:val="22"/>
              </w:rPr>
              <w:t>Maximum</w:t>
            </w:r>
          </w:p>
        </w:tc>
        <w:tc>
          <w:tcPr>
            <w:tcW w:w="1398"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1.1027</w:t>
            </w:r>
          </w:p>
        </w:tc>
        <w:tc>
          <w:tcPr>
            <w:tcW w:w="1143"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5.7200</w:t>
            </w:r>
          </w:p>
        </w:tc>
        <w:tc>
          <w:tcPr>
            <w:tcW w:w="956"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32.0000</w:t>
            </w:r>
          </w:p>
        </w:tc>
        <w:tc>
          <w:tcPr>
            <w:tcW w:w="1757" w:type="dxa"/>
          </w:tcPr>
          <w:p w:rsidR="00C3702E"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0.6000</w:t>
            </w:r>
          </w:p>
        </w:tc>
      </w:tr>
      <w:tr w:rsidR="00C3702E" w:rsidRPr="00E9103C" w:rsidTr="00E9103C">
        <w:tc>
          <w:tcPr>
            <w:tcW w:w="2148" w:type="dxa"/>
            <w:vMerge w:val="restart"/>
          </w:tcPr>
          <w:p w:rsidR="00C3702E" w:rsidRPr="00E9103C" w:rsidRDefault="00C3702E" w:rsidP="00E9103C">
            <w:pPr>
              <w:autoSpaceDE w:val="0"/>
              <w:autoSpaceDN w:val="0"/>
              <w:adjustRightInd w:val="0"/>
              <w:rPr>
                <w:rFonts w:ascii="Times New Roman" w:hAnsi="Times New Roman"/>
                <w:bCs/>
                <w:sz w:val="22"/>
                <w:szCs w:val="22"/>
              </w:rPr>
            </w:pPr>
            <w:r>
              <w:rPr>
                <w:rFonts w:ascii="Times New Roman" w:hAnsi="Times New Roman"/>
                <w:bCs/>
                <w:sz w:val="22"/>
                <w:szCs w:val="22"/>
              </w:rPr>
              <w:t>SERVICE</w:t>
            </w:r>
          </w:p>
        </w:tc>
        <w:tc>
          <w:tcPr>
            <w:tcW w:w="1123" w:type="dxa"/>
          </w:tcPr>
          <w:p w:rsidR="00C3702E" w:rsidRPr="00E9103C" w:rsidRDefault="00C3702E" w:rsidP="000E7663">
            <w:pPr>
              <w:autoSpaceDE w:val="0"/>
              <w:autoSpaceDN w:val="0"/>
              <w:adjustRightInd w:val="0"/>
              <w:rPr>
                <w:bCs/>
                <w:sz w:val="22"/>
                <w:szCs w:val="22"/>
              </w:rPr>
            </w:pPr>
            <w:r w:rsidRPr="00E9103C">
              <w:rPr>
                <w:bCs/>
                <w:sz w:val="22"/>
                <w:szCs w:val="22"/>
              </w:rPr>
              <w:t>Mean</w:t>
            </w:r>
          </w:p>
        </w:tc>
        <w:tc>
          <w:tcPr>
            <w:tcW w:w="1398"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0.2139</w:t>
            </w:r>
          </w:p>
        </w:tc>
        <w:tc>
          <w:tcPr>
            <w:tcW w:w="1143"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0.5950</w:t>
            </w:r>
          </w:p>
        </w:tc>
        <w:tc>
          <w:tcPr>
            <w:tcW w:w="956"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15.6700</w:t>
            </w:r>
          </w:p>
        </w:tc>
        <w:tc>
          <w:tcPr>
            <w:tcW w:w="1757" w:type="dxa"/>
          </w:tcPr>
          <w:p w:rsidR="00C3702E"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0.1325</w:t>
            </w:r>
          </w:p>
        </w:tc>
      </w:tr>
      <w:tr w:rsidR="00C3702E" w:rsidRPr="00E9103C" w:rsidTr="00E9103C">
        <w:tc>
          <w:tcPr>
            <w:tcW w:w="2148" w:type="dxa"/>
            <w:vMerge/>
          </w:tcPr>
          <w:p w:rsidR="00C3702E" w:rsidRPr="00E9103C" w:rsidRDefault="00C3702E" w:rsidP="00E9103C">
            <w:pPr>
              <w:autoSpaceDE w:val="0"/>
              <w:autoSpaceDN w:val="0"/>
              <w:adjustRightInd w:val="0"/>
              <w:rPr>
                <w:rFonts w:ascii="Times New Roman" w:hAnsi="Times New Roman"/>
                <w:bCs/>
                <w:sz w:val="22"/>
                <w:szCs w:val="22"/>
              </w:rPr>
            </w:pPr>
          </w:p>
        </w:tc>
        <w:tc>
          <w:tcPr>
            <w:tcW w:w="1123" w:type="dxa"/>
          </w:tcPr>
          <w:p w:rsidR="00C3702E" w:rsidRPr="00E9103C" w:rsidRDefault="00C3702E" w:rsidP="000E7663">
            <w:pPr>
              <w:autoSpaceDE w:val="0"/>
              <w:autoSpaceDN w:val="0"/>
              <w:adjustRightInd w:val="0"/>
              <w:rPr>
                <w:bCs/>
                <w:sz w:val="22"/>
                <w:szCs w:val="22"/>
              </w:rPr>
            </w:pPr>
            <w:r>
              <w:rPr>
                <w:bCs/>
                <w:sz w:val="22"/>
                <w:szCs w:val="22"/>
              </w:rPr>
              <w:t>Minimum</w:t>
            </w:r>
          </w:p>
        </w:tc>
        <w:tc>
          <w:tcPr>
            <w:tcW w:w="1398"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-0.0184</w:t>
            </w:r>
          </w:p>
        </w:tc>
        <w:tc>
          <w:tcPr>
            <w:tcW w:w="1143"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-4.3500</w:t>
            </w:r>
          </w:p>
        </w:tc>
        <w:tc>
          <w:tcPr>
            <w:tcW w:w="956"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1.0000</w:t>
            </w:r>
          </w:p>
        </w:tc>
        <w:tc>
          <w:tcPr>
            <w:tcW w:w="1757" w:type="dxa"/>
          </w:tcPr>
          <w:p w:rsidR="00C3702E"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0.0000</w:t>
            </w:r>
          </w:p>
        </w:tc>
      </w:tr>
      <w:tr w:rsidR="00C3702E" w:rsidRPr="00E9103C" w:rsidTr="00E9103C">
        <w:tc>
          <w:tcPr>
            <w:tcW w:w="2148" w:type="dxa"/>
            <w:vMerge/>
          </w:tcPr>
          <w:p w:rsidR="00C3702E" w:rsidRPr="00E9103C" w:rsidRDefault="00C3702E" w:rsidP="00E9103C">
            <w:pPr>
              <w:autoSpaceDE w:val="0"/>
              <w:autoSpaceDN w:val="0"/>
              <w:adjustRightInd w:val="0"/>
              <w:rPr>
                <w:rFonts w:ascii="Times New Roman" w:hAnsi="Times New Roman"/>
                <w:bCs/>
                <w:sz w:val="22"/>
                <w:szCs w:val="22"/>
              </w:rPr>
            </w:pPr>
          </w:p>
        </w:tc>
        <w:tc>
          <w:tcPr>
            <w:tcW w:w="1123" w:type="dxa"/>
          </w:tcPr>
          <w:p w:rsidR="00C3702E" w:rsidRPr="00E9103C" w:rsidRDefault="00C3702E" w:rsidP="000E7663">
            <w:pPr>
              <w:autoSpaceDE w:val="0"/>
              <w:autoSpaceDN w:val="0"/>
              <w:adjustRightInd w:val="0"/>
              <w:rPr>
                <w:bCs/>
                <w:sz w:val="22"/>
                <w:szCs w:val="22"/>
              </w:rPr>
            </w:pPr>
            <w:r>
              <w:rPr>
                <w:bCs/>
                <w:sz w:val="22"/>
                <w:szCs w:val="22"/>
              </w:rPr>
              <w:t>Maximum</w:t>
            </w:r>
          </w:p>
        </w:tc>
        <w:tc>
          <w:tcPr>
            <w:tcW w:w="1398"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0.5010</w:t>
            </w:r>
          </w:p>
        </w:tc>
        <w:tc>
          <w:tcPr>
            <w:tcW w:w="1143"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2.6100</w:t>
            </w:r>
          </w:p>
        </w:tc>
        <w:tc>
          <w:tcPr>
            <w:tcW w:w="956"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34.0000</w:t>
            </w:r>
          </w:p>
        </w:tc>
        <w:tc>
          <w:tcPr>
            <w:tcW w:w="1757" w:type="dxa"/>
          </w:tcPr>
          <w:p w:rsidR="00C3702E"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0.4000</w:t>
            </w:r>
          </w:p>
        </w:tc>
      </w:tr>
      <w:tr w:rsidR="00C3702E" w:rsidRPr="00E9103C" w:rsidTr="00E9103C">
        <w:tc>
          <w:tcPr>
            <w:tcW w:w="2148" w:type="dxa"/>
            <w:vMerge w:val="restart"/>
          </w:tcPr>
          <w:p w:rsidR="00C3702E" w:rsidRPr="00E9103C" w:rsidRDefault="00C3702E" w:rsidP="00E9103C">
            <w:pPr>
              <w:autoSpaceDE w:val="0"/>
              <w:autoSpaceDN w:val="0"/>
              <w:adjustRightInd w:val="0"/>
              <w:rPr>
                <w:rFonts w:ascii="Times New Roman" w:hAnsi="Times New Roman"/>
                <w:bCs/>
                <w:sz w:val="22"/>
                <w:szCs w:val="22"/>
              </w:rPr>
            </w:pPr>
            <w:r>
              <w:rPr>
                <w:rFonts w:ascii="Times New Roman" w:hAnsi="Times New Roman"/>
                <w:bCs/>
                <w:sz w:val="22"/>
                <w:szCs w:val="22"/>
              </w:rPr>
              <w:t>CONGLOMERATE</w:t>
            </w:r>
          </w:p>
        </w:tc>
        <w:tc>
          <w:tcPr>
            <w:tcW w:w="1123" w:type="dxa"/>
          </w:tcPr>
          <w:p w:rsidR="00C3702E" w:rsidRPr="00E9103C" w:rsidRDefault="00C3702E" w:rsidP="000E7663">
            <w:pPr>
              <w:autoSpaceDE w:val="0"/>
              <w:autoSpaceDN w:val="0"/>
              <w:adjustRightInd w:val="0"/>
              <w:rPr>
                <w:bCs/>
                <w:sz w:val="22"/>
                <w:szCs w:val="22"/>
              </w:rPr>
            </w:pPr>
            <w:r w:rsidRPr="00E9103C">
              <w:rPr>
                <w:bCs/>
                <w:sz w:val="22"/>
                <w:szCs w:val="22"/>
              </w:rPr>
              <w:t>Mean</w:t>
            </w:r>
          </w:p>
        </w:tc>
        <w:tc>
          <w:tcPr>
            <w:tcW w:w="1398"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0.1436</w:t>
            </w:r>
          </w:p>
        </w:tc>
        <w:tc>
          <w:tcPr>
            <w:tcW w:w="1143"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1.8814</w:t>
            </w:r>
          </w:p>
        </w:tc>
        <w:tc>
          <w:tcPr>
            <w:tcW w:w="956"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31.2900</w:t>
            </w:r>
          </w:p>
        </w:tc>
        <w:tc>
          <w:tcPr>
            <w:tcW w:w="1757" w:type="dxa"/>
          </w:tcPr>
          <w:p w:rsidR="00C3702E"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0.4650</w:t>
            </w:r>
          </w:p>
        </w:tc>
      </w:tr>
      <w:tr w:rsidR="00C3702E" w:rsidRPr="00E9103C" w:rsidTr="00E9103C">
        <w:tc>
          <w:tcPr>
            <w:tcW w:w="2148" w:type="dxa"/>
            <w:vMerge/>
          </w:tcPr>
          <w:p w:rsidR="00C3702E" w:rsidRPr="00E9103C" w:rsidRDefault="00C3702E" w:rsidP="00E9103C">
            <w:pPr>
              <w:autoSpaceDE w:val="0"/>
              <w:autoSpaceDN w:val="0"/>
              <w:adjustRightInd w:val="0"/>
              <w:rPr>
                <w:rFonts w:ascii="Times New Roman" w:hAnsi="Times New Roman"/>
                <w:bCs/>
                <w:sz w:val="22"/>
                <w:szCs w:val="22"/>
              </w:rPr>
            </w:pPr>
          </w:p>
        </w:tc>
        <w:tc>
          <w:tcPr>
            <w:tcW w:w="1123" w:type="dxa"/>
          </w:tcPr>
          <w:p w:rsidR="00C3702E" w:rsidRPr="00E9103C" w:rsidRDefault="00C3702E" w:rsidP="000E7663">
            <w:pPr>
              <w:autoSpaceDE w:val="0"/>
              <w:autoSpaceDN w:val="0"/>
              <w:adjustRightInd w:val="0"/>
              <w:rPr>
                <w:bCs/>
                <w:sz w:val="22"/>
                <w:szCs w:val="22"/>
              </w:rPr>
            </w:pPr>
            <w:r>
              <w:rPr>
                <w:bCs/>
                <w:sz w:val="22"/>
                <w:szCs w:val="22"/>
              </w:rPr>
              <w:t>Minimum</w:t>
            </w:r>
          </w:p>
        </w:tc>
        <w:tc>
          <w:tcPr>
            <w:tcW w:w="1398"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-0.5363</w:t>
            </w:r>
          </w:p>
        </w:tc>
        <w:tc>
          <w:tcPr>
            <w:tcW w:w="1143"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0.5500</w:t>
            </w:r>
          </w:p>
        </w:tc>
        <w:tc>
          <w:tcPr>
            <w:tcW w:w="956"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28.0000</w:t>
            </w:r>
          </w:p>
        </w:tc>
        <w:tc>
          <w:tcPr>
            <w:tcW w:w="1757" w:type="dxa"/>
          </w:tcPr>
          <w:p w:rsidR="00C3702E"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0.20000</w:t>
            </w:r>
          </w:p>
        </w:tc>
      </w:tr>
      <w:tr w:rsidR="00C3702E" w:rsidRPr="00E9103C" w:rsidTr="00E9103C">
        <w:tc>
          <w:tcPr>
            <w:tcW w:w="2148" w:type="dxa"/>
            <w:vMerge/>
          </w:tcPr>
          <w:p w:rsidR="00C3702E" w:rsidRPr="00E9103C" w:rsidRDefault="00C3702E" w:rsidP="00E9103C">
            <w:pPr>
              <w:autoSpaceDE w:val="0"/>
              <w:autoSpaceDN w:val="0"/>
              <w:adjustRightInd w:val="0"/>
              <w:rPr>
                <w:rFonts w:ascii="Times New Roman" w:hAnsi="Times New Roman"/>
                <w:bCs/>
                <w:sz w:val="22"/>
                <w:szCs w:val="22"/>
              </w:rPr>
            </w:pPr>
          </w:p>
        </w:tc>
        <w:tc>
          <w:tcPr>
            <w:tcW w:w="1123" w:type="dxa"/>
          </w:tcPr>
          <w:p w:rsidR="00C3702E" w:rsidRPr="00E9103C" w:rsidRDefault="00C3702E" w:rsidP="000E7663">
            <w:pPr>
              <w:autoSpaceDE w:val="0"/>
              <w:autoSpaceDN w:val="0"/>
              <w:adjustRightInd w:val="0"/>
              <w:rPr>
                <w:bCs/>
                <w:sz w:val="22"/>
                <w:szCs w:val="22"/>
              </w:rPr>
            </w:pPr>
            <w:r>
              <w:rPr>
                <w:bCs/>
                <w:sz w:val="22"/>
                <w:szCs w:val="22"/>
              </w:rPr>
              <w:t>Maximum</w:t>
            </w:r>
          </w:p>
        </w:tc>
        <w:tc>
          <w:tcPr>
            <w:tcW w:w="1398"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1.0752</w:t>
            </w:r>
          </w:p>
        </w:tc>
        <w:tc>
          <w:tcPr>
            <w:tcW w:w="1143"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3.7100</w:t>
            </w:r>
          </w:p>
        </w:tc>
        <w:tc>
          <w:tcPr>
            <w:tcW w:w="956"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35.0000</w:t>
            </w:r>
          </w:p>
        </w:tc>
        <w:tc>
          <w:tcPr>
            <w:tcW w:w="1757" w:type="dxa"/>
          </w:tcPr>
          <w:p w:rsidR="00C3702E"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0.6100</w:t>
            </w:r>
          </w:p>
        </w:tc>
      </w:tr>
      <w:tr w:rsidR="00C3702E" w:rsidRPr="00E9103C" w:rsidTr="00E9103C">
        <w:tc>
          <w:tcPr>
            <w:tcW w:w="2148" w:type="dxa"/>
            <w:vMerge w:val="restart"/>
          </w:tcPr>
          <w:p w:rsidR="00C3702E" w:rsidRPr="00E9103C" w:rsidRDefault="00C3702E" w:rsidP="00E9103C">
            <w:pPr>
              <w:autoSpaceDE w:val="0"/>
              <w:autoSpaceDN w:val="0"/>
              <w:adjustRightInd w:val="0"/>
              <w:rPr>
                <w:rFonts w:ascii="Times New Roman" w:hAnsi="Times New Roman"/>
                <w:bCs/>
                <w:sz w:val="22"/>
                <w:szCs w:val="22"/>
              </w:rPr>
            </w:pPr>
            <w:r>
              <w:rPr>
                <w:rFonts w:ascii="Times New Roman" w:hAnsi="Times New Roman"/>
                <w:bCs/>
                <w:sz w:val="22"/>
                <w:szCs w:val="22"/>
              </w:rPr>
              <w:t>PETROLEUM MARKETING</w:t>
            </w:r>
          </w:p>
        </w:tc>
        <w:tc>
          <w:tcPr>
            <w:tcW w:w="1123" w:type="dxa"/>
          </w:tcPr>
          <w:p w:rsidR="00C3702E" w:rsidRPr="00E9103C" w:rsidRDefault="00C3702E" w:rsidP="000E7663">
            <w:pPr>
              <w:autoSpaceDE w:val="0"/>
              <w:autoSpaceDN w:val="0"/>
              <w:adjustRightInd w:val="0"/>
              <w:rPr>
                <w:bCs/>
                <w:sz w:val="22"/>
                <w:szCs w:val="22"/>
              </w:rPr>
            </w:pPr>
            <w:r w:rsidRPr="00E9103C">
              <w:rPr>
                <w:bCs/>
                <w:sz w:val="22"/>
                <w:szCs w:val="22"/>
              </w:rPr>
              <w:t>Mean</w:t>
            </w:r>
          </w:p>
        </w:tc>
        <w:tc>
          <w:tcPr>
            <w:tcW w:w="1398"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0.5502</w:t>
            </w:r>
          </w:p>
        </w:tc>
        <w:tc>
          <w:tcPr>
            <w:tcW w:w="1143"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5.6000</w:t>
            </w:r>
          </w:p>
        </w:tc>
        <w:tc>
          <w:tcPr>
            <w:tcW w:w="956"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21.2900</w:t>
            </w:r>
          </w:p>
        </w:tc>
        <w:tc>
          <w:tcPr>
            <w:tcW w:w="1757" w:type="dxa"/>
          </w:tcPr>
          <w:p w:rsidR="00C3702E"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0.5357</w:t>
            </w:r>
          </w:p>
        </w:tc>
      </w:tr>
      <w:tr w:rsidR="00C3702E" w:rsidRPr="00E9103C" w:rsidTr="00E9103C">
        <w:tc>
          <w:tcPr>
            <w:tcW w:w="2148" w:type="dxa"/>
            <w:vMerge/>
          </w:tcPr>
          <w:p w:rsidR="00C3702E" w:rsidRPr="00E9103C" w:rsidRDefault="00C3702E" w:rsidP="00E9103C">
            <w:pPr>
              <w:autoSpaceDE w:val="0"/>
              <w:autoSpaceDN w:val="0"/>
              <w:adjustRightInd w:val="0"/>
              <w:rPr>
                <w:rFonts w:ascii="Times New Roman" w:hAnsi="Times New Roman"/>
                <w:bCs/>
                <w:sz w:val="22"/>
                <w:szCs w:val="22"/>
              </w:rPr>
            </w:pPr>
          </w:p>
        </w:tc>
        <w:tc>
          <w:tcPr>
            <w:tcW w:w="1123" w:type="dxa"/>
          </w:tcPr>
          <w:p w:rsidR="00C3702E" w:rsidRPr="00E9103C" w:rsidRDefault="00C3702E" w:rsidP="000E7663">
            <w:pPr>
              <w:autoSpaceDE w:val="0"/>
              <w:autoSpaceDN w:val="0"/>
              <w:adjustRightInd w:val="0"/>
              <w:rPr>
                <w:bCs/>
                <w:sz w:val="22"/>
                <w:szCs w:val="22"/>
              </w:rPr>
            </w:pPr>
            <w:r>
              <w:rPr>
                <w:bCs/>
                <w:sz w:val="22"/>
                <w:szCs w:val="22"/>
              </w:rPr>
              <w:t>Minimum</w:t>
            </w:r>
          </w:p>
        </w:tc>
        <w:tc>
          <w:tcPr>
            <w:tcW w:w="1398"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0.1683</w:t>
            </w:r>
          </w:p>
        </w:tc>
        <w:tc>
          <w:tcPr>
            <w:tcW w:w="1143"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1.9700</w:t>
            </w:r>
          </w:p>
        </w:tc>
        <w:tc>
          <w:tcPr>
            <w:tcW w:w="956"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8.0000</w:t>
            </w:r>
          </w:p>
        </w:tc>
        <w:tc>
          <w:tcPr>
            <w:tcW w:w="1757" w:type="dxa"/>
          </w:tcPr>
          <w:p w:rsidR="00C3702E"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0.2500</w:t>
            </w:r>
          </w:p>
        </w:tc>
      </w:tr>
      <w:tr w:rsidR="00C3702E" w:rsidRPr="00E9103C" w:rsidTr="00E9103C">
        <w:tc>
          <w:tcPr>
            <w:tcW w:w="2148" w:type="dxa"/>
            <w:vMerge/>
          </w:tcPr>
          <w:p w:rsidR="00C3702E" w:rsidRPr="00E9103C" w:rsidRDefault="00C3702E" w:rsidP="00E9103C">
            <w:pPr>
              <w:autoSpaceDE w:val="0"/>
              <w:autoSpaceDN w:val="0"/>
              <w:adjustRightInd w:val="0"/>
              <w:rPr>
                <w:rFonts w:ascii="Times New Roman" w:hAnsi="Times New Roman"/>
                <w:bCs/>
                <w:sz w:val="22"/>
                <w:szCs w:val="22"/>
              </w:rPr>
            </w:pPr>
          </w:p>
        </w:tc>
        <w:tc>
          <w:tcPr>
            <w:tcW w:w="1123" w:type="dxa"/>
          </w:tcPr>
          <w:p w:rsidR="00C3702E" w:rsidRPr="00E9103C" w:rsidRDefault="00C3702E" w:rsidP="000E7663">
            <w:pPr>
              <w:autoSpaceDE w:val="0"/>
              <w:autoSpaceDN w:val="0"/>
              <w:adjustRightInd w:val="0"/>
              <w:rPr>
                <w:bCs/>
                <w:sz w:val="22"/>
                <w:szCs w:val="22"/>
              </w:rPr>
            </w:pPr>
            <w:r>
              <w:rPr>
                <w:bCs/>
                <w:sz w:val="22"/>
                <w:szCs w:val="22"/>
              </w:rPr>
              <w:t>Maximum</w:t>
            </w:r>
          </w:p>
        </w:tc>
        <w:tc>
          <w:tcPr>
            <w:tcW w:w="1398"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0.9928</w:t>
            </w:r>
          </w:p>
        </w:tc>
        <w:tc>
          <w:tcPr>
            <w:tcW w:w="1143"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10.8600</w:t>
            </w:r>
          </w:p>
        </w:tc>
        <w:tc>
          <w:tcPr>
            <w:tcW w:w="956"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28.0000</w:t>
            </w:r>
          </w:p>
        </w:tc>
        <w:tc>
          <w:tcPr>
            <w:tcW w:w="1757" w:type="dxa"/>
          </w:tcPr>
          <w:p w:rsidR="00C3702E"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0.7400</w:t>
            </w:r>
          </w:p>
        </w:tc>
      </w:tr>
      <w:tr w:rsidR="00C3702E" w:rsidRPr="00E9103C" w:rsidTr="00E9103C">
        <w:tc>
          <w:tcPr>
            <w:tcW w:w="2148" w:type="dxa"/>
            <w:vMerge w:val="restart"/>
          </w:tcPr>
          <w:p w:rsidR="00C3702E" w:rsidRPr="00E9103C" w:rsidRDefault="00C3702E" w:rsidP="00E9103C">
            <w:pPr>
              <w:autoSpaceDE w:val="0"/>
              <w:autoSpaceDN w:val="0"/>
              <w:adjustRightInd w:val="0"/>
              <w:rPr>
                <w:rFonts w:ascii="Times New Roman" w:hAnsi="Times New Roman"/>
                <w:bCs/>
                <w:sz w:val="22"/>
                <w:szCs w:val="22"/>
              </w:rPr>
            </w:pPr>
            <w:r>
              <w:rPr>
                <w:rFonts w:ascii="Times New Roman" w:hAnsi="Times New Roman"/>
                <w:bCs/>
                <w:sz w:val="22"/>
                <w:szCs w:val="22"/>
              </w:rPr>
              <w:t>INSURANCE AND MORTGAGE</w:t>
            </w:r>
          </w:p>
        </w:tc>
        <w:tc>
          <w:tcPr>
            <w:tcW w:w="1123" w:type="dxa"/>
          </w:tcPr>
          <w:p w:rsidR="00C3702E" w:rsidRPr="00E9103C" w:rsidRDefault="00C3702E" w:rsidP="000E7663">
            <w:pPr>
              <w:autoSpaceDE w:val="0"/>
              <w:autoSpaceDN w:val="0"/>
              <w:adjustRightInd w:val="0"/>
              <w:rPr>
                <w:bCs/>
                <w:sz w:val="22"/>
                <w:szCs w:val="22"/>
              </w:rPr>
            </w:pPr>
            <w:r w:rsidRPr="00E9103C">
              <w:rPr>
                <w:bCs/>
                <w:sz w:val="22"/>
                <w:szCs w:val="22"/>
              </w:rPr>
              <w:t>Mean</w:t>
            </w:r>
          </w:p>
        </w:tc>
        <w:tc>
          <w:tcPr>
            <w:tcW w:w="1398"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0.1403</w:t>
            </w:r>
          </w:p>
        </w:tc>
        <w:tc>
          <w:tcPr>
            <w:tcW w:w="1143"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2.9217</w:t>
            </w:r>
          </w:p>
        </w:tc>
        <w:tc>
          <w:tcPr>
            <w:tcW w:w="956"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13.8300</w:t>
            </w:r>
          </w:p>
        </w:tc>
        <w:tc>
          <w:tcPr>
            <w:tcW w:w="1757" w:type="dxa"/>
          </w:tcPr>
          <w:p w:rsidR="00C3702E"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0.0675</w:t>
            </w:r>
          </w:p>
        </w:tc>
      </w:tr>
      <w:tr w:rsidR="00C3702E" w:rsidRPr="00E9103C" w:rsidTr="00E9103C">
        <w:tc>
          <w:tcPr>
            <w:tcW w:w="2148" w:type="dxa"/>
            <w:vMerge/>
          </w:tcPr>
          <w:p w:rsidR="00C3702E" w:rsidRPr="00E9103C" w:rsidRDefault="00C3702E" w:rsidP="00E9103C">
            <w:pPr>
              <w:autoSpaceDE w:val="0"/>
              <w:autoSpaceDN w:val="0"/>
              <w:adjustRightInd w:val="0"/>
              <w:rPr>
                <w:rFonts w:ascii="Times New Roman" w:hAnsi="Times New Roman"/>
                <w:bCs/>
                <w:sz w:val="22"/>
                <w:szCs w:val="22"/>
              </w:rPr>
            </w:pPr>
          </w:p>
        </w:tc>
        <w:tc>
          <w:tcPr>
            <w:tcW w:w="1123" w:type="dxa"/>
          </w:tcPr>
          <w:p w:rsidR="00C3702E" w:rsidRPr="00E9103C" w:rsidRDefault="00C3702E" w:rsidP="000E7663">
            <w:pPr>
              <w:autoSpaceDE w:val="0"/>
              <w:autoSpaceDN w:val="0"/>
              <w:adjustRightInd w:val="0"/>
              <w:rPr>
                <w:bCs/>
                <w:sz w:val="22"/>
                <w:szCs w:val="22"/>
              </w:rPr>
            </w:pPr>
            <w:r>
              <w:rPr>
                <w:bCs/>
                <w:sz w:val="22"/>
                <w:szCs w:val="22"/>
              </w:rPr>
              <w:t>Minimum</w:t>
            </w:r>
          </w:p>
        </w:tc>
        <w:tc>
          <w:tcPr>
            <w:tcW w:w="1398"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0.0368</w:t>
            </w:r>
          </w:p>
        </w:tc>
        <w:tc>
          <w:tcPr>
            <w:tcW w:w="1143"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0.2800</w:t>
            </w:r>
          </w:p>
        </w:tc>
        <w:tc>
          <w:tcPr>
            <w:tcW w:w="956"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2.0000</w:t>
            </w:r>
          </w:p>
        </w:tc>
        <w:tc>
          <w:tcPr>
            <w:tcW w:w="1757" w:type="dxa"/>
          </w:tcPr>
          <w:p w:rsidR="00C3702E"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0.0000</w:t>
            </w:r>
          </w:p>
        </w:tc>
      </w:tr>
      <w:tr w:rsidR="00C3702E" w:rsidRPr="00E9103C" w:rsidTr="00E9103C">
        <w:tc>
          <w:tcPr>
            <w:tcW w:w="2148" w:type="dxa"/>
            <w:vMerge/>
          </w:tcPr>
          <w:p w:rsidR="00C3702E" w:rsidRPr="00E9103C" w:rsidRDefault="00C3702E" w:rsidP="00E9103C">
            <w:pPr>
              <w:autoSpaceDE w:val="0"/>
              <w:autoSpaceDN w:val="0"/>
              <w:adjustRightInd w:val="0"/>
              <w:rPr>
                <w:rFonts w:ascii="Times New Roman" w:hAnsi="Times New Roman"/>
                <w:bCs/>
                <w:sz w:val="22"/>
                <w:szCs w:val="22"/>
              </w:rPr>
            </w:pPr>
          </w:p>
        </w:tc>
        <w:tc>
          <w:tcPr>
            <w:tcW w:w="1123" w:type="dxa"/>
          </w:tcPr>
          <w:p w:rsidR="00C3702E" w:rsidRPr="00E9103C" w:rsidRDefault="00C3702E" w:rsidP="000E7663">
            <w:pPr>
              <w:autoSpaceDE w:val="0"/>
              <w:autoSpaceDN w:val="0"/>
              <w:adjustRightInd w:val="0"/>
              <w:rPr>
                <w:bCs/>
                <w:sz w:val="22"/>
                <w:szCs w:val="22"/>
              </w:rPr>
            </w:pPr>
            <w:r>
              <w:rPr>
                <w:bCs/>
                <w:sz w:val="22"/>
                <w:szCs w:val="22"/>
              </w:rPr>
              <w:t>Maximum</w:t>
            </w:r>
          </w:p>
        </w:tc>
        <w:tc>
          <w:tcPr>
            <w:tcW w:w="1398"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0.3191</w:t>
            </w:r>
          </w:p>
        </w:tc>
        <w:tc>
          <w:tcPr>
            <w:tcW w:w="1143"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23.7900</w:t>
            </w:r>
          </w:p>
        </w:tc>
        <w:tc>
          <w:tcPr>
            <w:tcW w:w="956"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28.0000</w:t>
            </w:r>
          </w:p>
        </w:tc>
        <w:tc>
          <w:tcPr>
            <w:tcW w:w="1757" w:type="dxa"/>
          </w:tcPr>
          <w:p w:rsidR="00C3702E"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0.5100</w:t>
            </w:r>
          </w:p>
        </w:tc>
      </w:tr>
      <w:tr w:rsidR="00C3702E" w:rsidRPr="00E9103C" w:rsidTr="00E9103C">
        <w:tc>
          <w:tcPr>
            <w:tcW w:w="2148" w:type="dxa"/>
          </w:tcPr>
          <w:p w:rsidR="00C3702E" w:rsidRPr="00E9103C" w:rsidRDefault="00C3702E" w:rsidP="00E9103C">
            <w:pPr>
              <w:autoSpaceDE w:val="0"/>
              <w:autoSpaceDN w:val="0"/>
              <w:adjustRightInd w:val="0"/>
              <w:rPr>
                <w:rFonts w:ascii="Times New Roman" w:hAnsi="Times New Roman"/>
                <w:bCs/>
                <w:sz w:val="22"/>
                <w:szCs w:val="22"/>
              </w:rPr>
            </w:pPr>
            <w:r>
              <w:rPr>
                <w:rFonts w:ascii="Times New Roman" w:hAnsi="Times New Roman"/>
                <w:bCs/>
                <w:sz w:val="22"/>
                <w:szCs w:val="22"/>
              </w:rPr>
              <w:t>TOTAL</w:t>
            </w:r>
          </w:p>
        </w:tc>
        <w:tc>
          <w:tcPr>
            <w:tcW w:w="1123" w:type="dxa"/>
          </w:tcPr>
          <w:p w:rsidR="00C3702E" w:rsidRPr="00E9103C" w:rsidRDefault="00C3702E" w:rsidP="000E7663">
            <w:pPr>
              <w:autoSpaceDE w:val="0"/>
              <w:autoSpaceDN w:val="0"/>
              <w:adjustRightInd w:val="0"/>
              <w:rPr>
                <w:bCs/>
                <w:sz w:val="22"/>
                <w:szCs w:val="22"/>
              </w:rPr>
            </w:pPr>
            <w:r w:rsidRPr="00E9103C">
              <w:rPr>
                <w:bCs/>
                <w:sz w:val="22"/>
                <w:szCs w:val="22"/>
              </w:rPr>
              <w:t>Mean</w:t>
            </w:r>
          </w:p>
        </w:tc>
        <w:tc>
          <w:tcPr>
            <w:tcW w:w="1398"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0.2072</w:t>
            </w:r>
          </w:p>
        </w:tc>
        <w:tc>
          <w:tcPr>
            <w:tcW w:w="1143"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2.9380</w:t>
            </w:r>
          </w:p>
        </w:tc>
        <w:tc>
          <w:tcPr>
            <w:tcW w:w="956"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19.2700</w:t>
            </w:r>
          </w:p>
        </w:tc>
        <w:tc>
          <w:tcPr>
            <w:tcW w:w="1757" w:type="dxa"/>
          </w:tcPr>
          <w:p w:rsidR="00C3702E"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0.2789</w:t>
            </w:r>
          </w:p>
        </w:tc>
      </w:tr>
      <w:tr w:rsidR="00C3702E" w:rsidRPr="00E9103C" w:rsidTr="00E9103C">
        <w:tc>
          <w:tcPr>
            <w:tcW w:w="2148" w:type="dxa"/>
          </w:tcPr>
          <w:p w:rsidR="00C3702E" w:rsidRPr="00E9103C" w:rsidRDefault="00C3702E" w:rsidP="00E9103C">
            <w:pPr>
              <w:autoSpaceDE w:val="0"/>
              <w:autoSpaceDN w:val="0"/>
              <w:adjustRightInd w:val="0"/>
              <w:rPr>
                <w:rFonts w:ascii="Times New Roman" w:hAnsi="Times New Roman"/>
                <w:bCs/>
                <w:sz w:val="22"/>
                <w:szCs w:val="22"/>
              </w:rPr>
            </w:pPr>
          </w:p>
        </w:tc>
        <w:tc>
          <w:tcPr>
            <w:tcW w:w="1123" w:type="dxa"/>
          </w:tcPr>
          <w:p w:rsidR="00C3702E" w:rsidRPr="00E9103C" w:rsidRDefault="00C3702E" w:rsidP="000E7663">
            <w:pPr>
              <w:autoSpaceDE w:val="0"/>
              <w:autoSpaceDN w:val="0"/>
              <w:adjustRightInd w:val="0"/>
              <w:rPr>
                <w:bCs/>
                <w:sz w:val="22"/>
                <w:szCs w:val="22"/>
              </w:rPr>
            </w:pPr>
            <w:r>
              <w:rPr>
                <w:bCs/>
                <w:sz w:val="22"/>
                <w:szCs w:val="22"/>
              </w:rPr>
              <w:t>Minimum</w:t>
            </w:r>
          </w:p>
        </w:tc>
        <w:tc>
          <w:tcPr>
            <w:tcW w:w="1398"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-2.1204</w:t>
            </w:r>
          </w:p>
        </w:tc>
        <w:tc>
          <w:tcPr>
            <w:tcW w:w="1143"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-4.3500</w:t>
            </w:r>
          </w:p>
        </w:tc>
        <w:tc>
          <w:tcPr>
            <w:tcW w:w="956" w:type="dxa"/>
          </w:tcPr>
          <w:p w:rsidR="00C3702E" w:rsidRPr="00E9103C" w:rsidRDefault="00A24D2E"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1.0000</w:t>
            </w:r>
          </w:p>
        </w:tc>
        <w:tc>
          <w:tcPr>
            <w:tcW w:w="1757" w:type="dxa"/>
          </w:tcPr>
          <w:p w:rsidR="00C3702E" w:rsidRPr="00E9103C" w:rsidRDefault="003015F5" w:rsidP="00FF5EDF">
            <w:pPr>
              <w:autoSpaceDE w:val="0"/>
              <w:autoSpaceDN w:val="0"/>
              <w:adjustRightInd w:val="0"/>
              <w:jc w:val="center"/>
              <w:rPr>
                <w:rFonts w:ascii="Times New Roman" w:hAnsi="Times New Roman"/>
                <w:bCs/>
                <w:sz w:val="22"/>
                <w:szCs w:val="22"/>
              </w:rPr>
            </w:pPr>
            <w:r>
              <w:rPr>
                <w:rFonts w:ascii="Times New Roman" w:hAnsi="Times New Roman"/>
                <w:bCs/>
                <w:sz w:val="22"/>
                <w:szCs w:val="22"/>
              </w:rPr>
              <w:t>0.0000</w:t>
            </w:r>
          </w:p>
        </w:tc>
      </w:tr>
      <w:tr w:rsidR="00C3702E" w:rsidRPr="00E9103C" w:rsidTr="00E9103C">
        <w:tc>
          <w:tcPr>
            <w:tcW w:w="2148" w:type="dxa"/>
          </w:tcPr>
          <w:p w:rsidR="00C3702E" w:rsidRPr="00E9103C" w:rsidRDefault="00C3702E" w:rsidP="00E9103C">
            <w:pPr>
              <w:autoSpaceDE w:val="0"/>
              <w:autoSpaceDN w:val="0"/>
              <w:adjustRightInd w:val="0"/>
              <w:rPr>
                <w:bCs/>
                <w:sz w:val="22"/>
                <w:szCs w:val="22"/>
              </w:rPr>
            </w:pPr>
          </w:p>
        </w:tc>
        <w:tc>
          <w:tcPr>
            <w:tcW w:w="1123" w:type="dxa"/>
          </w:tcPr>
          <w:p w:rsidR="00C3702E" w:rsidRPr="00E9103C" w:rsidRDefault="00C3702E" w:rsidP="000E7663">
            <w:pPr>
              <w:autoSpaceDE w:val="0"/>
              <w:autoSpaceDN w:val="0"/>
              <w:adjustRightInd w:val="0"/>
              <w:rPr>
                <w:bCs/>
                <w:sz w:val="22"/>
                <w:szCs w:val="22"/>
              </w:rPr>
            </w:pPr>
            <w:r>
              <w:rPr>
                <w:bCs/>
                <w:sz w:val="22"/>
                <w:szCs w:val="22"/>
              </w:rPr>
              <w:t>Maximum</w:t>
            </w:r>
          </w:p>
        </w:tc>
        <w:tc>
          <w:tcPr>
            <w:tcW w:w="1398" w:type="dxa"/>
          </w:tcPr>
          <w:p w:rsidR="00C3702E" w:rsidRPr="00E9103C" w:rsidRDefault="00A24D2E" w:rsidP="00FF5EDF">
            <w:pPr>
              <w:autoSpaceDE w:val="0"/>
              <w:autoSpaceDN w:val="0"/>
              <w:adjustRightInd w:val="0"/>
              <w:jc w:val="center"/>
              <w:rPr>
                <w:bCs/>
                <w:sz w:val="22"/>
                <w:szCs w:val="22"/>
              </w:rPr>
            </w:pPr>
            <w:r>
              <w:rPr>
                <w:bCs/>
                <w:sz w:val="22"/>
                <w:szCs w:val="22"/>
              </w:rPr>
              <w:t>1.1027</w:t>
            </w:r>
          </w:p>
        </w:tc>
        <w:tc>
          <w:tcPr>
            <w:tcW w:w="1143" w:type="dxa"/>
          </w:tcPr>
          <w:p w:rsidR="00C3702E" w:rsidRPr="00E9103C" w:rsidRDefault="00A24D2E" w:rsidP="00FF5EDF">
            <w:pPr>
              <w:autoSpaceDE w:val="0"/>
              <w:autoSpaceDN w:val="0"/>
              <w:adjustRightInd w:val="0"/>
              <w:jc w:val="center"/>
              <w:rPr>
                <w:bCs/>
                <w:sz w:val="22"/>
                <w:szCs w:val="22"/>
              </w:rPr>
            </w:pPr>
            <w:r>
              <w:rPr>
                <w:bCs/>
                <w:sz w:val="22"/>
                <w:szCs w:val="22"/>
              </w:rPr>
              <w:t>23.7900</w:t>
            </w:r>
          </w:p>
        </w:tc>
        <w:tc>
          <w:tcPr>
            <w:tcW w:w="956" w:type="dxa"/>
          </w:tcPr>
          <w:p w:rsidR="00C3702E" w:rsidRPr="00E9103C" w:rsidRDefault="00A24D2E" w:rsidP="00FF5EDF">
            <w:pPr>
              <w:autoSpaceDE w:val="0"/>
              <w:autoSpaceDN w:val="0"/>
              <w:adjustRightInd w:val="0"/>
              <w:jc w:val="center"/>
              <w:rPr>
                <w:bCs/>
                <w:sz w:val="22"/>
                <w:szCs w:val="22"/>
              </w:rPr>
            </w:pPr>
            <w:r>
              <w:rPr>
                <w:bCs/>
                <w:sz w:val="22"/>
                <w:szCs w:val="22"/>
              </w:rPr>
              <w:t>45.0000</w:t>
            </w:r>
          </w:p>
        </w:tc>
        <w:tc>
          <w:tcPr>
            <w:tcW w:w="1757" w:type="dxa"/>
          </w:tcPr>
          <w:p w:rsidR="00C3702E" w:rsidRPr="00E9103C" w:rsidRDefault="003015F5" w:rsidP="00FF5EDF">
            <w:pPr>
              <w:autoSpaceDE w:val="0"/>
              <w:autoSpaceDN w:val="0"/>
              <w:adjustRightInd w:val="0"/>
              <w:jc w:val="center"/>
              <w:rPr>
                <w:bCs/>
                <w:sz w:val="22"/>
                <w:szCs w:val="22"/>
              </w:rPr>
            </w:pPr>
            <w:r>
              <w:rPr>
                <w:bCs/>
                <w:sz w:val="22"/>
                <w:szCs w:val="22"/>
              </w:rPr>
              <w:t>1.0000</w:t>
            </w:r>
          </w:p>
        </w:tc>
      </w:tr>
    </w:tbl>
    <w:p w:rsidR="00FF5EDF" w:rsidRPr="00E9103C" w:rsidRDefault="00FF5EDF" w:rsidP="00FF5EDF">
      <w:pPr>
        <w:autoSpaceDE w:val="0"/>
        <w:autoSpaceDN w:val="0"/>
        <w:adjustRightInd w:val="0"/>
        <w:jc w:val="center"/>
        <w:rPr>
          <w:rFonts w:eastAsia="Calibri"/>
          <w:b/>
          <w:bCs/>
          <w:sz w:val="22"/>
          <w:szCs w:val="22"/>
        </w:rPr>
      </w:pPr>
    </w:p>
    <w:p w:rsidR="00FF5EDF" w:rsidRPr="00E9103C" w:rsidRDefault="00FF5EDF" w:rsidP="00FF5EDF">
      <w:pPr>
        <w:autoSpaceDE w:val="0"/>
        <w:autoSpaceDN w:val="0"/>
        <w:adjustRightInd w:val="0"/>
        <w:rPr>
          <w:rFonts w:eastAsia="Calibri"/>
          <w:b/>
          <w:bCs/>
          <w:sz w:val="22"/>
          <w:szCs w:val="22"/>
        </w:rPr>
      </w:pPr>
    </w:p>
    <w:p w:rsidR="00BF4515" w:rsidRPr="008573C5" w:rsidRDefault="00BF4515" w:rsidP="00BF4515">
      <w:pPr>
        <w:autoSpaceDE w:val="0"/>
        <w:autoSpaceDN w:val="0"/>
        <w:adjustRightInd w:val="0"/>
        <w:jc w:val="center"/>
        <w:rPr>
          <w:rFonts w:eastAsia="Calibri"/>
          <w:b/>
          <w:bCs/>
        </w:rPr>
      </w:pPr>
      <w:r w:rsidRPr="008573C5">
        <w:rPr>
          <w:rFonts w:eastAsia="Calibri"/>
          <w:b/>
          <w:bCs/>
        </w:rPr>
        <w:t>Source: Field Study (2009)</w:t>
      </w:r>
    </w:p>
    <w:p w:rsidR="00FF5EDF" w:rsidRPr="008573C5" w:rsidRDefault="00FF5EDF" w:rsidP="00BF4515">
      <w:pPr>
        <w:autoSpaceDE w:val="0"/>
        <w:autoSpaceDN w:val="0"/>
        <w:adjustRightInd w:val="0"/>
        <w:jc w:val="center"/>
        <w:rPr>
          <w:rFonts w:ascii="System" w:eastAsia="Calibri" w:hAnsi="System" w:cs="System"/>
          <w:b/>
          <w:bCs/>
          <w:sz w:val="20"/>
          <w:szCs w:val="20"/>
        </w:rPr>
      </w:pPr>
    </w:p>
    <w:p w:rsidR="00D45B16" w:rsidRPr="008573C5" w:rsidRDefault="00D45B16" w:rsidP="00D45B16">
      <w:pPr>
        <w:spacing w:before="100" w:beforeAutospacing="1" w:after="100" w:afterAutospacing="1" w:line="480" w:lineRule="auto"/>
        <w:rPr>
          <w:b/>
        </w:rPr>
      </w:pPr>
    </w:p>
    <w:p w:rsidR="00D45B16" w:rsidRPr="008573C5" w:rsidRDefault="00D45B16" w:rsidP="000A4921">
      <w:pPr>
        <w:spacing w:before="100" w:beforeAutospacing="1" w:after="100" w:afterAutospacing="1" w:line="480" w:lineRule="auto"/>
        <w:rPr>
          <w:b/>
        </w:rPr>
      </w:pPr>
    </w:p>
    <w:p w:rsidR="00D45B16" w:rsidRPr="008573C5" w:rsidRDefault="00D45B16" w:rsidP="00FF5EDF">
      <w:pPr>
        <w:spacing w:before="100" w:beforeAutospacing="1" w:after="100" w:afterAutospacing="1" w:line="480" w:lineRule="auto"/>
        <w:rPr>
          <w:b/>
        </w:rPr>
      </w:pPr>
    </w:p>
    <w:p w:rsidR="009664A4" w:rsidRPr="008573C5" w:rsidRDefault="009664A4" w:rsidP="00FF5EDF">
      <w:pPr>
        <w:spacing w:before="100" w:beforeAutospacing="1" w:after="100" w:afterAutospacing="1" w:line="480" w:lineRule="auto"/>
        <w:rPr>
          <w:b/>
        </w:rPr>
      </w:pPr>
    </w:p>
    <w:p w:rsidR="00FF5EDF" w:rsidRPr="008573C5" w:rsidRDefault="002E11C4" w:rsidP="004A665C">
      <w:pPr>
        <w:spacing w:before="100" w:beforeAutospacing="1" w:after="100" w:afterAutospacing="1" w:line="360" w:lineRule="auto"/>
        <w:jc w:val="both"/>
        <w:rPr>
          <w:b/>
          <w:bCs/>
        </w:rPr>
      </w:pPr>
      <w:r w:rsidRPr="008573C5">
        <w:rPr>
          <w:b/>
          <w:bCs/>
        </w:rPr>
        <w:t>4.1.2.3</w:t>
      </w:r>
      <w:r w:rsidRPr="008573C5">
        <w:rPr>
          <w:b/>
          <w:bCs/>
        </w:rPr>
        <w:tab/>
      </w:r>
      <w:r w:rsidR="00FF5EDF" w:rsidRPr="008573C5">
        <w:rPr>
          <w:b/>
          <w:bCs/>
        </w:rPr>
        <w:t>Leverage</w:t>
      </w:r>
    </w:p>
    <w:p w:rsidR="00FF5EDF" w:rsidRPr="008573C5" w:rsidRDefault="00FB1D8E" w:rsidP="00FF5EDF">
      <w:pPr>
        <w:spacing w:before="100" w:beforeAutospacing="1" w:after="100" w:afterAutospacing="1" w:line="480" w:lineRule="auto"/>
        <w:jc w:val="center"/>
        <w:rPr>
          <w:b/>
          <w:sz w:val="28"/>
          <w:szCs w:val="28"/>
        </w:rPr>
      </w:pPr>
      <w:r w:rsidRPr="008573C5">
        <w:rPr>
          <w:b/>
          <w:sz w:val="28"/>
          <w:szCs w:val="28"/>
        </w:rPr>
        <w:t>Figure 4.03</w:t>
      </w:r>
      <w:r w:rsidR="00FF5EDF" w:rsidRPr="008573C5">
        <w:rPr>
          <w:b/>
          <w:sz w:val="28"/>
          <w:szCs w:val="28"/>
        </w:rPr>
        <w:t>: Box Plot of Leverage Ratio by Sector</w:t>
      </w:r>
    </w:p>
    <w:p w:rsidR="00FF5EDF" w:rsidRPr="008573C5" w:rsidRDefault="006F1BDD" w:rsidP="00FF5EDF">
      <w:pPr>
        <w:autoSpaceDE w:val="0"/>
        <w:autoSpaceDN w:val="0"/>
        <w:adjustRightInd w:val="0"/>
        <w:jc w:val="center"/>
        <w:rPr>
          <w:rFonts w:ascii="System" w:eastAsia="Calibri" w:hAnsi="System" w:cs="System"/>
          <w:b/>
          <w:bCs/>
          <w:sz w:val="20"/>
          <w:szCs w:val="20"/>
        </w:rPr>
      </w:pPr>
      <w:r w:rsidRPr="008573C5">
        <w:rPr>
          <w:rFonts w:ascii="System" w:eastAsia="Calibri" w:hAnsi="System" w:cs="System"/>
          <w:b/>
          <w:bCs/>
          <w:noProof/>
          <w:sz w:val="20"/>
          <w:szCs w:val="20"/>
        </w:rPr>
        <w:drawing>
          <wp:inline distT="0" distB="0" distL="0" distR="0">
            <wp:extent cx="3453130" cy="276479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3453130" cy="2764790"/>
                    </a:xfrm>
                    <a:prstGeom prst="rect">
                      <a:avLst/>
                    </a:prstGeom>
                    <a:noFill/>
                    <a:ln w="9525">
                      <a:noFill/>
                      <a:miter lim="800000"/>
                      <a:headEnd/>
                      <a:tailEnd/>
                    </a:ln>
                  </pic:spPr>
                </pic:pic>
              </a:graphicData>
            </a:graphic>
          </wp:inline>
        </w:drawing>
      </w:r>
    </w:p>
    <w:p w:rsidR="00FF5EDF" w:rsidRPr="008573C5" w:rsidRDefault="00FF5EDF" w:rsidP="00FF5EDF">
      <w:pPr>
        <w:autoSpaceDE w:val="0"/>
        <w:autoSpaceDN w:val="0"/>
        <w:adjustRightInd w:val="0"/>
        <w:rPr>
          <w:rFonts w:ascii="System" w:eastAsia="Calibri" w:hAnsi="System" w:cs="System"/>
          <w:b/>
          <w:bCs/>
          <w:sz w:val="20"/>
          <w:szCs w:val="20"/>
        </w:rPr>
      </w:pPr>
    </w:p>
    <w:p w:rsidR="00FF5EDF" w:rsidRPr="008573C5" w:rsidRDefault="00FF5EDF" w:rsidP="00FF5EDF">
      <w:pPr>
        <w:autoSpaceDE w:val="0"/>
        <w:autoSpaceDN w:val="0"/>
        <w:adjustRightInd w:val="0"/>
        <w:jc w:val="center"/>
        <w:rPr>
          <w:rFonts w:ascii="System" w:eastAsia="Calibri" w:hAnsi="System" w:cs="System"/>
          <w:b/>
          <w:bCs/>
          <w:sz w:val="20"/>
          <w:szCs w:val="20"/>
        </w:rPr>
      </w:pPr>
    </w:p>
    <w:p w:rsidR="00BF4515" w:rsidRPr="008573C5" w:rsidRDefault="00BF4515" w:rsidP="00BF4515">
      <w:pPr>
        <w:autoSpaceDE w:val="0"/>
        <w:autoSpaceDN w:val="0"/>
        <w:adjustRightInd w:val="0"/>
        <w:jc w:val="center"/>
        <w:rPr>
          <w:rFonts w:eastAsia="Calibri"/>
          <w:b/>
          <w:bCs/>
        </w:rPr>
      </w:pPr>
      <w:r w:rsidRPr="008573C5">
        <w:rPr>
          <w:rFonts w:eastAsia="Calibri"/>
          <w:b/>
          <w:bCs/>
        </w:rPr>
        <w:t>Source: Field Study (2009)</w:t>
      </w:r>
    </w:p>
    <w:p w:rsidR="00FF5EDF" w:rsidRPr="008573C5" w:rsidRDefault="00FF5EDF" w:rsidP="00BF4515">
      <w:pPr>
        <w:autoSpaceDE w:val="0"/>
        <w:autoSpaceDN w:val="0"/>
        <w:adjustRightInd w:val="0"/>
        <w:spacing w:line="360" w:lineRule="auto"/>
        <w:jc w:val="center"/>
        <w:rPr>
          <w:rFonts w:ascii="System" w:eastAsia="Calibri" w:hAnsi="System" w:cs="System"/>
          <w:bCs/>
          <w:sz w:val="20"/>
          <w:szCs w:val="20"/>
        </w:rPr>
      </w:pPr>
    </w:p>
    <w:p w:rsidR="00FF5EDF" w:rsidRPr="008573C5" w:rsidRDefault="00FF5EDF" w:rsidP="004A665C">
      <w:pPr>
        <w:spacing w:line="360" w:lineRule="auto"/>
        <w:jc w:val="both"/>
      </w:pPr>
      <w:r w:rsidRPr="008573C5">
        <w:rPr>
          <w:bCs/>
        </w:rPr>
        <w:t>Generally leverage represented by t</w:t>
      </w:r>
      <w:r w:rsidR="00193FED">
        <w:rPr>
          <w:bCs/>
        </w:rPr>
        <w:t>otal liability to equity, ranges</w:t>
      </w:r>
      <w:r w:rsidRPr="008573C5">
        <w:rPr>
          <w:bCs/>
        </w:rPr>
        <w:t xml:space="preserve"> from -4.35 to 23.79, with a mean of 2.9380 (Table 4.</w:t>
      </w:r>
      <w:r w:rsidR="002651DE" w:rsidRPr="008573C5">
        <w:rPr>
          <w:bCs/>
        </w:rPr>
        <w:t>07</w:t>
      </w:r>
      <w:r w:rsidRPr="008573C5">
        <w:rPr>
          <w:bCs/>
        </w:rPr>
        <w:t>). The financial sector leverage range</w:t>
      </w:r>
      <w:r w:rsidR="00193FED">
        <w:rPr>
          <w:bCs/>
        </w:rPr>
        <w:t>s</w:t>
      </w:r>
      <w:r w:rsidRPr="008573C5">
        <w:rPr>
          <w:bCs/>
        </w:rPr>
        <w:t xml:space="preserve"> between 0.28 and 23.79, while the non-financial sector is between -4.35 and 10.8</w:t>
      </w:r>
      <w:r w:rsidR="00193FED">
        <w:rPr>
          <w:bCs/>
        </w:rPr>
        <w:t>6. The financial sector records</w:t>
      </w:r>
      <w:r w:rsidRPr="008573C5">
        <w:rPr>
          <w:bCs/>
        </w:rPr>
        <w:t xml:space="preserve"> a higher leverage than the non-financial sector due to the nature of their busi</w:t>
      </w:r>
      <w:r w:rsidR="00F5650B" w:rsidRPr="008573C5">
        <w:rPr>
          <w:bCs/>
        </w:rPr>
        <w:t>ness, particularly; Company 73 (Union Homes S</w:t>
      </w:r>
      <w:r w:rsidRPr="008573C5">
        <w:rPr>
          <w:bCs/>
        </w:rPr>
        <w:t xml:space="preserve">avings and </w:t>
      </w:r>
      <w:r w:rsidR="00F5650B" w:rsidRPr="008573C5">
        <w:rPr>
          <w:bCs/>
        </w:rPr>
        <w:t>Homes) appear as an outlier (</w:t>
      </w:r>
      <w:r w:rsidRPr="008573C5">
        <w:rPr>
          <w:bCs/>
        </w:rPr>
        <w:t>Figure 4.0</w:t>
      </w:r>
      <w:r w:rsidR="00F5650B" w:rsidRPr="008573C5">
        <w:rPr>
          <w:bCs/>
        </w:rPr>
        <w:t>3</w:t>
      </w:r>
      <w:r w:rsidRPr="008573C5">
        <w:rPr>
          <w:bCs/>
        </w:rPr>
        <w:t>). Due to its mortgage business, it record</w:t>
      </w:r>
      <w:r w:rsidR="00193FED">
        <w:rPr>
          <w:bCs/>
        </w:rPr>
        <w:t>s</w:t>
      </w:r>
      <w:r w:rsidRPr="008573C5">
        <w:rPr>
          <w:bCs/>
        </w:rPr>
        <w:t xml:space="preserve"> a huge liability of abo</w:t>
      </w:r>
      <w:r w:rsidR="005E233C" w:rsidRPr="008573C5">
        <w:rPr>
          <w:bCs/>
        </w:rPr>
        <w:t>ut N59 billion which result</w:t>
      </w:r>
      <w:r w:rsidR="00193FED">
        <w:rPr>
          <w:bCs/>
        </w:rPr>
        <w:t>s</w:t>
      </w:r>
      <w:r w:rsidR="005E233C" w:rsidRPr="008573C5">
        <w:rPr>
          <w:bCs/>
        </w:rPr>
        <w:t xml:space="preserve"> in</w:t>
      </w:r>
      <w:r w:rsidRPr="008573C5">
        <w:rPr>
          <w:bCs/>
        </w:rPr>
        <w:t xml:space="preserve"> a very high leverage of 23.79. For the non-financial companies, petroleum marketing companies appear to have the highest mean of 5.</w:t>
      </w:r>
      <w:r w:rsidR="00F5650B" w:rsidRPr="008573C5">
        <w:rPr>
          <w:bCs/>
        </w:rPr>
        <w:t>6000</w:t>
      </w:r>
      <w:r w:rsidRPr="008573C5">
        <w:rPr>
          <w:bCs/>
        </w:rPr>
        <w:t xml:space="preserve"> (Table 4.</w:t>
      </w:r>
      <w:r w:rsidR="002651DE" w:rsidRPr="008573C5">
        <w:rPr>
          <w:bCs/>
        </w:rPr>
        <w:t>08</w:t>
      </w:r>
      <w:r w:rsidRPr="008573C5">
        <w:rPr>
          <w:bCs/>
        </w:rPr>
        <w:t>). The outliers recorded f</w:t>
      </w:r>
      <w:r w:rsidR="00193FED">
        <w:rPr>
          <w:bCs/>
        </w:rPr>
        <w:t>or the non-financial sector are</w:t>
      </w:r>
      <w:r w:rsidRPr="008573C5">
        <w:rPr>
          <w:bCs/>
        </w:rPr>
        <w:t xml:space="preserve"> Company 82 (</w:t>
      </w:r>
      <w:r w:rsidRPr="008573C5">
        <w:t>Eterna Oil and Gas Plc.)</w:t>
      </w:r>
      <w:r w:rsidRPr="008573C5">
        <w:rPr>
          <w:bCs/>
        </w:rPr>
        <w:t>; Company 79</w:t>
      </w:r>
      <w:r w:rsidR="00F5650B" w:rsidRPr="008573C5">
        <w:rPr>
          <w:bCs/>
        </w:rPr>
        <w:t xml:space="preserve"> (</w:t>
      </w:r>
      <w:r w:rsidRPr="008573C5">
        <w:rPr>
          <w:bCs/>
        </w:rPr>
        <w:t>African Petroleum Plc), and Company 56 (</w:t>
      </w:r>
      <w:r w:rsidRPr="008573C5">
        <w:t>Aluminium Ex</w:t>
      </w:r>
      <w:r w:rsidR="00FA6DDC" w:rsidRPr="008573C5">
        <w:t xml:space="preserve">trusion Industries Plc.), with </w:t>
      </w:r>
      <w:r w:rsidRPr="008573C5">
        <w:t xml:space="preserve">leverage of 10.86, 10.49 and 9.34 respectively. </w:t>
      </w:r>
    </w:p>
    <w:p w:rsidR="00D42A0C" w:rsidRDefault="00D42A0C" w:rsidP="00D45B16">
      <w:pPr>
        <w:spacing w:before="100" w:beforeAutospacing="1" w:after="100" w:afterAutospacing="1" w:line="480" w:lineRule="auto"/>
        <w:jc w:val="both"/>
        <w:rPr>
          <w:b/>
        </w:rPr>
      </w:pPr>
    </w:p>
    <w:p w:rsidR="00FF5EDF" w:rsidRPr="008573C5" w:rsidRDefault="002E11C4" w:rsidP="00D45B16">
      <w:pPr>
        <w:spacing w:before="100" w:beforeAutospacing="1" w:after="100" w:afterAutospacing="1" w:line="480" w:lineRule="auto"/>
        <w:jc w:val="both"/>
        <w:rPr>
          <w:b/>
        </w:rPr>
      </w:pPr>
      <w:r w:rsidRPr="008573C5">
        <w:rPr>
          <w:b/>
        </w:rPr>
        <w:t>4.1.2.4</w:t>
      </w:r>
      <w:r w:rsidRPr="008573C5">
        <w:rPr>
          <w:b/>
        </w:rPr>
        <w:tab/>
      </w:r>
      <w:r w:rsidRPr="008573C5">
        <w:rPr>
          <w:b/>
        </w:rPr>
        <w:tab/>
      </w:r>
      <w:r w:rsidR="00FF5EDF" w:rsidRPr="008573C5">
        <w:rPr>
          <w:b/>
        </w:rPr>
        <w:t>Company Listing Age</w:t>
      </w:r>
    </w:p>
    <w:p w:rsidR="00FF5EDF" w:rsidRPr="008573C5" w:rsidRDefault="00FF5EDF" w:rsidP="00FF5EDF">
      <w:pPr>
        <w:spacing w:before="100" w:beforeAutospacing="1" w:after="100" w:afterAutospacing="1" w:line="480" w:lineRule="auto"/>
        <w:jc w:val="center"/>
        <w:rPr>
          <w:b/>
          <w:sz w:val="28"/>
          <w:szCs w:val="28"/>
        </w:rPr>
      </w:pPr>
      <w:r w:rsidRPr="008573C5">
        <w:rPr>
          <w:b/>
          <w:sz w:val="28"/>
          <w:szCs w:val="28"/>
        </w:rPr>
        <w:t>Figure 4.0</w:t>
      </w:r>
      <w:r w:rsidR="00FB1D8E" w:rsidRPr="008573C5">
        <w:rPr>
          <w:b/>
          <w:sz w:val="28"/>
          <w:szCs w:val="28"/>
        </w:rPr>
        <w:t>4</w:t>
      </w:r>
      <w:r w:rsidRPr="008573C5">
        <w:rPr>
          <w:b/>
          <w:sz w:val="28"/>
          <w:szCs w:val="28"/>
        </w:rPr>
        <w:t>: Box Plot of Company Listing Age by Sector</w:t>
      </w:r>
    </w:p>
    <w:p w:rsidR="00FF5EDF" w:rsidRPr="008573C5" w:rsidRDefault="006F1BDD" w:rsidP="00FF5EDF">
      <w:pPr>
        <w:autoSpaceDE w:val="0"/>
        <w:autoSpaceDN w:val="0"/>
        <w:adjustRightInd w:val="0"/>
        <w:jc w:val="center"/>
        <w:rPr>
          <w:rFonts w:ascii="System" w:eastAsia="Calibri" w:hAnsi="System" w:cs="System"/>
          <w:b/>
          <w:bCs/>
          <w:sz w:val="20"/>
          <w:szCs w:val="20"/>
        </w:rPr>
      </w:pPr>
      <w:r w:rsidRPr="008573C5">
        <w:rPr>
          <w:rFonts w:ascii="System" w:eastAsia="Calibri" w:hAnsi="System" w:cs="System"/>
          <w:bCs/>
          <w:noProof/>
          <w:sz w:val="20"/>
          <w:szCs w:val="20"/>
        </w:rPr>
        <w:drawing>
          <wp:inline distT="0" distB="0" distL="0" distR="0">
            <wp:extent cx="3453130" cy="276479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3453130" cy="2764790"/>
                    </a:xfrm>
                    <a:prstGeom prst="rect">
                      <a:avLst/>
                    </a:prstGeom>
                    <a:noFill/>
                    <a:ln w="9525">
                      <a:noFill/>
                      <a:miter lim="800000"/>
                      <a:headEnd/>
                      <a:tailEnd/>
                    </a:ln>
                  </pic:spPr>
                </pic:pic>
              </a:graphicData>
            </a:graphic>
          </wp:inline>
        </w:drawing>
      </w:r>
    </w:p>
    <w:p w:rsidR="00BF4515" w:rsidRPr="008573C5" w:rsidRDefault="00BF4515" w:rsidP="00BF4515">
      <w:pPr>
        <w:autoSpaceDE w:val="0"/>
        <w:autoSpaceDN w:val="0"/>
        <w:adjustRightInd w:val="0"/>
        <w:jc w:val="center"/>
        <w:rPr>
          <w:rFonts w:eastAsia="Calibri"/>
          <w:b/>
          <w:bCs/>
        </w:rPr>
      </w:pPr>
      <w:r w:rsidRPr="008573C5">
        <w:rPr>
          <w:rFonts w:eastAsia="Calibri"/>
          <w:b/>
          <w:bCs/>
        </w:rPr>
        <w:t>Source: Field Study (2009)</w:t>
      </w:r>
    </w:p>
    <w:p w:rsidR="00FF5EDF" w:rsidRPr="008573C5" w:rsidRDefault="00FF5EDF" w:rsidP="00BF4515">
      <w:pPr>
        <w:autoSpaceDE w:val="0"/>
        <w:autoSpaceDN w:val="0"/>
        <w:adjustRightInd w:val="0"/>
        <w:jc w:val="center"/>
        <w:rPr>
          <w:rFonts w:ascii="System" w:eastAsia="Calibri" w:hAnsi="System" w:cs="System"/>
          <w:b/>
          <w:bCs/>
          <w:sz w:val="20"/>
          <w:szCs w:val="20"/>
        </w:rPr>
      </w:pPr>
    </w:p>
    <w:p w:rsidR="00FF5EDF" w:rsidRPr="008573C5" w:rsidRDefault="00FF5EDF" w:rsidP="00FF5EDF">
      <w:pPr>
        <w:autoSpaceDE w:val="0"/>
        <w:autoSpaceDN w:val="0"/>
        <w:adjustRightInd w:val="0"/>
        <w:jc w:val="center"/>
        <w:rPr>
          <w:rFonts w:ascii="System" w:eastAsia="Calibri" w:hAnsi="System" w:cs="System"/>
          <w:b/>
          <w:bCs/>
          <w:sz w:val="20"/>
          <w:szCs w:val="20"/>
        </w:rPr>
      </w:pPr>
    </w:p>
    <w:p w:rsidR="00FF5EDF" w:rsidRPr="008573C5" w:rsidRDefault="00FF5EDF" w:rsidP="00FF5EDF">
      <w:pPr>
        <w:autoSpaceDE w:val="0"/>
        <w:autoSpaceDN w:val="0"/>
        <w:adjustRightInd w:val="0"/>
        <w:rPr>
          <w:rFonts w:ascii="System" w:eastAsia="Calibri" w:hAnsi="System" w:cs="System"/>
          <w:b/>
          <w:bCs/>
          <w:sz w:val="20"/>
          <w:szCs w:val="20"/>
        </w:rPr>
      </w:pPr>
    </w:p>
    <w:p w:rsidR="00FF5EDF" w:rsidRPr="008573C5" w:rsidRDefault="00FF5EDF" w:rsidP="000A4921">
      <w:pPr>
        <w:spacing w:before="100" w:beforeAutospacing="1" w:after="100" w:afterAutospacing="1" w:line="360" w:lineRule="auto"/>
        <w:jc w:val="both"/>
        <w:rPr>
          <w:b/>
        </w:rPr>
      </w:pPr>
      <w:r w:rsidRPr="008573C5">
        <w:rPr>
          <w:bCs/>
        </w:rPr>
        <w:t>Company Age is measured by the listing age of the companies at the Nigerian Stock Exch</w:t>
      </w:r>
      <w:r w:rsidR="00D42A0C">
        <w:rPr>
          <w:bCs/>
        </w:rPr>
        <w:t>ange to December 2006. It ranges</w:t>
      </w:r>
      <w:r w:rsidRPr="008573C5">
        <w:rPr>
          <w:bCs/>
        </w:rPr>
        <w:t xml:space="preserve"> from 1 to 45, with a mean of 23.13 for the non-financial sector, and a mean of 11.28 for the financial sector</w:t>
      </w:r>
      <w:r w:rsidR="00DA7881" w:rsidRPr="008573C5">
        <w:rPr>
          <w:bCs/>
        </w:rPr>
        <w:t xml:space="preserve"> (</w:t>
      </w:r>
      <w:r w:rsidR="00125AB2" w:rsidRPr="008573C5">
        <w:rPr>
          <w:bCs/>
        </w:rPr>
        <w:t>Table 4.07)</w:t>
      </w:r>
      <w:r w:rsidRPr="008573C5">
        <w:rPr>
          <w:bCs/>
        </w:rPr>
        <w:t>. By industry analysis, it is observ</w:t>
      </w:r>
      <w:r w:rsidR="00D42A0C">
        <w:rPr>
          <w:bCs/>
        </w:rPr>
        <w:t>ed that the conglomerate emerges</w:t>
      </w:r>
      <w:r w:rsidRPr="008573C5">
        <w:rPr>
          <w:bCs/>
        </w:rPr>
        <w:t xml:space="preserve"> with the highest mean of 31.29 years. </w:t>
      </w:r>
      <w:r w:rsidR="005E233C" w:rsidRPr="008573C5">
        <w:rPr>
          <w:bCs/>
        </w:rPr>
        <w:t>Taking a critical look at</w:t>
      </w:r>
      <w:r w:rsidRPr="008573C5">
        <w:rPr>
          <w:bCs/>
        </w:rPr>
        <w:t xml:space="preserve"> the box-plot in Figure 4.0</w:t>
      </w:r>
      <w:r w:rsidR="00125AB2" w:rsidRPr="008573C5">
        <w:rPr>
          <w:bCs/>
        </w:rPr>
        <w:t>4</w:t>
      </w:r>
      <w:r w:rsidRPr="008573C5">
        <w:rPr>
          <w:bCs/>
        </w:rPr>
        <w:t>, it is observed that none of the companies appeared as outlier.</w:t>
      </w:r>
      <w:r w:rsidRPr="008573C5">
        <w:t xml:space="preserve"> Th</w:t>
      </w:r>
      <w:r w:rsidR="005E233C" w:rsidRPr="008573C5">
        <w:t>e origin of the Nigerian Stock E</w:t>
      </w:r>
      <w:r w:rsidRPr="008573C5">
        <w:t>xchange is dated back to 1960 when it was incorporated as the Lagos Stock Exchange. Trading on the Lagos Stock Exchange during the early years was generally poor due to the low rate of capital formation, poor communication and lack of responsi</w:t>
      </w:r>
      <w:r w:rsidR="005E233C" w:rsidRPr="008573C5">
        <w:t>veness to the mechanics of the S</w:t>
      </w:r>
      <w:r w:rsidRPr="008573C5">
        <w:t xml:space="preserve">tock </w:t>
      </w:r>
      <w:r w:rsidR="005E233C" w:rsidRPr="008573C5">
        <w:t xml:space="preserve">Exchange dealings. In 1977, </w:t>
      </w:r>
      <w:r w:rsidRPr="008573C5">
        <w:t xml:space="preserve">after the indigenization decree, it picked up and the </w:t>
      </w:r>
      <w:r w:rsidR="005E233C" w:rsidRPr="008573C5">
        <w:t>Stock E</w:t>
      </w:r>
      <w:r w:rsidRPr="008573C5">
        <w:t>xchange was renamed Nigerian Stock Exchange (NSE). Since then the stock market ha</w:t>
      </w:r>
      <w:r w:rsidR="005E233C" w:rsidRPr="008573C5">
        <w:t>s</w:t>
      </w:r>
      <w:r w:rsidRPr="008573C5">
        <w:t xml:space="preserve"> been vibrant and as at December 2006, 202 companies were listed on the NSE first and second tier markets.</w:t>
      </w:r>
    </w:p>
    <w:p w:rsidR="00D42A0C" w:rsidRDefault="00D42A0C" w:rsidP="004A665C">
      <w:pPr>
        <w:autoSpaceDE w:val="0"/>
        <w:autoSpaceDN w:val="0"/>
        <w:adjustRightInd w:val="0"/>
        <w:spacing w:line="360" w:lineRule="auto"/>
        <w:jc w:val="both"/>
        <w:rPr>
          <w:b/>
          <w:bCs/>
        </w:rPr>
      </w:pPr>
    </w:p>
    <w:p w:rsidR="00D42A0C" w:rsidRDefault="00D42A0C" w:rsidP="004A665C">
      <w:pPr>
        <w:autoSpaceDE w:val="0"/>
        <w:autoSpaceDN w:val="0"/>
        <w:adjustRightInd w:val="0"/>
        <w:spacing w:line="360" w:lineRule="auto"/>
        <w:jc w:val="both"/>
        <w:rPr>
          <w:b/>
          <w:bCs/>
        </w:rPr>
      </w:pPr>
    </w:p>
    <w:p w:rsidR="00FF5EDF" w:rsidRPr="008573C5" w:rsidRDefault="002E11C4" w:rsidP="004A665C">
      <w:pPr>
        <w:autoSpaceDE w:val="0"/>
        <w:autoSpaceDN w:val="0"/>
        <w:adjustRightInd w:val="0"/>
        <w:spacing w:line="360" w:lineRule="auto"/>
        <w:jc w:val="both"/>
        <w:rPr>
          <w:b/>
          <w:bCs/>
        </w:rPr>
      </w:pPr>
      <w:r w:rsidRPr="008573C5">
        <w:rPr>
          <w:b/>
          <w:bCs/>
        </w:rPr>
        <w:t>4.1.2.5</w:t>
      </w:r>
      <w:r w:rsidRPr="008573C5">
        <w:rPr>
          <w:b/>
          <w:bCs/>
        </w:rPr>
        <w:tab/>
      </w:r>
      <w:r w:rsidR="00FF5EDF" w:rsidRPr="008573C5">
        <w:rPr>
          <w:b/>
          <w:bCs/>
        </w:rPr>
        <w:t>Multinational</w:t>
      </w:r>
      <w:r w:rsidR="00FA6DDC" w:rsidRPr="008573C5">
        <w:rPr>
          <w:b/>
          <w:bCs/>
        </w:rPr>
        <w:t>ity</w:t>
      </w:r>
    </w:p>
    <w:p w:rsidR="00FF5EDF" w:rsidRPr="008573C5" w:rsidRDefault="00FF5EDF" w:rsidP="004A665C">
      <w:pPr>
        <w:autoSpaceDE w:val="0"/>
        <w:autoSpaceDN w:val="0"/>
        <w:adjustRightInd w:val="0"/>
        <w:spacing w:line="360" w:lineRule="auto"/>
        <w:jc w:val="both"/>
        <w:rPr>
          <w:bCs/>
        </w:rPr>
      </w:pPr>
      <w:r w:rsidRPr="008573C5">
        <w:rPr>
          <w:bCs/>
        </w:rPr>
        <w:t>Multinational</w:t>
      </w:r>
      <w:r w:rsidR="00FA6DDC" w:rsidRPr="008573C5">
        <w:rPr>
          <w:bCs/>
        </w:rPr>
        <w:t xml:space="preserve">ity </w:t>
      </w:r>
      <w:r w:rsidRPr="008573C5">
        <w:rPr>
          <w:bCs/>
        </w:rPr>
        <w:t>is represented by the percentage of foreign investors holding above 5% of the shareholdings in the company to the total number of shareholders. Of the ninety sampled companies, 48 companies have foreign investors holding above 5% of the shareholdings.  The analysis of the percentage of internationality per sector and industry is shown in Table 4.</w:t>
      </w:r>
      <w:r w:rsidR="00125AB2" w:rsidRPr="008573C5">
        <w:rPr>
          <w:bCs/>
        </w:rPr>
        <w:t>07</w:t>
      </w:r>
      <w:r w:rsidRPr="008573C5">
        <w:rPr>
          <w:bCs/>
        </w:rPr>
        <w:t xml:space="preserve"> and 4.</w:t>
      </w:r>
      <w:r w:rsidR="00125AB2" w:rsidRPr="008573C5">
        <w:rPr>
          <w:bCs/>
        </w:rPr>
        <w:t>08</w:t>
      </w:r>
      <w:r w:rsidRPr="008573C5">
        <w:rPr>
          <w:bCs/>
        </w:rPr>
        <w:t xml:space="preserve"> respectively. The mean of the multinationality for the financial sector (9.8%) is quite lower than the non financial sector (36.96%). The presence or non-presence of the multinational parent can be linked to the Nigerian Enterprises Promotion Decree ( Indigenization Decree) of 1972 that forbids 100% foreign owners</w:t>
      </w:r>
      <w:r w:rsidR="00D42A0C">
        <w:rPr>
          <w:bCs/>
        </w:rPr>
        <w:t>hip of Nigerian companies. It i</w:t>
      </w:r>
      <w:r w:rsidRPr="008573C5">
        <w:rPr>
          <w:bCs/>
        </w:rPr>
        <w:t xml:space="preserve">s propagated with the objective of craving a greater participation of Nigerians in the ownership, management and control of productive enterprises </w:t>
      </w:r>
      <w:r w:rsidR="00D42A0C">
        <w:rPr>
          <w:bCs/>
        </w:rPr>
        <w:t>in Nigeria. Thereafter there have</w:t>
      </w:r>
      <w:r w:rsidRPr="008573C5">
        <w:rPr>
          <w:bCs/>
        </w:rPr>
        <w:t xml:space="preserve"> been various reforms that liberali</w:t>
      </w:r>
      <w:r w:rsidR="00D42A0C">
        <w:rPr>
          <w:bCs/>
        </w:rPr>
        <w:t>se</w:t>
      </w:r>
      <w:r w:rsidRPr="008573C5">
        <w:rPr>
          <w:bCs/>
        </w:rPr>
        <w:t xml:space="preserve"> the ownership of shares by foreigners. That not withstanding</w:t>
      </w:r>
      <w:r w:rsidR="00D42A0C">
        <w:rPr>
          <w:bCs/>
        </w:rPr>
        <w:t>,</w:t>
      </w:r>
      <w:r w:rsidRPr="008573C5">
        <w:rPr>
          <w:bCs/>
        </w:rPr>
        <w:t xml:space="preserve"> the financial sector has the least international ownership but the petroleum sector and conglomerate are observed to have a greater foreign ownership. </w:t>
      </w:r>
    </w:p>
    <w:p w:rsidR="00FF5EDF" w:rsidRPr="008573C5" w:rsidRDefault="002E11C4" w:rsidP="00D45B16">
      <w:pPr>
        <w:spacing w:before="100" w:beforeAutospacing="1" w:after="100" w:afterAutospacing="1" w:line="480" w:lineRule="auto"/>
        <w:rPr>
          <w:b/>
        </w:rPr>
      </w:pPr>
      <w:r w:rsidRPr="008573C5">
        <w:rPr>
          <w:b/>
        </w:rPr>
        <w:t>4.1.2.6</w:t>
      </w:r>
      <w:r w:rsidRPr="008573C5">
        <w:rPr>
          <w:b/>
        </w:rPr>
        <w:tab/>
      </w:r>
      <w:r w:rsidRPr="008573C5">
        <w:rPr>
          <w:b/>
        </w:rPr>
        <w:tab/>
      </w:r>
      <w:r w:rsidR="00FF5EDF" w:rsidRPr="008573C5">
        <w:rPr>
          <w:b/>
        </w:rPr>
        <w:t>Auditor</w:t>
      </w:r>
    </w:p>
    <w:p w:rsidR="00FF5EDF" w:rsidRPr="008573C5" w:rsidRDefault="00FB1D8E" w:rsidP="00FF5EDF">
      <w:pPr>
        <w:spacing w:before="100" w:beforeAutospacing="1" w:after="100" w:afterAutospacing="1" w:line="480" w:lineRule="auto"/>
        <w:jc w:val="center"/>
        <w:rPr>
          <w:rFonts w:ascii="System" w:hAnsi="System" w:cs="System"/>
          <w:b/>
          <w:bCs/>
          <w:sz w:val="28"/>
          <w:szCs w:val="28"/>
        </w:rPr>
      </w:pPr>
      <w:r w:rsidRPr="008573C5">
        <w:rPr>
          <w:b/>
          <w:sz w:val="28"/>
          <w:szCs w:val="28"/>
        </w:rPr>
        <w:t>Table 4.09</w:t>
      </w:r>
      <w:r w:rsidR="00FF5EDF" w:rsidRPr="008573C5">
        <w:rPr>
          <w:b/>
          <w:sz w:val="28"/>
          <w:szCs w:val="28"/>
        </w:rPr>
        <w:t>: Type of Auditor by Sector Crosstabulation</w:t>
      </w:r>
    </w:p>
    <w:p w:rsidR="00FF5EDF" w:rsidRPr="008573C5" w:rsidRDefault="006F1BDD" w:rsidP="00FF5EDF">
      <w:pPr>
        <w:autoSpaceDE w:val="0"/>
        <w:autoSpaceDN w:val="0"/>
        <w:adjustRightInd w:val="0"/>
        <w:jc w:val="center"/>
        <w:rPr>
          <w:rFonts w:ascii="System" w:eastAsia="Calibri" w:hAnsi="System" w:cs="System"/>
          <w:b/>
          <w:bCs/>
          <w:sz w:val="20"/>
          <w:szCs w:val="20"/>
        </w:rPr>
      </w:pPr>
      <w:r w:rsidRPr="008573C5">
        <w:rPr>
          <w:rFonts w:ascii="System" w:eastAsia="Calibri" w:hAnsi="System" w:cs="System"/>
          <w:b/>
          <w:noProof/>
          <w:sz w:val="20"/>
          <w:szCs w:val="20"/>
        </w:rPr>
        <w:drawing>
          <wp:inline distT="0" distB="0" distL="0" distR="0">
            <wp:extent cx="5185410" cy="2334260"/>
            <wp:effectExtent l="1905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5185410" cy="2334260"/>
                    </a:xfrm>
                    <a:prstGeom prst="rect">
                      <a:avLst/>
                    </a:prstGeom>
                    <a:noFill/>
                    <a:ln w="9525">
                      <a:noFill/>
                      <a:miter lim="800000"/>
                      <a:headEnd/>
                      <a:tailEnd/>
                    </a:ln>
                  </pic:spPr>
                </pic:pic>
              </a:graphicData>
            </a:graphic>
          </wp:inline>
        </w:drawing>
      </w:r>
    </w:p>
    <w:p w:rsidR="00BF4515" w:rsidRPr="008573C5" w:rsidRDefault="00BF4515" w:rsidP="00BF4515">
      <w:pPr>
        <w:autoSpaceDE w:val="0"/>
        <w:autoSpaceDN w:val="0"/>
        <w:adjustRightInd w:val="0"/>
        <w:jc w:val="center"/>
        <w:rPr>
          <w:rFonts w:eastAsia="Calibri"/>
          <w:b/>
          <w:bCs/>
        </w:rPr>
      </w:pPr>
      <w:r w:rsidRPr="008573C5">
        <w:rPr>
          <w:rFonts w:eastAsia="Calibri"/>
          <w:b/>
          <w:bCs/>
        </w:rPr>
        <w:t>Source: Field Study (2009)</w:t>
      </w:r>
    </w:p>
    <w:p w:rsidR="00FF5EDF" w:rsidRPr="008573C5" w:rsidRDefault="00FF5EDF" w:rsidP="00BF4515">
      <w:pPr>
        <w:autoSpaceDE w:val="0"/>
        <w:autoSpaceDN w:val="0"/>
        <w:adjustRightInd w:val="0"/>
        <w:jc w:val="center"/>
        <w:rPr>
          <w:rFonts w:ascii="System" w:eastAsia="Calibri" w:hAnsi="System" w:cs="System"/>
          <w:b/>
          <w:bCs/>
          <w:sz w:val="20"/>
          <w:szCs w:val="20"/>
        </w:rPr>
      </w:pPr>
    </w:p>
    <w:p w:rsidR="00FF5EDF" w:rsidRPr="008573C5" w:rsidRDefault="00FF5EDF" w:rsidP="00FF5EDF">
      <w:pPr>
        <w:autoSpaceDE w:val="0"/>
        <w:autoSpaceDN w:val="0"/>
        <w:adjustRightInd w:val="0"/>
        <w:jc w:val="center"/>
        <w:rPr>
          <w:rFonts w:ascii="System" w:eastAsia="Calibri" w:hAnsi="System" w:cs="System"/>
          <w:b/>
          <w:bCs/>
          <w:sz w:val="20"/>
          <w:szCs w:val="20"/>
        </w:rPr>
      </w:pPr>
    </w:p>
    <w:p w:rsidR="00FF5EDF" w:rsidRPr="008573C5" w:rsidRDefault="00FF5EDF" w:rsidP="00FF5EDF">
      <w:pPr>
        <w:autoSpaceDE w:val="0"/>
        <w:autoSpaceDN w:val="0"/>
        <w:adjustRightInd w:val="0"/>
        <w:rPr>
          <w:rFonts w:ascii="System" w:eastAsia="Calibri" w:hAnsi="System" w:cs="System"/>
          <w:b/>
          <w:bCs/>
          <w:sz w:val="20"/>
          <w:szCs w:val="20"/>
        </w:rPr>
      </w:pPr>
    </w:p>
    <w:p w:rsidR="00FF5EDF" w:rsidRPr="008573C5" w:rsidRDefault="00FF5EDF" w:rsidP="00FF5EDF">
      <w:pPr>
        <w:autoSpaceDE w:val="0"/>
        <w:autoSpaceDN w:val="0"/>
        <w:adjustRightInd w:val="0"/>
        <w:rPr>
          <w:b/>
          <w:lang w:val="en-GB"/>
        </w:rPr>
      </w:pPr>
    </w:p>
    <w:p w:rsidR="001056D9" w:rsidRPr="008573C5" w:rsidRDefault="001056D9" w:rsidP="00FF5EDF">
      <w:pPr>
        <w:autoSpaceDE w:val="0"/>
        <w:autoSpaceDN w:val="0"/>
        <w:adjustRightInd w:val="0"/>
        <w:rPr>
          <w:b/>
          <w:lang w:val="en-GB"/>
        </w:rPr>
      </w:pPr>
    </w:p>
    <w:p w:rsidR="00FF5EDF" w:rsidRPr="008573C5" w:rsidRDefault="00FF5EDF" w:rsidP="00FF5EDF">
      <w:pPr>
        <w:autoSpaceDE w:val="0"/>
        <w:autoSpaceDN w:val="0"/>
        <w:adjustRightInd w:val="0"/>
        <w:jc w:val="center"/>
        <w:rPr>
          <w:b/>
        </w:rPr>
      </w:pPr>
    </w:p>
    <w:p w:rsidR="00FF5EDF" w:rsidRPr="008573C5" w:rsidRDefault="00FF5EDF" w:rsidP="00FF5EDF">
      <w:pPr>
        <w:autoSpaceDE w:val="0"/>
        <w:autoSpaceDN w:val="0"/>
        <w:adjustRightInd w:val="0"/>
        <w:jc w:val="center"/>
        <w:rPr>
          <w:b/>
          <w:sz w:val="28"/>
          <w:szCs w:val="28"/>
        </w:rPr>
      </w:pPr>
      <w:r w:rsidRPr="008573C5">
        <w:rPr>
          <w:b/>
          <w:sz w:val="28"/>
          <w:szCs w:val="28"/>
        </w:rPr>
        <w:t>Table 4.1</w:t>
      </w:r>
      <w:r w:rsidR="00FB1D8E" w:rsidRPr="008573C5">
        <w:rPr>
          <w:b/>
          <w:sz w:val="28"/>
          <w:szCs w:val="28"/>
        </w:rPr>
        <w:t>0</w:t>
      </w:r>
      <w:r w:rsidRPr="008573C5">
        <w:rPr>
          <w:b/>
          <w:sz w:val="28"/>
          <w:szCs w:val="28"/>
        </w:rPr>
        <w:t>: Type of Auditor by Industry</w:t>
      </w:r>
    </w:p>
    <w:p w:rsidR="00FF5EDF" w:rsidRPr="008573C5" w:rsidRDefault="00FF5EDF" w:rsidP="00FF5EDF">
      <w:pPr>
        <w:autoSpaceDE w:val="0"/>
        <w:autoSpaceDN w:val="0"/>
        <w:adjustRightInd w:val="0"/>
        <w:jc w:val="center"/>
        <w:rPr>
          <w:b/>
        </w:rPr>
      </w:pPr>
      <w:r w:rsidRPr="008573C5">
        <w:rPr>
          <w:b/>
        </w:rPr>
        <w:t xml:space="preserve"> </w:t>
      </w:r>
      <w:r w:rsidR="006F1BDD" w:rsidRPr="008573C5">
        <w:rPr>
          <w:rFonts w:ascii="System" w:eastAsia="Calibri" w:hAnsi="System" w:cs="System"/>
          <w:b/>
          <w:noProof/>
          <w:sz w:val="20"/>
          <w:szCs w:val="20"/>
        </w:rPr>
        <w:drawing>
          <wp:inline distT="0" distB="0" distL="0" distR="0">
            <wp:extent cx="4088130" cy="3119755"/>
            <wp:effectExtent l="19050" t="0" r="762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4088130" cy="3119755"/>
                    </a:xfrm>
                    <a:prstGeom prst="rect">
                      <a:avLst/>
                    </a:prstGeom>
                    <a:noFill/>
                    <a:ln w="9525">
                      <a:noFill/>
                      <a:miter lim="800000"/>
                      <a:headEnd/>
                      <a:tailEnd/>
                    </a:ln>
                  </pic:spPr>
                </pic:pic>
              </a:graphicData>
            </a:graphic>
          </wp:inline>
        </w:drawing>
      </w:r>
    </w:p>
    <w:p w:rsidR="00BF4515" w:rsidRPr="008573C5" w:rsidRDefault="00BF4515" w:rsidP="00BF4515">
      <w:pPr>
        <w:autoSpaceDE w:val="0"/>
        <w:autoSpaceDN w:val="0"/>
        <w:adjustRightInd w:val="0"/>
        <w:jc w:val="center"/>
        <w:rPr>
          <w:rFonts w:eastAsia="Calibri"/>
          <w:b/>
          <w:bCs/>
        </w:rPr>
      </w:pPr>
      <w:r w:rsidRPr="008573C5">
        <w:rPr>
          <w:rFonts w:eastAsia="Calibri"/>
          <w:b/>
          <w:bCs/>
        </w:rPr>
        <w:t>Source: Field Study (2009)</w:t>
      </w:r>
    </w:p>
    <w:p w:rsidR="00FF5EDF" w:rsidRPr="008573C5" w:rsidRDefault="00FF5EDF" w:rsidP="00BF4515">
      <w:pPr>
        <w:autoSpaceDE w:val="0"/>
        <w:autoSpaceDN w:val="0"/>
        <w:adjustRightInd w:val="0"/>
        <w:jc w:val="center"/>
        <w:rPr>
          <w:b/>
          <w:lang w:val="en-GB"/>
        </w:rPr>
      </w:pPr>
    </w:p>
    <w:p w:rsidR="00FF5EDF" w:rsidRPr="008573C5" w:rsidRDefault="00FF5EDF" w:rsidP="00FF5EDF">
      <w:pPr>
        <w:autoSpaceDE w:val="0"/>
        <w:autoSpaceDN w:val="0"/>
        <w:adjustRightInd w:val="0"/>
        <w:rPr>
          <w:rFonts w:ascii="System" w:eastAsia="Calibri" w:hAnsi="System" w:cs="System"/>
          <w:b/>
          <w:bCs/>
          <w:sz w:val="20"/>
          <w:szCs w:val="20"/>
        </w:rPr>
      </w:pPr>
    </w:p>
    <w:p w:rsidR="00FF5EDF" w:rsidRPr="008573C5" w:rsidRDefault="00FF5EDF" w:rsidP="004A665C">
      <w:pPr>
        <w:autoSpaceDE w:val="0"/>
        <w:autoSpaceDN w:val="0"/>
        <w:adjustRightInd w:val="0"/>
        <w:spacing w:line="360" w:lineRule="auto"/>
        <w:jc w:val="both"/>
        <w:rPr>
          <w:rFonts w:ascii="System" w:hAnsi="System" w:cs="System"/>
          <w:b/>
          <w:bCs/>
          <w:sz w:val="20"/>
          <w:szCs w:val="20"/>
        </w:rPr>
      </w:pPr>
      <w:r w:rsidRPr="008573C5">
        <w:rPr>
          <w:lang w:val="en-GB"/>
        </w:rPr>
        <w:t>Tables 4.</w:t>
      </w:r>
      <w:r w:rsidR="00125AB2" w:rsidRPr="008573C5">
        <w:rPr>
          <w:lang w:val="en-GB"/>
        </w:rPr>
        <w:t>09</w:t>
      </w:r>
      <w:r w:rsidRPr="008573C5">
        <w:rPr>
          <w:lang w:val="en-GB"/>
        </w:rPr>
        <w:t xml:space="preserve"> and 4.1</w:t>
      </w:r>
      <w:r w:rsidR="00125AB2" w:rsidRPr="008573C5">
        <w:rPr>
          <w:lang w:val="en-GB"/>
        </w:rPr>
        <w:t>0</w:t>
      </w:r>
      <w:r w:rsidRPr="008573C5">
        <w:rPr>
          <w:lang w:val="en-GB"/>
        </w:rPr>
        <w:t xml:space="preserve"> show the analysis of type of auditor by sector and industry respectively. Of the 90 sample companies, 66 (73.3%) are audited by the Big 4 audit firms with international affliation and 24 (26.7%) are audited by other firms. Of the 66 audited by the Big 4, 36 (54%) were audited by Akintola Williams Delloite, Ernst and Young  (8%), KPMG 6(9%), and PricewaterhouseCoopers 19 (29%). Analysis by sector reveals that 21 out of the 29 financial companies are audited by the Big 4 and 45 out of 61 non-financial companies are also audited by the Big 4. With respect to industry, as illustrated in Table 4.1</w:t>
      </w:r>
      <w:r w:rsidR="00125AB2" w:rsidRPr="008573C5">
        <w:rPr>
          <w:lang w:val="en-GB"/>
        </w:rPr>
        <w:t>0</w:t>
      </w:r>
      <w:r w:rsidRPr="008573C5">
        <w:rPr>
          <w:lang w:val="en-GB"/>
        </w:rPr>
        <w:t xml:space="preserve">, all the 17 companies in the banking sector and the 7 companies in the petroleum companies are being audited by the Big 4. This reveals the Big 4 audit firms </w:t>
      </w:r>
      <w:r w:rsidR="005C7E7D" w:rsidRPr="008573C5">
        <w:rPr>
          <w:lang w:val="en-GB"/>
        </w:rPr>
        <w:t>are appointed auditors of</w:t>
      </w:r>
      <w:r w:rsidRPr="008573C5">
        <w:rPr>
          <w:lang w:val="en-GB"/>
        </w:rPr>
        <w:t xml:space="preserve"> listed companies in Nigeria, especially Akintola Williams Delloite with the biggest market share of 54%. The big share is attributable to the merger of the Africa’s foremost accounting firm, Akintola Williams with KPMG Nigeria in 2003, for better and enha</w:t>
      </w:r>
      <w:r w:rsidR="000F125F">
        <w:rPr>
          <w:lang w:val="en-GB"/>
        </w:rPr>
        <w:t>nced efficiency. This merger has</w:t>
      </w:r>
      <w:r w:rsidRPr="008573C5">
        <w:rPr>
          <w:lang w:val="en-GB"/>
        </w:rPr>
        <w:t xml:space="preserve"> led to the enlargement of the firm and their clientele.  </w:t>
      </w:r>
      <w:r w:rsidRPr="008573C5">
        <w:rPr>
          <w:rFonts w:ascii="System" w:hAnsi="System" w:cs="System"/>
          <w:b/>
          <w:bCs/>
          <w:sz w:val="20"/>
          <w:szCs w:val="20"/>
        </w:rPr>
        <w:t xml:space="preserve"> </w:t>
      </w:r>
    </w:p>
    <w:p w:rsidR="00FF5EDF" w:rsidRPr="008573C5" w:rsidRDefault="00FF5EDF" w:rsidP="004A665C">
      <w:pPr>
        <w:autoSpaceDE w:val="0"/>
        <w:autoSpaceDN w:val="0"/>
        <w:adjustRightInd w:val="0"/>
        <w:spacing w:line="360" w:lineRule="auto"/>
        <w:jc w:val="both"/>
        <w:rPr>
          <w:b/>
          <w:bCs/>
        </w:rPr>
      </w:pPr>
    </w:p>
    <w:p w:rsidR="00FF5EDF" w:rsidRPr="008573C5" w:rsidRDefault="00DF5CCC" w:rsidP="004A665C">
      <w:pPr>
        <w:autoSpaceDE w:val="0"/>
        <w:autoSpaceDN w:val="0"/>
        <w:adjustRightInd w:val="0"/>
        <w:spacing w:line="360" w:lineRule="auto"/>
        <w:jc w:val="both"/>
        <w:rPr>
          <w:b/>
          <w:bCs/>
        </w:rPr>
      </w:pPr>
      <w:r w:rsidRPr="008573C5">
        <w:rPr>
          <w:b/>
          <w:bCs/>
        </w:rPr>
        <w:t>4.1.2</w:t>
      </w:r>
      <w:r w:rsidR="002E11C4" w:rsidRPr="008573C5">
        <w:rPr>
          <w:b/>
          <w:bCs/>
        </w:rPr>
        <w:t>.7</w:t>
      </w:r>
      <w:r w:rsidR="002E11C4" w:rsidRPr="008573C5">
        <w:rPr>
          <w:b/>
          <w:bCs/>
        </w:rPr>
        <w:tab/>
      </w:r>
      <w:r w:rsidR="00FF5EDF" w:rsidRPr="008573C5">
        <w:rPr>
          <w:b/>
          <w:bCs/>
        </w:rPr>
        <w:t>Type of Industry</w:t>
      </w:r>
    </w:p>
    <w:p w:rsidR="00FF5EDF" w:rsidRPr="008573C5" w:rsidRDefault="00FF5EDF" w:rsidP="00125AB2">
      <w:pPr>
        <w:tabs>
          <w:tab w:val="left" w:pos="5400"/>
        </w:tabs>
        <w:autoSpaceDE w:val="0"/>
        <w:autoSpaceDN w:val="0"/>
        <w:adjustRightInd w:val="0"/>
        <w:spacing w:line="360" w:lineRule="auto"/>
        <w:jc w:val="both"/>
        <w:rPr>
          <w:bCs/>
        </w:rPr>
      </w:pPr>
      <w:r w:rsidRPr="008573C5">
        <w:rPr>
          <w:bCs/>
        </w:rPr>
        <w:t>The sampled companies are classified into nine industries by the researcher. They are agriculture, manufacturing (</w:t>
      </w:r>
      <w:r w:rsidR="00125AB2" w:rsidRPr="008573C5">
        <w:rPr>
          <w:bCs/>
        </w:rPr>
        <w:t>A</w:t>
      </w:r>
      <w:r w:rsidRPr="008573C5">
        <w:rPr>
          <w:bCs/>
        </w:rPr>
        <w:t xml:space="preserve">utomobile and </w:t>
      </w:r>
      <w:r w:rsidR="00125AB2" w:rsidRPr="008573C5">
        <w:rPr>
          <w:bCs/>
        </w:rPr>
        <w:t>T</w:t>
      </w:r>
      <w:r w:rsidRPr="008573C5">
        <w:rPr>
          <w:bCs/>
        </w:rPr>
        <w:t xml:space="preserve">yre, </w:t>
      </w:r>
      <w:r w:rsidR="00125AB2" w:rsidRPr="008573C5">
        <w:rPr>
          <w:bCs/>
        </w:rPr>
        <w:t>I</w:t>
      </w:r>
      <w:r w:rsidRPr="008573C5">
        <w:rPr>
          <w:bCs/>
        </w:rPr>
        <w:t xml:space="preserve">ndustrial, </w:t>
      </w:r>
      <w:r w:rsidR="00125AB2" w:rsidRPr="008573C5">
        <w:rPr>
          <w:bCs/>
        </w:rPr>
        <w:t>P</w:t>
      </w:r>
      <w:r w:rsidRPr="008573C5">
        <w:rPr>
          <w:bCs/>
        </w:rPr>
        <w:t xml:space="preserve">ackaging, </w:t>
      </w:r>
      <w:r w:rsidR="00125AB2" w:rsidRPr="008573C5">
        <w:rPr>
          <w:bCs/>
        </w:rPr>
        <w:t>T</w:t>
      </w:r>
      <w:r w:rsidRPr="008573C5">
        <w:rPr>
          <w:bCs/>
        </w:rPr>
        <w:t xml:space="preserve">extile), </w:t>
      </w:r>
      <w:r w:rsidR="00125AB2" w:rsidRPr="008573C5">
        <w:rPr>
          <w:bCs/>
        </w:rPr>
        <w:t>B</w:t>
      </w:r>
      <w:r w:rsidRPr="008573C5">
        <w:rPr>
          <w:bCs/>
        </w:rPr>
        <w:t>an</w:t>
      </w:r>
      <w:r w:rsidR="00125AB2" w:rsidRPr="008573C5">
        <w:rPr>
          <w:bCs/>
        </w:rPr>
        <w:t>king (local and foreign) and   S</w:t>
      </w:r>
      <w:r w:rsidRPr="008573C5">
        <w:rPr>
          <w:bCs/>
        </w:rPr>
        <w:t xml:space="preserve">ervice (maritime, aviation, commercial, computer, </w:t>
      </w:r>
      <w:r w:rsidR="00125AB2" w:rsidRPr="008573C5">
        <w:rPr>
          <w:bCs/>
        </w:rPr>
        <w:t>hotel), F</w:t>
      </w:r>
      <w:r w:rsidRPr="008573C5">
        <w:rPr>
          <w:bCs/>
        </w:rPr>
        <w:t>ood/</w:t>
      </w:r>
      <w:r w:rsidR="00125AB2" w:rsidRPr="008573C5">
        <w:rPr>
          <w:bCs/>
        </w:rPr>
        <w:t>H</w:t>
      </w:r>
      <w:r w:rsidRPr="008573C5">
        <w:rPr>
          <w:bCs/>
        </w:rPr>
        <w:t>ealth (</w:t>
      </w:r>
      <w:r w:rsidR="00125AB2" w:rsidRPr="008573C5">
        <w:rPr>
          <w:bCs/>
        </w:rPr>
        <w:t>B</w:t>
      </w:r>
      <w:r w:rsidRPr="008573C5">
        <w:rPr>
          <w:bCs/>
        </w:rPr>
        <w:t xml:space="preserve">reweries, </w:t>
      </w:r>
      <w:r w:rsidR="00125AB2" w:rsidRPr="008573C5">
        <w:rPr>
          <w:bCs/>
        </w:rPr>
        <w:t>F</w:t>
      </w:r>
      <w:r w:rsidRPr="008573C5">
        <w:rPr>
          <w:bCs/>
        </w:rPr>
        <w:t xml:space="preserve">ood and </w:t>
      </w:r>
      <w:r w:rsidR="00125AB2" w:rsidRPr="008573C5">
        <w:rPr>
          <w:bCs/>
        </w:rPr>
        <w:t>Beverages, H</w:t>
      </w:r>
      <w:r w:rsidRPr="008573C5">
        <w:rPr>
          <w:bCs/>
        </w:rPr>
        <w:t xml:space="preserve">ealth care), </w:t>
      </w:r>
      <w:r w:rsidR="00125AB2" w:rsidRPr="008573C5">
        <w:rPr>
          <w:bCs/>
        </w:rPr>
        <w:t>B</w:t>
      </w:r>
      <w:r w:rsidRPr="008573C5">
        <w:rPr>
          <w:bCs/>
        </w:rPr>
        <w:t>uilding (</w:t>
      </w:r>
      <w:r w:rsidR="00125AB2" w:rsidRPr="008573C5">
        <w:rPr>
          <w:bCs/>
        </w:rPr>
        <w:t>B</w:t>
      </w:r>
      <w:r w:rsidRPr="008573C5">
        <w:rPr>
          <w:bCs/>
        </w:rPr>
        <w:t xml:space="preserve">uilding materials, </w:t>
      </w:r>
      <w:r w:rsidR="00125AB2" w:rsidRPr="008573C5">
        <w:rPr>
          <w:bCs/>
        </w:rPr>
        <w:t>C</w:t>
      </w:r>
      <w:r w:rsidRPr="008573C5">
        <w:rPr>
          <w:bCs/>
        </w:rPr>
        <w:t xml:space="preserve">hemical and </w:t>
      </w:r>
      <w:r w:rsidR="00125AB2" w:rsidRPr="008573C5">
        <w:rPr>
          <w:bCs/>
        </w:rPr>
        <w:t>P</w:t>
      </w:r>
      <w:r w:rsidRPr="008573C5">
        <w:rPr>
          <w:bCs/>
        </w:rPr>
        <w:t xml:space="preserve">aints, </w:t>
      </w:r>
      <w:r w:rsidR="00125AB2" w:rsidRPr="008573C5">
        <w:rPr>
          <w:bCs/>
        </w:rPr>
        <w:t>R</w:t>
      </w:r>
      <w:r w:rsidRPr="008573C5">
        <w:rPr>
          <w:bCs/>
        </w:rPr>
        <w:t xml:space="preserve">eal </w:t>
      </w:r>
      <w:r w:rsidR="00125AB2" w:rsidRPr="008573C5">
        <w:rPr>
          <w:bCs/>
        </w:rPr>
        <w:t>E</w:t>
      </w:r>
      <w:r w:rsidRPr="008573C5">
        <w:rPr>
          <w:bCs/>
        </w:rPr>
        <w:t xml:space="preserve">state), </w:t>
      </w:r>
      <w:r w:rsidR="00125AB2" w:rsidRPr="008573C5">
        <w:rPr>
          <w:bCs/>
        </w:rPr>
        <w:t>C</w:t>
      </w:r>
      <w:r w:rsidRPr="008573C5">
        <w:rPr>
          <w:bCs/>
        </w:rPr>
        <w:t xml:space="preserve">onglomerate, </w:t>
      </w:r>
      <w:r w:rsidR="00125AB2" w:rsidRPr="008573C5">
        <w:rPr>
          <w:bCs/>
        </w:rPr>
        <w:t>P</w:t>
      </w:r>
      <w:r w:rsidRPr="008573C5">
        <w:rPr>
          <w:bCs/>
        </w:rPr>
        <w:t xml:space="preserve">etroleum marketing, and </w:t>
      </w:r>
      <w:r w:rsidR="00125AB2" w:rsidRPr="008573C5">
        <w:rPr>
          <w:bCs/>
        </w:rPr>
        <w:t>I</w:t>
      </w:r>
      <w:r w:rsidRPr="008573C5">
        <w:rPr>
          <w:bCs/>
        </w:rPr>
        <w:t>nsurance/</w:t>
      </w:r>
      <w:r w:rsidR="00125AB2" w:rsidRPr="008573C5">
        <w:rPr>
          <w:bCs/>
        </w:rPr>
        <w:t>M</w:t>
      </w:r>
      <w:r w:rsidRPr="008573C5">
        <w:rPr>
          <w:bCs/>
        </w:rPr>
        <w:t>ortgage (</w:t>
      </w:r>
      <w:r w:rsidR="00125AB2" w:rsidRPr="008573C5">
        <w:rPr>
          <w:bCs/>
        </w:rPr>
        <w:t>Insurance and Mortgage</w:t>
      </w:r>
      <w:r w:rsidRPr="008573C5">
        <w:rPr>
          <w:bCs/>
        </w:rPr>
        <w:t>). These nine</w:t>
      </w:r>
      <w:r w:rsidR="00125AB2" w:rsidRPr="008573C5">
        <w:rPr>
          <w:bCs/>
        </w:rPr>
        <w:t xml:space="preserve"> industries</w:t>
      </w:r>
      <w:r w:rsidRPr="008573C5">
        <w:rPr>
          <w:bCs/>
        </w:rPr>
        <w:t xml:space="preserve"> </w:t>
      </w:r>
      <w:r w:rsidR="000F125F">
        <w:rPr>
          <w:bCs/>
        </w:rPr>
        <w:t>ar</w:t>
      </w:r>
      <w:r w:rsidRPr="008573C5">
        <w:rPr>
          <w:bCs/>
        </w:rPr>
        <w:t>e further classified as financial and non-financial sectors. The distribution of the sampled industries per sector is as shown in Figure 4.</w:t>
      </w:r>
      <w:r w:rsidR="00C705D0" w:rsidRPr="008573C5">
        <w:rPr>
          <w:bCs/>
        </w:rPr>
        <w:t>11</w:t>
      </w:r>
      <w:r w:rsidRPr="008573C5">
        <w:rPr>
          <w:bCs/>
        </w:rPr>
        <w:t xml:space="preserve"> below. Of the 90 sampled companies, 29 are financial companies while 61 are non-financial companies. This reflects the ratio of the financial companies to non-financial companies at the Nigerian </w:t>
      </w:r>
      <w:r w:rsidR="005E233C" w:rsidRPr="008573C5">
        <w:rPr>
          <w:bCs/>
        </w:rPr>
        <w:t>Stock E</w:t>
      </w:r>
      <w:r w:rsidRPr="008573C5">
        <w:rPr>
          <w:bCs/>
        </w:rPr>
        <w:t>xchange in 2006.</w:t>
      </w:r>
    </w:p>
    <w:p w:rsidR="009664A4" w:rsidRPr="008573C5" w:rsidRDefault="009664A4" w:rsidP="005C7E7D">
      <w:pPr>
        <w:jc w:val="center"/>
        <w:rPr>
          <w:b/>
          <w:sz w:val="28"/>
          <w:szCs w:val="28"/>
        </w:rPr>
      </w:pPr>
    </w:p>
    <w:p w:rsidR="009664A4" w:rsidRPr="008573C5" w:rsidRDefault="009664A4" w:rsidP="005C7E7D">
      <w:pPr>
        <w:jc w:val="center"/>
        <w:rPr>
          <w:b/>
          <w:sz w:val="28"/>
          <w:szCs w:val="28"/>
        </w:rPr>
      </w:pPr>
    </w:p>
    <w:p w:rsidR="00FF5EDF" w:rsidRPr="008573C5" w:rsidRDefault="005E233C" w:rsidP="005C7E7D">
      <w:pPr>
        <w:jc w:val="center"/>
        <w:rPr>
          <w:rFonts w:ascii="System" w:hAnsi="System" w:cs="System"/>
          <w:b/>
          <w:bCs/>
          <w:sz w:val="28"/>
          <w:szCs w:val="28"/>
        </w:rPr>
      </w:pPr>
      <w:r w:rsidRPr="008573C5">
        <w:rPr>
          <w:b/>
          <w:sz w:val="28"/>
          <w:szCs w:val="28"/>
        </w:rPr>
        <w:t>T</w:t>
      </w:r>
      <w:r w:rsidR="00FF5EDF" w:rsidRPr="008573C5">
        <w:rPr>
          <w:b/>
          <w:sz w:val="28"/>
          <w:szCs w:val="28"/>
        </w:rPr>
        <w:t>able 4.</w:t>
      </w:r>
      <w:r w:rsidR="00FB1D8E" w:rsidRPr="008573C5">
        <w:rPr>
          <w:b/>
          <w:sz w:val="28"/>
          <w:szCs w:val="28"/>
        </w:rPr>
        <w:t>11</w:t>
      </w:r>
      <w:r w:rsidR="00FF5EDF" w:rsidRPr="008573C5">
        <w:rPr>
          <w:b/>
          <w:sz w:val="28"/>
          <w:szCs w:val="28"/>
        </w:rPr>
        <w:t>: Industries by Sector Cross</w:t>
      </w:r>
      <w:r w:rsidR="00FB1D8E" w:rsidRPr="008573C5">
        <w:rPr>
          <w:b/>
          <w:sz w:val="28"/>
          <w:szCs w:val="28"/>
        </w:rPr>
        <w:t>-</w:t>
      </w:r>
      <w:r w:rsidR="00FF5EDF" w:rsidRPr="008573C5">
        <w:rPr>
          <w:b/>
          <w:sz w:val="28"/>
          <w:szCs w:val="28"/>
        </w:rPr>
        <w:t>tabulation</w:t>
      </w:r>
    </w:p>
    <w:p w:rsidR="00FF5EDF" w:rsidRPr="008573C5" w:rsidRDefault="006F1BDD" w:rsidP="005C7E7D">
      <w:pPr>
        <w:autoSpaceDE w:val="0"/>
        <w:autoSpaceDN w:val="0"/>
        <w:adjustRightInd w:val="0"/>
        <w:rPr>
          <w:rFonts w:ascii="System" w:eastAsia="Calibri" w:hAnsi="System" w:cs="System"/>
          <w:b/>
          <w:bCs/>
          <w:sz w:val="20"/>
          <w:szCs w:val="20"/>
        </w:rPr>
      </w:pPr>
      <w:r w:rsidRPr="008573C5">
        <w:rPr>
          <w:rFonts w:ascii="System" w:eastAsia="Calibri" w:hAnsi="System" w:cs="System"/>
          <w:b/>
          <w:noProof/>
          <w:sz w:val="20"/>
          <w:szCs w:val="20"/>
        </w:rPr>
        <w:drawing>
          <wp:inline distT="0" distB="0" distL="0" distR="0">
            <wp:extent cx="5207000" cy="4389120"/>
            <wp:effectExtent l="19050" t="0" r="0" b="0"/>
            <wp:docPr id="2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a:stretch>
                      <a:fillRect/>
                    </a:stretch>
                  </pic:blipFill>
                  <pic:spPr bwMode="auto">
                    <a:xfrm>
                      <a:off x="0" y="0"/>
                      <a:ext cx="5207000" cy="4389120"/>
                    </a:xfrm>
                    <a:prstGeom prst="rect">
                      <a:avLst/>
                    </a:prstGeom>
                    <a:noFill/>
                    <a:ln w="9525">
                      <a:noFill/>
                      <a:miter lim="800000"/>
                      <a:headEnd/>
                      <a:tailEnd/>
                    </a:ln>
                  </pic:spPr>
                </pic:pic>
              </a:graphicData>
            </a:graphic>
          </wp:inline>
        </w:drawing>
      </w:r>
    </w:p>
    <w:p w:rsidR="00BF4515" w:rsidRPr="008573C5" w:rsidRDefault="00BF4515" w:rsidP="005C7E7D">
      <w:pPr>
        <w:autoSpaceDE w:val="0"/>
        <w:autoSpaceDN w:val="0"/>
        <w:adjustRightInd w:val="0"/>
        <w:jc w:val="center"/>
        <w:rPr>
          <w:rFonts w:eastAsia="Calibri"/>
          <w:b/>
          <w:bCs/>
        </w:rPr>
      </w:pPr>
      <w:r w:rsidRPr="008573C5">
        <w:rPr>
          <w:rFonts w:eastAsia="Calibri"/>
          <w:b/>
          <w:bCs/>
        </w:rPr>
        <w:t>Source: Field Study (2009)</w:t>
      </w:r>
    </w:p>
    <w:p w:rsidR="00FF5EDF" w:rsidRPr="008573C5" w:rsidRDefault="00FF5EDF" w:rsidP="00BF4515">
      <w:pPr>
        <w:autoSpaceDE w:val="0"/>
        <w:autoSpaceDN w:val="0"/>
        <w:adjustRightInd w:val="0"/>
        <w:jc w:val="center"/>
        <w:rPr>
          <w:b/>
          <w:lang w:val="en-GB"/>
        </w:rPr>
      </w:pPr>
    </w:p>
    <w:p w:rsidR="001F1FFC" w:rsidRPr="008573C5" w:rsidRDefault="002E11C4" w:rsidP="001F1FFC">
      <w:pPr>
        <w:autoSpaceDE w:val="0"/>
        <w:autoSpaceDN w:val="0"/>
        <w:adjustRightInd w:val="0"/>
        <w:spacing w:line="360" w:lineRule="auto"/>
        <w:jc w:val="both"/>
        <w:rPr>
          <w:b/>
          <w:sz w:val="28"/>
          <w:szCs w:val="28"/>
        </w:rPr>
      </w:pPr>
      <w:r w:rsidRPr="008573C5">
        <w:rPr>
          <w:b/>
          <w:sz w:val="28"/>
          <w:szCs w:val="28"/>
        </w:rPr>
        <w:t>4.1.3</w:t>
      </w:r>
      <w:r w:rsidRPr="008573C5">
        <w:rPr>
          <w:b/>
          <w:sz w:val="28"/>
          <w:szCs w:val="28"/>
        </w:rPr>
        <w:tab/>
      </w:r>
      <w:r w:rsidR="001F1FFC" w:rsidRPr="008573C5">
        <w:rPr>
          <w:b/>
          <w:sz w:val="28"/>
          <w:szCs w:val="28"/>
        </w:rPr>
        <w:t>Normality</w:t>
      </w:r>
      <w:r w:rsidR="00FD0F26" w:rsidRPr="008573C5">
        <w:rPr>
          <w:b/>
          <w:sz w:val="28"/>
          <w:szCs w:val="28"/>
        </w:rPr>
        <w:t xml:space="preserve"> Tests</w:t>
      </w:r>
    </w:p>
    <w:p w:rsidR="001F1FFC" w:rsidRDefault="00A11EAF" w:rsidP="001F1FFC">
      <w:pPr>
        <w:autoSpaceDE w:val="0"/>
        <w:autoSpaceDN w:val="0"/>
        <w:adjustRightInd w:val="0"/>
        <w:spacing w:line="360" w:lineRule="auto"/>
        <w:jc w:val="both"/>
      </w:pPr>
      <w:r w:rsidRPr="008573C5">
        <w:t xml:space="preserve">The data was </w:t>
      </w:r>
      <w:r w:rsidR="001F1FFC" w:rsidRPr="008573C5">
        <w:t xml:space="preserve">examined </w:t>
      </w:r>
      <w:r w:rsidR="00131A68" w:rsidRPr="008573C5">
        <w:t xml:space="preserve">for </w:t>
      </w:r>
      <w:r w:rsidR="001F1FFC" w:rsidRPr="008573C5">
        <w:t xml:space="preserve">normality. Appendix </w:t>
      </w:r>
      <w:r w:rsidR="00C25B1A" w:rsidRPr="008573C5">
        <w:t>VI</w:t>
      </w:r>
      <w:r w:rsidR="001F1FFC" w:rsidRPr="008573C5">
        <w:t xml:space="preserve"> </w:t>
      </w:r>
      <w:r w:rsidR="001C3856" w:rsidRPr="008573C5">
        <w:t>reveals the non-linearity of the</w:t>
      </w:r>
      <w:r w:rsidR="001F1FFC" w:rsidRPr="008573C5">
        <w:t xml:space="preserve"> dependent and independent data. The Kolmogorov-Smirnov tests </w:t>
      </w:r>
      <w:r w:rsidR="005E233C" w:rsidRPr="008573C5">
        <w:t>are</w:t>
      </w:r>
      <w:r w:rsidR="001F1FFC" w:rsidRPr="008573C5">
        <w:t xml:space="preserve"> shown in Table </w:t>
      </w:r>
      <w:r w:rsidR="00C25B1A" w:rsidRPr="008573C5">
        <w:t>4.12</w:t>
      </w:r>
      <w:r w:rsidR="001F1FFC" w:rsidRPr="008573C5">
        <w:t xml:space="preserve"> below.</w:t>
      </w:r>
    </w:p>
    <w:p w:rsidR="000F125F" w:rsidRPr="008573C5" w:rsidRDefault="000F125F" w:rsidP="001F1FFC">
      <w:pPr>
        <w:autoSpaceDE w:val="0"/>
        <w:autoSpaceDN w:val="0"/>
        <w:adjustRightInd w:val="0"/>
        <w:spacing w:line="360" w:lineRule="auto"/>
        <w:jc w:val="both"/>
      </w:pPr>
    </w:p>
    <w:p w:rsidR="001F1FFC" w:rsidRPr="008573C5" w:rsidRDefault="001F1FFC" w:rsidP="001F1FFC">
      <w:pPr>
        <w:autoSpaceDE w:val="0"/>
        <w:autoSpaceDN w:val="0"/>
        <w:adjustRightInd w:val="0"/>
        <w:spacing w:line="360" w:lineRule="auto"/>
        <w:jc w:val="center"/>
        <w:rPr>
          <w:b/>
          <w:sz w:val="28"/>
          <w:szCs w:val="28"/>
        </w:rPr>
      </w:pPr>
      <w:r w:rsidRPr="008573C5">
        <w:rPr>
          <w:b/>
          <w:sz w:val="28"/>
          <w:szCs w:val="28"/>
        </w:rPr>
        <w:t xml:space="preserve">Table </w:t>
      </w:r>
      <w:r w:rsidR="008453FC" w:rsidRPr="008573C5">
        <w:rPr>
          <w:b/>
          <w:sz w:val="28"/>
          <w:szCs w:val="28"/>
        </w:rPr>
        <w:t>4.12</w:t>
      </w:r>
      <w:r w:rsidRPr="008573C5">
        <w:rPr>
          <w:b/>
          <w:sz w:val="28"/>
          <w:szCs w:val="28"/>
        </w:rPr>
        <w:t>: Tests of Normality</w:t>
      </w:r>
    </w:p>
    <w:p w:rsidR="001F1FFC" w:rsidRPr="008573C5" w:rsidRDefault="006F1BDD" w:rsidP="001F1FFC">
      <w:pPr>
        <w:autoSpaceDE w:val="0"/>
        <w:autoSpaceDN w:val="0"/>
        <w:adjustRightInd w:val="0"/>
        <w:spacing w:line="360" w:lineRule="auto"/>
        <w:jc w:val="center"/>
        <w:rPr>
          <w:rFonts w:ascii="System" w:eastAsia="Calibri" w:hAnsi="System" w:cs="System"/>
          <w:b/>
          <w:bCs/>
          <w:sz w:val="20"/>
          <w:szCs w:val="20"/>
        </w:rPr>
      </w:pPr>
      <w:r w:rsidRPr="008573C5">
        <w:rPr>
          <w:rFonts w:ascii="System" w:eastAsia="Calibri" w:hAnsi="System" w:cs="System"/>
          <w:b/>
          <w:noProof/>
          <w:sz w:val="20"/>
          <w:szCs w:val="20"/>
        </w:rPr>
        <w:drawing>
          <wp:inline distT="0" distB="0" distL="0" distR="0">
            <wp:extent cx="2786380" cy="2118995"/>
            <wp:effectExtent l="1905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786380" cy="2118995"/>
                    </a:xfrm>
                    <a:prstGeom prst="rect">
                      <a:avLst/>
                    </a:prstGeom>
                    <a:noFill/>
                    <a:ln w="9525">
                      <a:noFill/>
                      <a:miter lim="800000"/>
                      <a:headEnd/>
                      <a:tailEnd/>
                    </a:ln>
                  </pic:spPr>
                </pic:pic>
              </a:graphicData>
            </a:graphic>
          </wp:inline>
        </w:drawing>
      </w:r>
    </w:p>
    <w:p w:rsidR="00BF4515" w:rsidRPr="008573C5" w:rsidRDefault="00BF4515" w:rsidP="00BF4515">
      <w:pPr>
        <w:autoSpaceDE w:val="0"/>
        <w:autoSpaceDN w:val="0"/>
        <w:adjustRightInd w:val="0"/>
        <w:jc w:val="center"/>
        <w:rPr>
          <w:rFonts w:eastAsia="Calibri"/>
          <w:b/>
          <w:bCs/>
        </w:rPr>
      </w:pPr>
      <w:r w:rsidRPr="008573C5">
        <w:rPr>
          <w:rFonts w:eastAsia="Calibri"/>
          <w:b/>
          <w:bCs/>
        </w:rPr>
        <w:t>Source: Field Study (2009)</w:t>
      </w:r>
    </w:p>
    <w:p w:rsidR="001F1FFC" w:rsidRPr="008573C5" w:rsidRDefault="001F1FFC" w:rsidP="001F1FFC">
      <w:pPr>
        <w:autoSpaceDE w:val="0"/>
        <w:autoSpaceDN w:val="0"/>
        <w:adjustRightInd w:val="0"/>
        <w:spacing w:line="360" w:lineRule="auto"/>
        <w:jc w:val="center"/>
        <w:rPr>
          <w:rFonts w:ascii="System" w:eastAsia="Calibri" w:hAnsi="System" w:cs="System"/>
          <w:b/>
          <w:bCs/>
          <w:sz w:val="20"/>
          <w:szCs w:val="20"/>
        </w:rPr>
      </w:pPr>
    </w:p>
    <w:p w:rsidR="001F1FFC" w:rsidRPr="008573C5" w:rsidRDefault="001F1FFC" w:rsidP="001F1FFC">
      <w:pPr>
        <w:autoSpaceDE w:val="0"/>
        <w:autoSpaceDN w:val="0"/>
        <w:adjustRightInd w:val="0"/>
        <w:spacing w:line="360" w:lineRule="auto"/>
        <w:jc w:val="both"/>
        <w:rPr>
          <w:rFonts w:eastAsia="Calibri"/>
        </w:rPr>
      </w:pPr>
      <w:r w:rsidRPr="008573C5">
        <w:t xml:space="preserve">It can be seen from above, that the test is significant for all the continuous independent and dependent variables except for the factored size variable, with p &gt; </w:t>
      </w:r>
      <w:r w:rsidR="00606A52" w:rsidRPr="008573C5">
        <w:t>0</w:t>
      </w:r>
      <w:r w:rsidRPr="008573C5">
        <w:t>.05. According to Field (2006:93), a Kolmogorov-Smirnov test with p &gt; .05 tells us that distribution of the sample is not significantly different from a normal distribution, but if however, the result is opposite i. e. p &lt; .05, that means the distribution is non-normal. A pictorially view of the normal Q-Q plot of these variables can be seen in Appendix V</w:t>
      </w:r>
      <w:r w:rsidR="00C25B1A" w:rsidRPr="008573C5">
        <w:t>I</w:t>
      </w:r>
      <w:r w:rsidRPr="008573C5">
        <w:t>. This result reveal</w:t>
      </w:r>
      <w:r w:rsidR="005E233C" w:rsidRPr="008573C5">
        <w:t>s that majority of the variables do</w:t>
      </w:r>
      <w:r w:rsidRPr="008573C5">
        <w:t xml:space="preserve"> not comply w</w:t>
      </w:r>
      <w:r w:rsidR="005E233C" w:rsidRPr="008573C5">
        <w:t xml:space="preserve">ith the normality assumption, </w:t>
      </w:r>
      <w:r w:rsidRPr="008573C5">
        <w:t xml:space="preserve">therefore, a </w:t>
      </w:r>
      <w:r w:rsidRPr="008573C5">
        <w:rPr>
          <w:rFonts w:eastAsia="Calibri"/>
        </w:rPr>
        <w:t xml:space="preserve"> rank transformation</w:t>
      </w:r>
      <w:r w:rsidR="000F125F">
        <w:rPr>
          <w:rFonts w:eastAsia="Calibri"/>
        </w:rPr>
        <w:t xml:space="preserve"> ordinary least square method i</w:t>
      </w:r>
      <w:r w:rsidRPr="008573C5">
        <w:rPr>
          <w:rFonts w:eastAsia="Calibri"/>
        </w:rPr>
        <w:t>s used to analyze the secondary data. This</w:t>
      </w:r>
      <w:r w:rsidR="000F125F">
        <w:rPr>
          <w:rFonts w:eastAsia="Calibri"/>
        </w:rPr>
        <w:t xml:space="preserve"> i</w:t>
      </w:r>
      <w:r w:rsidRPr="008573C5">
        <w:rPr>
          <w:rFonts w:eastAsia="Calibri"/>
        </w:rPr>
        <w:t xml:space="preserve">s employed in testing all the hypotheses </w:t>
      </w:r>
    </w:p>
    <w:p w:rsidR="000F125F" w:rsidRDefault="000F125F" w:rsidP="00FF5EDF">
      <w:pPr>
        <w:spacing w:before="100" w:beforeAutospacing="1" w:after="100" w:afterAutospacing="1" w:line="480" w:lineRule="auto"/>
        <w:jc w:val="both"/>
        <w:rPr>
          <w:rFonts w:ascii="Times" w:hAnsi="Times" w:cs="Times"/>
          <w:b/>
          <w:sz w:val="28"/>
          <w:szCs w:val="28"/>
        </w:rPr>
      </w:pPr>
    </w:p>
    <w:p w:rsidR="000F125F" w:rsidRDefault="000F125F" w:rsidP="00FF5EDF">
      <w:pPr>
        <w:spacing w:before="100" w:beforeAutospacing="1" w:after="100" w:afterAutospacing="1" w:line="480" w:lineRule="auto"/>
        <w:jc w:val="both"/>
        <w:rPr>
          <w:rFonts w:ascii="Times" w:hAnsi="Times" w:cs="Times"/>
          <w:b/>
          <w:sz w:val="28"/>
          <w:szCs w:val="28"/>
        </w:rPr>
      </w:pPr>
    </w:p>
    <w:p w:rsidR="000F125F" w:rsidRDefault="000F125F" w:rsidP="00FF5EDF">
      <w:pPr>
        <w:spacing w:before="100" w:beforeAutospacing="1" w:after="100" w:afterAutospacing="1" w:line="480" w:lineRule="auto"/>
        <w:jc w:val="both"/>
        <w:rPr>
          <w:rFonts w:ascii="Times" w:hAnsi="Times" w:cs="Times"/>
          <w:b/>
          <w:sz w:val="28"/>
          <w:szCs w:val="28"/>
        </w:rPr>
      </w:pPr>
    </w:p>
    <w:p w:rsidR="000F125F" w:rsidRDefault="000F125F" w:rsidP="00FF5EDF">
      <w:pPr>
        <w:spacing w:before="100" w:beforeAutospacing="1" w:after="100" w:afterAutospacing="1" w:line="480" w:lineRule="auto"/>
        <w:jc w:val="both"/>
        <w:rPr>
          <w:rFonts w:ascii="Times" w:hAnsi="Times" w:cs="Times"/>
          <w:b/>
          <w:sz w:val="28"/>
          <w:szCs w:val="28"/>
        </w:rPr>
      </w:pPr>
    </w:p>
    <w:p w:rsidR="000F125F" w:rsidRDefault="000F125F" w:rsidP="00FF5EDF">
      <w:pPr>
        <w:spacing w:before="100" w:beforeAutospacing="1" w:after="100" w:afterAutospacing="1" w:line="480" w:lineRule="auto"/>
        <w:jc w:val="both"/>
        <w:rPr>
          <w:rFonts w:ascii="Times" w:hAnsi="Times" w:cs="Times"/>
          <w:b/>
          <w:sz w:val="28"/>
          <w:szCs w:val="28"/>
        </w:rPr>
      </w:pPr>
    </w:p>
    <w:p w:rsidR="000F125F" w:rsidRDefault="000F125F" w:rsidP="00FF5EDF">
      <w:pPr>
        <w:spacing w:before="100" w:beforeAutospacing="1" w:after="100" w:afterAutospacing="1" w:line="480" w:lineRule="auto"/>
        <w:jc w:val="both"/>
        <w:rPr>
          <w:rFonts w:ascii="Times" w:hAnsi="Times" w:cs="Times"/>
          <w:b/>
          <w:sz w:val="28"/>
          <w:szCs w:val="28"/>
        </w:rPr>
      </w:pPr>
    </w:p>
    <w:p w:rsidR="00FF5EDF" w:rsidRPr="008573C5" w:rsidRDefault="002E11C4" w:rsidP="00FF5EDF">
      <w:pPr>
        <w:spacing w:before="100" w:beforeAutospacing="1" w:after="100" w:afterAutospacing="1" w:line="480" w:lineRule="auto"/>
        <w:jc w:val="both"/>
        <w:rPr>
          <w:b/>
          <w:sz w:val="28"/>
          <w:szCs w:val="28"/>
        </w:rPr>
      </w:pPr>
      <w:r w:rsidRPr="008573C5">
        <w:rPr>
          <w:rFonts w:ascii="Times" w:hAnsi="Times" w:cs="Times"/>
          <w:b/>
          <w:sz w:val="28"/>
          <w:szCs w:val="28"/>
        </w:rPr>
        <w:t>4.</w:t>
      </w:r>
      <w:r w:rsidR="006E04D2" w:rsidRPr="008573C5">
        <w:rPr>
          <w:rFonts w:ascii="Times" w:hAnsi="Times" w:cs="Times"/>
          <w:b/>
          <w:sz w:val="28"/>
          <w:szCs w:val="28"/>
        </w:rPr>
        <w:t>2</w:t>
      </w:r>
      <w:r w:rsidR="006E04D2" w:rsidRPr="008573C5">
        <w:rPr>
          <w:rFonts w:ascii="Times" w:hAnsi="Times" w:cs="Times"/>
          <w:b/>
          <w:sz w:val="28"/>
          <w:szCs w:val="28"/>
        </w:rPr>
        <w:tab/>
      </w:r>
      <w:r w:rsidR="00FF5EDF" w:rsidRPr="008573C5">
        <w:rPr>
          <w:rFonts w:ascii="Times" w:hAnsi="Times" w:cs="Times"/>
          <w:b/>
          <w:sz w:val="28"/>
          <w:szCs w:val="28"/>
        </w:rPr>
        <w:t>A</w:t>
      </w:r>
      <w:r w:rsidR="005A6CA1" w:rsidRPr="008573C5">
        <w:rPr>
          <w:rFonts w:ascii="Times" w:hAnsi="Times" w:cs="Times"/>
          <w:b/>
          <w:sz w:val="28"/>
          <w:szCs w:val="28"/>
        </w:rPr>
        <w:t xml:space="preserve">nalysis of Annual Reports </w:t>
      </w:r>
      <w:r w:rsidR="00FF5EDF" w:rsidRPr="008573C5">
        <w:rPr>
          <w:rFonts w:ascii="Times" w:hAnsi="Times" w:cs="Times"/>
          <w:b/>
          <w:sz w:val="28"/>
          <w:szCs w:val="28"/>
        </w:rPr>
        <w:t xml:space="preserve">- </w:t>
      </w:r>
      <w:r w:rsidR="005A6CA1" w:rsidRPr="008573C5">
        <w:rPr>
          <w:rFonts w:ascii="Times" w:hAnsi="Times" w:cs="Times"/>
          <w:b/>
          <w:sz w:val="28"/>
          <w:szCs w:val="28"/>
        </w:rPr>
        <w:t>Advance</w:t>
      </w:r>
    </w:p>
    <w:p w:rsidR="00FF5EDF" w:rsidRPr="008573C5" w:rsidRDefault="002E11C4" w:rsidP="00FF5EDF">
      <w:pPr>
        <w:spacing w:before="100" w:beforeAutospacing="1" w:after="100" w:afterAutospacing="1" w:line="480" w:lineRule="auto"/>
        <w:rPr>
          <w:b/>
        </w:rPr>
      </w:pPr>
      <w:r w:rsidRPr="008573C5">
        <w:rPr>
          <w:b/>
        </w:rPr>
        <w:t>4.</w:t>
      </w:r>
      <w:r w:rsidR="006E04D2" w:rsidRPr="008573C5">
        <w:rPr>
          <w:b/>
        </w:rPr>
        <w:t>2.1</w:t>
      </w:r>
      <w:r w:rsidRPr="008573C5">
        <w:rPr>
          <w:b/>
        </w:rPr>
        <w:tab/>
      </w:r>
      <w:r w:rsidR="00FF5EDF" w:rsidRPr="008573C5">
        <w:rPr>
          <w:b/>
        </w:rPr>
        <w:t xml:space="preserve">Factor Analysis </w:t>
      </w:r>
    </w:p>
    <w:p w:rsidR="00FF5EDF" w:rsidRPr="008573C5" w:rsidRDefault="00FF5EDF" w:rsidP="00737170">
      <w:pPr>
        <w:spacing w:before="100" w:beforeAutospacing="1" w:after="100" w:afterAutospacing="1" w:line="360" w:lineRule="auto"/>
      </w:pPr>
      <w:r w:rsidRPr="008573C5">
        <w:t>Factor analysis is used to obtain a composite score to represent the size variable.</w:t>
      </w:r>
      <w:r w:rsidR="00C705D0" w:rsidRPr="008573C5">
        <w:t xml:space="preserve"> </w:t>
      </w:r>
    </w:p>
    <w:p w:rsidR="00BF4515" w:rsidRPr="008573C5" w:rsidRDefault="00FF5EDF" w:rsidP="00BF4515">
      <w:pPr>
        <w:autoSpaceDE w:val="0"/>
        <w:autoSpaceDN w:val="0"/>
        <w:adjustRightInd w:val="0"/>
        <w:jc w:val="center"/>
        <w:rPr>
          <w:rFonts w:eastAsia="Calibri"/>
          <w:b/>
          <w:bCs/>
        </w:rPr>
      </w:pPr>
      <w:r w:rsidRPr="008573C5">
        <w:rPr>
          <w:b/>
          <w:sz w:val="28"/>
          <w:szCs w:val="28"/>
        </w:rPr>
        <w:t>Table 4.</w:t>
      </w:r>
      <w:r w:rsidR="008453FC" w:rsidRPr="008573C5">
        <w:rPr>
          <w:b/>
          <w:sz w:val="28"/>
          <w:szCs w:val="28"/>
        </w:rPr>
        <w:t>13</w:t>
      </w:r>
      <w:r w:rsidRPr="008573C5">
        <w:rPr>
          <w:b/>
          <w:sz w:val="28"/>
          <w:szCs w:val="28"/>
        </w:rPr>
        <w:t>: Correlation Matrix of the Size Variables</w:t>
      </w:r>
      <w:r w:rsidR="006F1BDD" w:rsidRPr="008573C5">
        <w:rPr>
          <w:rFonts w:ascii="System" w:eastAsia="Calibri" w:hAnsi="System" w:cs="System"/>
          <w:b/>
          <w:noProof/>
          <w:sz w:val="20"/>
          <w:szCs w:val="20"/>
        </w:rPr>
        <w:drawing>
          <wp:inline distT="0" distB="0" distL="0" distR="0">
            <wp:extent cx="6110605" cy="2829560"/>
            <wp:effectExtent l="19050" t="0" r="4445"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6110605" cy="2829560"/>
                    </a:xfrm>
                    <a:prstGeom prst="rect">
                      <a:avLst/>
                    </a:prstGeom>
                    <a:noFill/>
                    <a:ln w="9525">
                      <a:noFill/>
                      <a:miter lim="800000"/>
                      <a:headEnd/>
                      <a:tailEnd/>
                    </a:ln>
                  </pic:spPr>
                </pic:pic>
              </a:graphicData>
            </a:graphic>
          </wp:inline>
        </w:drawing>
      </w:r>
      <w:r w:rsidR="00BF4515" w:rsidRPr="008573C5">
        <w:rPr>
          <w:rFonts w:eastAsia="Calibri"/>
          <w:bCs/>
        </w:rPr>
        <w:t xml:space="preserve"> </w:t>
      </w:r>
      <w:r w:rsidR="00BF4515" w:rsidRPr="008573C5">
        <w:rPr>
          <w:rFonts w:eastAsia="Calibri"/>
          <w:b/>
          <w:bCs/>
        </w:rPr>
        <w:t>Source: Field Study (2009)</w:t>
      </w:r>
    </w:p>
    <w:p w:rsidR="00FF5EDF" w:rsidRPr="008573C5" w:rsidRDefault="00C705D0" w:rsidP="000A4921">
      <w:pPr>
        <w:spacing w:before="100" w:beforeAutospacing="1" w:after="100" w:afterAutospacing="1" w:line="360" w:lineRule="auto"/>
        <w:jc w:val="both"/>
      </w:pPr>
      <w:r w:rsidRPr="008573C5">
        <w:t xml:space="preserve">Table 4.13 shows the </w:t>
      </w:r>
      <w:r w:rsidR="00FF5EDF" w:rsidRPr="008573C5">
        <w:t xml:space="preserve">R-Matrix (Correlation Matrix), with the top half containing the Pearson correlation coefficient between all pairs of variables and the bottom half containing one-tail significance of these coefficients. Checking the pattern of relationships, it is observed that the variables correlate fairly well (between </w:t>
      </w:r>
      <w:r w:rsidRPr="008573C5">
        <w:t>0</w:t>
      </w:r>
      <w:r w:rsidR="00FF5EDF" w:rsidRPr="008573C5">
        <w:t>.327 and 0.848), but not perfectly. There is no correlation coefficient particularly large (greater than 0.9) and there is no significant value greater than 0.05. Hence there is no problem of singularity of data. To ensure multicollinearity will not pose a problem, the determinant of the correlation matrix is checked. It is seen to be 0.0391, which is greater than the necessary value 0.00001</w:t>
      </w:r>
      <w:r w:rsidR="00B956C9" w:rsidRPr="008573C5">
        <w:t xml:space="preserve"> </w:t>
      </w:r>
      <w:r w:rsidR="00FF5EDF" w:rsidRPr="008573C5">
        <w:t>(</w:t>
      </w:r>
      <w:r w:rsidR="00091B67" w:rsidRPr="008573C5">
        <w:t>Field</w:t>
      </w:r>
      <w:r w:rsidR="00FF5EDF" w:rsidRPr="008573C5">
        <w:t xml:space="preserve">, 2006:641), this gives the </w:t>
      </w:r>
      <w:r w:rsidR="00091B67" w:rsidRPr="008573C5">
        <w:t>confidence needed</w:t>
      </w:r>
      <w:r w:rsidR="00FF5EDF" w:rsidRPr="008573C5">
        <w:t xml:space="preserve"> to proceed with the factor analysis.</w:t>
      </w:r>
    </w:p>
    <w:p w:rsidR="00FF5EDF" w:rsidRPr="008573C5" w:rsidRDefault="00FF5EDF" w:rsidP="000A4921">
      <w:pPr>
        <w:spacing w:before="100" w:beforeAutospacing="1" w:after="100" w:afterAutospacing="1" w:line="360" w:lineRule="auto"/>
        <w:jc w:val="both"/>
      </w:pPr>
      <w:r w:rsidRPr="008573C5">
        <w:t>The Kaiser-Meyer-Olkin (KMO) and Bartlett’s tests are shown in Table 4.</w:t>
      </w:r>
      <w:r w:rsidR="00737170" w:rsidRPr="008573C5">
        <w:t>14</w:t>
      </w:r>
      <w:r w:rsidRPr="008573C5">
        <w:t xml:space="preserve"> below. The KMO statistics vary from 0 to 1 and it</w:t>
      </w:r>
      <w:r w:rsidR="00091B67" w:rsidRPr="008573C5">
        <w:t xml:space="preserve"> is normally us</w:t>
      </w:r>
      <w:r w:rsidRPr="008573C5">
        <w:t xml:space="preserve">ed in testing the adequacy of the samples. The rule of the thumb is that the KMO must be greater than 0.5 to be adequate. From the table it can be seen that the KMO is 0.804 which shows that the sample is adequate and factor analysis is appropriate for </w:t>
      </w:r>
    </w:p>
    <w:p w:rsidR="00FF5EDF" w:rsidRPr="008573C5" w:rsidRDefault="00FF5EDF" w:rsidP="00FF5EDF">
      <w:pPr>
        <w:spacing w:before="100" w:beforeAutospacing="1" w:after="100" w:afterAutospacing="1" w:line="480" w:lineRule="auto"/>
        <w:jc w:val="center"/>
        <w:rPr>
          <w:sz w:val="28"/>
          <w:szCs w:val="28"/>
        </w:rPr>
      </w:pPr>
      <w:r w:rsidRPr="008573C5">
        <w:rPr>
          <w:b/>
          <w:sz w:val="28"/>
          <w:szCs w:val="28"/>
        </w:rPr>
        <w:t>Table 4.</w:t>
      </w:r>
      <w:r w:rsidR="008453FC" w:rsidRPr="008573C5">
        <w:rPr>
          <w:b/>
          <w:sz w:val="28"/>
          <w:szCs w:val="28"/>
        </w:rPr>
        <w:t>14</w:t>
      </w:r>
      <w:r w:rsidRPr="008573C5">
        <w:rPr>
          <w:b/>
          <w:sz w:val="28"/>
          <w:szCs w:val="28"/>
        </w:rPr>
        <w:t>: KMO and Bartlett’s Test for the Size Variables</w:t>
      </w:r>
    </w:p>
    <w:p w:rsidR="00FF5EDF" w:rsidRPr="008573C5" w:rsidRDefault="006F1BDD" w:rsidP="00BF4515">
      <w:pPr>
        <w:autoSpaceDE w:val="0"/>
        <w:autoSpaceDN w:val="0"/>
        <w:adjustRightInd w:val="0"/>
        <w:jc w:val="center"/>
        <w:rPr>
          <w:rFonts w:ascii="System" w:eastAsia="Calibri" w:hAnsi="System" w:cs="System"/>
          <w:b/>
          <w:bCs/>
          <w:sz w:val="20"/>
          <w:szCs w:val="20"/>
        </w:rPr>
      </w:pPr>
      <w:r w:rsidRPr="008573C5">
        <w:rPr>
          <w:rFonts w:ascii="System" w:eastAsia="Calibri" w:hAnsi="System" w:cs="System"/>
          <w:b/>
          <w:noProof/>
          <w:sz w:val="20"/>
          <w:szCs w:val="20"/>
        </w:rPr>
        <w:drawing>
          <wp:inline distT="0" distB="0" distL="0" distR="0">
            <wp:extent cx="3409950" cy="1409065"/>
            <wp:effectExtent l="1905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409950" cy="1409065"/>
                    </a:xfrm>
                    <a:prstGeom prst="rect">
                      <a:avLst/>
                    </a:prstGeom>
                    <a:noFill/>
                    <a:ln w="9525">
                      <a:noFill/>
                      <a:miter lim="800000"/>
                      <a:headEnd/>
                      <a:tailEnd/>
                    </a:ln>
                  </pic:spPr>
                </pic:pic>
              </a:graphicData>
            </a:graphic>
          </wp:inline>
        </w:drawing>
      </w:r>
    </w:p>
    <w:p w:rsidR="00BF4515" w:rsidRPr="008573C5" w:rsidRDefault="00BF4515" w:rsidP="00BF4515">
      <w:pPr>
        <w:autoSpaceDE w:val="0"/>
        <w:autoSpaceDN w:val="0"/>
        <w:adjustRightInd w:val="0"/>
        <w:jc w:val="center"/>
        <w:rPr>
          <w:rFonts w:eastAsia="Calibri"/>
          <w:b/>
          <w:bCs/>
        </w:rPr>
      </w:pPr>
      <w:r w:rsidRPr="008573C5">
        <w:rPr>
          <w:rFonts w:eastAsia="Calibri"/>
          <w:b/>
          <w:bCs/>
        </w:rPr>
        <w:t>Source: Field Study (2009)</w:t>
      </w:r>
    </w:p>
    <w:p w:rsidR="00BF4515" w:rsidRPr="008573C5" w:rsidRDefault="00BF4515" w:rsidP="00BF4515">
      <w:pPr>
        <w:spacing w:before="100" w:beforeAutospacing="1" w:after="100" w:afterAutospacing="1" w:line="360" w:lineRule="auto"/>
        <w:jc w:val="center"/>
      </w:pPr>
    </w:p>
    <w:p w:rsidR="00FF5EDF" w:rsidRPr="008573C5" w:rsidRDefault="00FF5EDF" w:rsidP="004A665C">
      <w:pPr>
        <w:spacing w:before="100" w:beforeAutospacing="1" w:after="100" w:afterAutospacing="1" w:line="360" w:lineRule="auto"/>
        <w:jc w:val="both"/>
      </w:pPr>
      <w:r w:rsidRPr="008573C5">
        <w:t>the data. To proceed on the factor analysis we need to check further if there are relationships between the variables and the original correlation matrix is not an identity matrix. Barlett’s test of sphericity is used to conduct this test. On checking the result in Table 4.</w:t>
      </w:r>
      <w:r w:rsidR="00B956C9" w:rsidRPr="008573C5">
        <w:t>14</w:t>
      </w:r>
      <w:r w:rsidRPr="008573C5">
        <w:t>, it is seen that the Bartlett’s test is highly significant (.000) with p&lt; .001.  This shows that the R-Matrix is not an identity matrix and factor analysis is appropriate.</w:t>
      </w:r>
    </w:p>
    <w:p w:rsidR="00AF666B" w:rsidRPr="008573C5" w:rsidRDefault="00AF666B" w:rsidP="00FF5EDF">
      <w:pPr>
        <w:spacing w:before="100" w:beforeAutospacing="1" w:after="100" w:afterAutospacing="1" w:line="480" w:lineRule="auto"/>
        <w:jc w:val="both"/>
        <w:rPr>
          <w:b/>
        </w:rPr>
      </w:pPr>
    </w:p>
    <w:p w:rsidR="00FF5EDF" w:rsidRPr="008573C5" w:rsidRDefault="00FF5EDF" w:rsidP="008D7252">
      <w:pPr>
        <w:spacing w:line="480" w:lineRule="auto"/>
        <w:jc w:val="both"/>
        <w:rPr>
          <w:b/>
        </w:rPr>
      </w:pPr>
      <w:r w:rsidRPr="008573C5">
        <w:rPr>
          <w:b/>
        </w:rPr>
        <w:t>Factor Extraction</w:t>
      </w:r>
    </w:p>
    <w:p w:rsidR="00FF5EDF" w:rsidRPr="008573C5" w:rsidRDefault="00FF5EDF" w:rsidP="008D7252">
      <w:pPr>
        <w:spacing w:line="360" w:lineRule="auto"/>
        <w:jc w:val="both"/>
      </w:pPr>
      <w:r w:rsidRPr="008573C5">
        <w:t>The linear component within the data set (eigenvectors) can be determined by calculating the eigenvalues of the R-matrix.  The importance of each component is relative to the magnitude of the associated eigenvalue. Eigenvalues associated with each component represent the variance explained by that particular linear component. Kaiser’s criterion states that only factors with eigenvalues greater than 1 should be retained (Field, 2006: 652). Table 4.</w:t>
      </w:r>
      <w:r w:rsidR="00737170" w:rsidRPr="008573C5">
        <w:t>15</w:t>
      </w:r>
      <w:r w:rsidRPr="008573C5">
        <w:t xml:space="preserve"> lists the eigenvalues associated with each component before and after extraction. Before extraction, 5 components were indentified   which are equivalent to the number of variables, but only the first component </w:t>
      </w:r>
    </w:p>
    <w:p w:rsidR="00FF5EDF" w:rsidRPr="008573C5" w:rsidRDefault="00FF5EDF" w:rsidP="00826E89">
      <w:pPr>
        <w:jc w:val="center"/>
        <w:rPr>
          <w:rFonts w:ascii="System" w:eastAsia="Calibri" w:hAnsi="System" w:cs="System"/>
          <w:b/>
          <w:bCs/>
          <w:sz w:val="20"/>
          <w:szCs w:val="20"/>
        </w:rPr>
      </w:pPr>
      <w:r w:rsidRPr="008573C5">
        <w:rPr>
          <w:b/>
          <w:sz w:val="28"/>
          <w:szCs w:val="28"/>
        </w:rPr>
        <w:t>Table 4.</w:t>
      </w:r>
      <w:r w:rsidR="008453FC" w:rsidRPr="008573C5">
        <w:rPr>
          <w:b/>
          <w:sz w:val="28"/>
          <w:szCs w:val="28"/>
        </w:rPr>
        <w:t>15</w:t>
      </w:r>
      <w:r w:rsidRPr="008573C5">
        <w:rPr>
          <w:b/>
          <w:sz w:val="28"/>
          <w:szCs w:val="28"/>
        </w:rPr>
        <w:t>: Factor Extraction</w:t>
      </w:r>
      <w:r w:rsidR="006F1BDD" w:rsidRPr="008573C5">
        <w:rPr>
          <w:rFonts w:ascii="System" w:eastAsia="Calibri" w:hAnsi="System" w:cs="System"/>
          <w:b/>
          <w:noProof/>
          <w:sz w:val="20"/>
          <w:szCs w:val="20"/>
        </w:rPr>
        <w:drawing>
          <wp:inline distT="0" distB="0" distL="0" distR="0">
            <wp:extent cx="5109845" cy="2098040"/>
            <wp:effectExtent l="1905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5109845" cy="2098040"/>
                    </a:xfrm>
                    <a:prstGeom prst="rect">
                      <a:avLst/>
                    </a:prstGeom>
                    <a:noFill/>
                    <a:ln w="9525">
                      <a:noFill/>
                      <a:miter lim="800000"/>
                      <a:headEnd/>
                      <a:tailEnd/>
                    </a:ln>
                  </pic:spPr>
                </pic:pic>
              </a:graphicData>
            </a:graphic>
          </wp:inline>
        </w:drawing>
      </w:r>
    </w:p>
    <w:p w:rsidR="00BF4515" w:rsidRPr="008573C5" w:rsidRDefault="00BF4515" w:rsidP="00826E89">
      <w:pPr>
        <w:autoSpaceDE w:val="0"/>
        <w:autoSpaceDN w:val="0"/>
        <w:adjustRightInd w:val="0"/>
        <w:jc w:val="center"/>
        <w:rPr>
          <w:rFonts w:eastAsia="Calibri"/>
          <w:b/>
          <w:bCs/>
        </w:rPr>
      </w:pPr>
      <w:r w:rsidRPr="008573C5">
        <w:rPr>
          <w:rFonts w:eastAsia="Calibri"/>
          <w:b/>
          <w:bCs/>
        </w:rPr>
        <w:t>Source: Field Study (2009)</w:t>
      </w:r>
    </w:p>
    <w:p w:rsidR="00FF5EDF" w:rsidRPr="008573C5" w:rsidRDefault="00FF5EDF" w:rsidP="00826E89">
      <w:pPr>
        <w:jc w:val="center"/>
        <w:rPr>
          <w:b/>
          <w:lang w:val="en-GB"/>
        </w:rPr>
      </w:pPr>
    </w:p>
    <w:p w:rsidR="00FF5EDF" w:rsidRPr="008573C5" w:rsidRDefault="008453FC" w:rsidP="00826E89">
      <w:pPr>
        <w:jc w:val="center"/>
        <w:rPr>
          <w:b/>
          <w:sz w:val="28"/>
          <w:szCs w:val="28"/>
          <w:lang w:val="en-GB"/>
        </w:rPr>
      </w:pPr>
      <w:r w:rsidRPr="008573C5">
        <w:rPr>
          <w:b/>
          <w:sz w:val="28"/>
          <w:szCs w:val="28"/>
        </w:rPr>
        <w:t>Figure 4.05</w:t>
      </w:r>
      <w:r w:rsidR="00FF5EDF" w:rsidRPr="008573C5">
        <w:rPr>
          <w:b/>
          <w:sz w:val="28"/>
          <w:szCs w:val="28"/>
        </w:rPr>
        <w:t>: Scree plot of the Eigenvalues</w:t>
      </w:r>
    </w:p>
    <w:p w:rsidR="00FF5EDF" w:rsidRPr="008573C5" w:rsidRDefault="006F1BDD" w:rsidP="00826E89">
      <w:pPr>
        <w:autoSpaceDE w:val="0"/>
        <w:autoSpaceDN w:val="0"/>
        <w:adjustRightInd w:val="0"/>
        <w:jc w:val="center"/>
        <w:rPr>
          <w:rFonts w:ascii="System" w:eastAsia="Calibri" w:hAnsi="System" w:cs="System"/>
          <w:b/>
          <w:bCs/>
          <w:sz w:val="20"/>
          <w:szCs w:val="20"/>
        </w:rPr>
      </w:pPr>
      <w:r w:rsidRPr="008573C5">
        <w:rPr>
          <w:rFonts w:ascii="System" w:eastAsia="Calibri" w:hAnsi="System" w:cs="System"/>
          <w:b/>
          <w:noProof/>
          <w:sz w:val="20"/>
          <w:szCs w:val="20"/>
        </w:rPr>
        <w:drawing>
          <wp:inline distT="0" distB="0" distL="0" distR="0">
            <wp:extent cx="3453130" cy="2764790"/>
            <wp:effectExtent l="19050" t="0" r="0" b="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3453130" cy="2764790"/>
                    </a:xfrm>
                    <a:prstGeom prst="rect">
                      <a:avLst/>
                    </a:prstGeom>
                    <a:noFill/>
                    <a:ln w="9525">
                      <a:noFill/>
                      <a:miter lim="800000"/>
                      <a:headEnd/>
                      <a:tailEnd/>
                    </a:ln>
                  </pic:spPr>
                </pic:pic>
              </a:graphicData>
            </a:graphic>
          </wp:inline>
        </w:drawing>
      </w:r>
    </w:p>
    <w:p w:rsidR="00FF5EDF" w:rsidRPr="008573C5" w:rsidRDefault="00FF5EDF" w:rsidP="00826E89">
      <w:pPr>
        <w:autoSpaceDE w:val="0"/>
        <w:autoSpaceDN w:val="0"/>
        <w:adjustRightInd w:val="0"/>
        <w:rPr>
          <w:rFonts w:ascii="System" w:eastAsia="Calibri" w:hAnsi="System" w:cs="System"/>
          <w:b/>
          <w:bCs/>
          <w:sz w:val="20"/>
          <w:szCs w:val="20"/>
        </w:rPr>
      </w:pPr>
    </w:p>
    <w:p w:rsidR="00BF4515" w:rsidRPr="008573C5" w:rsidRDefault="00BF4515" w:rsidP="00826E89">
      <w:pPr>
        <w:autoSpaceDE w:val="0"/>
        <w:autoSpaceDN w:val="0"/>
        <w:adjustRightInd w:val="0"/>
        <w:jc w:val="center"/>
        <w:rPr>
          <w:rFonts w:eastAsia="Calibri"/>
          <w:b/>
          <w:bCs/>
        </w:rPr>
      </w:pPr>
      <w:r w:rsidRPr="008573C5">
        <w:rPr>
          <w:rFonts w:eastAsia="Calibri"/>
          <w:b/>
          <w:bCs/>
        </w:rPr>
        <w:t>Source: Field Study (2009)</w:t>
      </w:r>
    </w:p>
    <w:p w:rsidR="00FF5EDF" w:rsidRPr="008573C5" w:rsidRDefault="00FF5EDF" w:rsidP="00826E89">
      <w:pPr>
        <w:jc w:val="center"/>
        <w:rPr>
          <w:rFonts w:ascii="System" w:eastAsia="Calibri" w:hAnsi="System" w:cs="System"/>
          <w:b/>
          <w:bCs/>
          <w:sz w:val="20"/>
          <w:szCs w:val="20"/>
        </w:rPr>
      </w:pPr>
    </w:p>
    <w:p w:rsidR="00FF5EDF" w:rsidRPr="008573C5" w:rsidRDefault="00FF5EDF" w:rsidP="00826E89">
      <w:pPr>
        <w:spacing w:line="360" w:lineRule="auto"/>
        <w:jc w:val="both"/>
      </w:pPr>
      <w:r w:rsidRPr="008573C5">
        <w:t>has an eigenvalue above 1 (3.393) and it explains 67.853 of the total variance. The subsequent components have eigenvalues less than 1 and explains only small amount of variance. Second component 0.798 (15.967% of total variance), third component 0.398 ( 7.963% of total variance), fo</w:t>
      </w:r>
      <w:r w:rsidR="00F16322" w:rsidRPr="008573C5">
        <w:t>u</w:t>
      </w:r>
      <w:r w:rsidRPr="008573C5">
        <w:t>rth component 0.282 (5.646% of total variance), and fifth component 0.128 (2.569% of total variance). The Scree Plot of the eigenvalues for all the components before extra</w:t>
      </w:r>
      <w:r w:rsidR="00737170" w:rsidRPr="008573C5">
        <w:t>ction is as shown in Figure 4.05</w:t>
      </w:r>
      <w:r w:rsidRPr="008573C5">
        <w:t>. After extraction only one factor is retained, it explains 67.853% of the total variance.</w:t>
      </w:r>
    </w:p>
    <w:p w:rsidR="00FF5EDF" w:rsidRPr="008573C5" w:rsidRDefault="00FF5EDF" w:rsidP="00595093">
      <w:pPr>
        <w:spacing w:before="100" w:beforeAutospacing="1" w:after="100" w:afterAutospacing="1" w:line="360" w:lineRule="auto"/>
        <w:jc w:val="both"/>
      </w:pPr>
      <w:r w:rsidRPr="008573C5">
        <w:t>The extraction column in Table 4.</w:t>
      </w:r>
      <w:r w:rsidR="00737170" w:rsidRPr="008573C5">
        <w:t>16</w:t>
      </w:r>
      <w:r w:rsidRPr="008573C5">
        <w:t xml:space="preserve"> reflects the common variance per variable. It shows the amount of variance in each variable that can be explai</w:t>
      </w:r>
      <w:r w:rsidR="00F16322" w:rsidRPr="008573C5">
        <w:t>ned by the retained factor (Field</w:t>
      </w:r>
      <w:r w:rsidRPr="008573C5">
        <w:t xml:space="preserve"> 2006: 654). The result reveals total asset to be 75.2%, turnover 38.9%, shareholders fund 86%, number of shareholders 75.6% and number of employees 63.5%.</w:t>
      </w:r>
    </w:p>
    <w:p w:rsidR="00FF5EDF" w:rsidRPr="008573C5" w:rsidRDefault="00FF5EDF" w:rsidP="00FF5EDF">
      <w:pPr>
        <w:spacing w:before="100" w:beforeAutospacing="1" w:after="100" w:afterAutospacing="1" w:line="480" w:lineRule="auto"/>
        <w:jc w:val="center"/>
        <w:rPr>
          <w:sz w:val="28"/>
          <w:szCs w:val="28"/>
        </w:rPr>
      </w:pPr>
      <w:r w:rsidRPr="008573C5">
        <w:rPr>
          <w:b/>
          <w:sz w:val="28"/>
          <w:szCs w:val="28"/>
        </w:rPr>
        <w:t>Table 4.</w:t>
      </w:r>
      <w:r w:rsidR="008453FC" w:rsidRPr="008573C5">
        <w:rPr>
          <w:b/>
          <w:sz w:val="28"/>
          <w:szCs w:val="28"/>
        </w:rPr>
        <w:t>16</w:t>
      </w:r>
      <w:r w:rsidRPr="008573C5">
        <w:rPr>
          <w:b/>
          <w:sz w:val="28"/>
          <w:szCs w:val="28"/>
        </w:rPr>
        <w:t>: Communalities</w:t>
      </w:r>
    </w:p>
    <w:p w:rsidR="00FF5EDF" w:rsidRPr="008573C5" w:rsidRDefault="006F1BDD" w:rsidP="00FF5EDF">
      <w:pPr>
        <w:autoSpaceDE w:val="0"/>
        <w:autoSpaceDN w:val="0"/>
        <w:adjustRightInd w:val="0"/>
        <w:jc w:val="center"/>
        <w:rPr>
          <w:rFonts w:ascii="System" w:eastAsia="Calibri" w:hAnsi="System" w:cs="System"/>
          <w:b/>
          <w:bCs/>
          <w:sz w:val="20"/>
          <w:szCs w:val="20"/>
        </w:rPr>
      </w:pPr>
      <w:r w:rsidRPr="008573C5">
        <w:rPr>
          <w:rFonts w:ascii="System" w:eastAsia="Calibri" w:hAnsi="System" w:cs="System"/>
          <w:b/>
          <w:noProof/>
          <w:sz w:val="20"/>
          <w:szCs w:val="20"/>
        </w:rPr>
        <w:drawing>
          <wp:inline distT="0" distB="0" distL="0" distR="0">
            <wp:extent cx="3022600" cy="1635125"/>
            <wp:effectExtent l="19050" t="0" r="6350"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3022600" cy="1635125"/>
                    </a:xfrm>
                    <a:prstGeom prst="rect">
                      <a:avLst/>
                    </a:prstGeom>
                    <a:noFill/>
                    <a:ln w="9525">
                      <a:noFill/>
                      <a:miter lim="800000"/>
                      <a:headEnd/>
                      <a:tailEnd/>
                    </a:ln>
                  </pic:spPr>
                </pic:pic>
              </a:graphicData>
            </a:graphic>
          </wp:inline>
        </w:drawing>
      </w:r>
    </w:p>
    <w:p w:rsidR="00BF4515" w:rsidRPr="008573C5" w:rsidRDefault="00BF4515" w:rsidP="00BF4515">
      <w:pPr>
        <w:autoSpaceDE w:val="0"/>
        <w:autoSpaceDN w:val="0"/>
        <w:adjustRightInd w:val="0"/>
        <w:jc w:val="center"/>
        <w:rPr>
          <w:rFonts w:eastAsia="Calibri"/>
          <w:b/>
          <w:bCs/>
        </w:rPr>
      </w:pPr>
      <w:r w:rsidRPr="008573C5">
        <w:rPr>
          <w:rFonts w:eastAsia="Calibri"/>
          <w:b/>
          <w:bCs/>
        </w:rPr>
        <w:t>Source: Field Study (2009)</w:t>
      </w:r>
    </w:p>
    <w:p w:rsidR="00FF5EDF" w:rsidRPr="008573C5" w:rsidRDefault="00FF5EDF" w:rsidP="00FF5EDF">
      <w:pPr>
        <w:spacing w:before="100" w:beforeAutospacing="1" w:after="100" w:afterAutospacing="1" w:line="480" w:lineRule="auto"/>
        <w:jc w:val="center"/>
        <w:rPr>
          <w:rFonts w:ascii="System" w:eastAsia="Calibri" w:hAnsi="System" w:cs="System"/>
          <w:b/>
          <w:bCs/>
          <w:sz w:val="20"/>
          <w:szCs w:val="20"/>
        </w:rPr>
      </w:pPr>
    </w:p>
    <w:p w:rsidR="00693B70" w:rsidRPr="008573C5" w:rsidRDefault="00FF5EDF" w:rsidP="00693B70">
      <w:pPr>
        <w:spacing w:before="100" w:beforeAutospacing="1" w:after="100" w:afterAutospacing="1" w:line="360" w:lineRule="auto"/>
        <w:jc w:val="both"/>
        <w:rPr>
          <w:lang w:val="en-GB"/>
        </w:rPr>
      </w:pPr>
      <w:r w:rsidRPr="008573C5">
        <w:rPr>
          <w:rFonts w:eastAsia="Calibri"/>
          <w:bCs/>
        </w:rPr>
        <w:t xml:space="preserve">The component matrix </w:t>
      </w:r>
      <w:r w:rsidR="00440CAC">
        <w:rPr>
          <w:rFonts w:eastAsia="Calibri"/>
          <w:bCs/>
        </w:rPr>
        <w:t>i</w:t>
      </w:r>
      <w:r w:rsidRPr="008573C5">
        <w:rPr>
          <w:rFonts w:eastAsia="Calibri"/>
          <w:bCs/>
        </w:rPr>
        <w:t xml:space="preserve">s displayed </w:t>
      </w:r>
      <w:r w:rsidR="00693B70" w:rsidRPr="008573C5">
        <w:rPr>
          <w:rFonts w:eastAsia="Calibri"/>
          <w:bCs/>
        </w:rPr>
        <w:t>on</w:t>
      </w:r>
      <w:r w:rsidRPr="008573C5">
        <w:rPr>
          <w:rFonts w:eastAsia="Calibri"/>
          <w:bCs/>
        </w:rPr>
        <w:t xml:space="preserve"> Table 4.</w:t>
      </w:r>
      <w:r w:rsidR="00AB75DE" w:rsidRPr="008573C5">
        <w:rPr>
          <w:rFonts w:eastAsia="Calibri"/>
          <w:bCs/>
        </w:rPr>
        <w:t>17</w:t>
      </w:r>
      <w:r w:rsidRPr="008573C5">
        <w:rPr>
          <w:rFonts w:eastAsia="Calibri"/>
          <w:bCs/>
        </w:rPr>
        <w:t>. It contains the loading of each variable into component 1. Due to the fact that only one component was extracted, the solution cannot be rotated and therefore there is no rotated component matrix.</w:t>
      </w:r>
      <w:r w:rsidR="00693B70" w:rsidRPr="008573C5">
        <w:rPr>
          <w:rFonts w:eastAsia="Calibri"/>
          <w:bCs/>
        </w:rPr>
        <w:t xml:space="preserve"> </w:t>
      </w:r>
    </w:p>
    <w:p w:rsidR="00440CAC" w:rsidRPr="008453FC" w:rsidRDefault="00440CAC" w:rsidP="00440CAC">
      <w:pPr>
        <w:spacing w:before="100" w:beforeAutospacing="1" w:after="100" w:afterAutospacing="1" w:line="480" w:lineRule="auto"/>
        <w:jc w:val="center"/>
        <w:rPr>
          <w:rFonts w:ascii="System" w:eastAsia="Calibri" w:hAnsi="System" w:cs="System"/>
          <w:b/>
          <w:bCs/>
          <w:color w:val="000000"/>
          <w:sz w:val="28"/>
          <w:szCs w:val="28"/>
        </w:rPr>
      </w:pPr>
      <w:r w:rsidRPr="008453FC">
        <w:rPr>
          <w:b/>
          <w:color w:val="000000"/>
          <w:sz w:val="28"/>
          <w:szCs w:val="28"/>
        </w:rPr>
        <w:t>Table 4.17: Component Matrix</w:t>
      </w:r>
    </w:p>
    <w:p w:rsidR="00440CAC" w:rsidRPr="00191FEF" w:rsidRDefault="00440CAC" w:rsidP="00440CAC">
      <w:pPr>
        <w:autoSpaceDE w:val="0"/>
        <w:autoSpaceDN w:val="0"/>
        <w:adjustRightInd w:val="0"/>
        <w:jc w:val="center"/>
        <w:rPr>
          <w:rFonts w:ascii="System" w:eastAsia="Calibri" w:hAnsi="System" w:cs="System"/>
          <w:b/>
          <w:bCs/>
          <w:color w:val="000000"/>
          <w:sz w:val="20"/>
          <w:szCs w:val="20"/>
        </w:rPr>
      </w:pPr>
      <w:r>
        <w:rPr>
          <w:rFonts w:ascii="System" w:eastAsia="Calibri" w:hAnsi="System" w:cs="System"/>
          <w:b/>
          <w:noProof/>
          <w:color w:val="000000"/>
          <w:sz w:val="20"/>
          <w:szCs w:val="20"/>
        </w:rPr>
        <w:drawing>
          <wp:inline distT="0" distB="0" distL="0" distR="0">
            <wp:extent cx="2926080" cy="2162175"/>
            <wp:effectExtent l="19050" t="0" r="7620" b="0"/>
            <wp:docPr id="2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2926080" cy="2162175"/>
                    </a:xfrm>
                    <a:prstGeom prst="rect">
                      <a:avLst/>
                    </a:prstGeom>
                    <a:noFill/>
                    <a:ln w="9525">
                      <a:noFill/>
                      <a:miter lim="800000"/>
                      <a:headEnd/>
                      <a:tailEnd/>
                    </a:ln>
                  </pic:spPr>
                </pic:pic>
              </a:graphicData>
            </a:graphic>
          </wp:inline>
        </w:drawing>
      </w:r>
    </w:p>
    <w:p w:rsidR="00440CAC" w:rsidRPr="00826E89" w:rsidRDefault="00440CAC" w:rsidP="00440CAC">
      <w:pPr>
        <w:autoSpaceDE w:val="0"/>
        <w:autoSpaceDN w:val="0"/>
        <w:adjustRightInd w:val="0"/>
        <w:jc w:val="center"/>
        <w:rPr>
          <w:rFonts w:eastAsia="Calibri"/>
          <w:b/>
          <w:bCs/>
          <w:color w:val="000000"/>
        </w:rPr>
      </w:pPr>
      <w:r w:rsidRPr="00826E89">
        <w:rPr>
          <w:rFonts w:eastAsia="Calibri"/>
          <w:b/>
          <w:bCs/>
          <w:color w:val="000000"/>
        </w:rPr>
        <w:t>Source: Field Study (2009)</w:t>
      </w:r>
    </w:p>
    <w:p w:rsidR="00440CAC" w:rsidRPr="00191FEF" w:rsidRDefault="00440CAC" w:rsidP="00440CAC">
      <w:pPr>
        <w:spacing w:before="100" w:beforeAutospacing="1" w:after="100" w:afterAutospacing="1" w:line="480" w:lineRule="auto"/>
        <w:jc w:val="center"/>
        <w:rPr>
          <w:b/>
          <w:color w:val="000000"/>
          <w:lang w:val="en-GB"/>
        </w:rPr>
      </w:pPr>
    </w:p>
    <w:p w:rsidR="00440CAC" w:rsidRPr="00191FEF" w:rsidRDefault="00440CAC" w:rsidP="00440CAC">
      <w:pPr>
        <w:spacing w:before="100" w:beforeAutospacing="1" w:after="100" w:afterAutospacing="1" w:line="360" w:lineRule="auto"/>
        <w:rPr>
          <w:color w:val="000000"/>
          <w:lang w:val="en-GB"/>
        </w:rPr>
      </w:pPr>
      <w:r w:rsidRPr="00191FEF">
        <w:rPr>
          <w:color w:val="000000"/>
          <w:lang w:val="en-GB"/>
        </w:rPr>
        <w:t>The component matrix reflecting the factor scores is as shown in Table 4.</w:t>
      </w:r>
      <w:r>
        <w:rPr>
          <w:color w:val="000000"/>
          <w:lang w:val="en-GB"/>
        </w:rPr>
        <w:t>18</w:t>
      </w:r>
      <w:r w:rsidRPr="00191FEF">
        <w:rPr>
          <w:color w:val="000000"/>
          <w:lang w:val="en-GB"/>
        </w:rPr>
        <w:t xml:space="preserve"> below</w:t>
      </w:r>
      <w:r>
        <w:rPr>
          <w:color w:val="000000"/>
          <w:lang w:val="en-GB"/>
        </w:rPr>
        <w:t xml:space="preserve">. The factor scores coefficients are </w:t>
      </w:r>
      <w:r w:rsidRPr="00191FEF">
        <w:rPr>
          <w:color w:val="000000"/>
          <w:lang w:val="en-GB"/>
        </w:rPr>
        <w:t>used as weights in the size equation.</w:t>
      </w:r>
    </w:p>
    <w:p w:rsidR="00440CAC" w:rsidRPr="008453FC" w:rsidRDefault="00440CAC" w:rsidP="00440CAC">
      <w:pPr>
        <w:spacing w:before="100" w:beforeAutospacing="1" w:after="100" w:afterAutospacing="1" w:line="480" w:lineRule="auto"/>
        <w:jc w:val="center"/>
        <w:rPr>
          <w:b/>
          <w:color w:val="000000"/>
          <w:sz w:val="28"/>
          <w:szCs w:val="28"/>
        </w:rPr>
      </w:pPr>
      <w:r w:rsidRPr="008453FC">
        <w:rPr>
          <w:b/>
          <w:color w:val="000000"/>
          <w:sz w:val="28"/>
          <w:szCs w:val="28"/>
        </w:rPr>
        <w:t>Table 4.18: Component Score</w:t>
      </w:r>
    </w:p>
    <w:p w:rsidR="00440CAC" w:rsidRPr="00191FEF" w:rsidRDefault="006E22C9" w:rsidP="00440CAC">
      <w:pPr>
        <w:autoSpaceDE w:val="0"/>
        <w:autoSpaceDN w:val="0"/>
        <w:adjustRightInd w:val="0"/>
        <w:jc w:val="center"/>
        <w:rPr>
          <w:rFonts w:ascii="System" w:eastAsia="Calibri" w:hAnsi="System" w:cs="System"/>
          <w:b/>
          <w:bCs/>
          <w:color w:val="000000"/>
          <w:sz w:val="20"/>
          <w:szCs w:val="20"/>
        </w:rPr>
      </w:pPr>
      <w:r>
        <w:rPr>
          <w:rFonts w:ascii="System" w:eastAsia="Calibri" w:hAnsi="System" w:cs="System"/>
          <w:b/>
          <w:bCs/>
          <w:color w:val="000000"/>
          <w:sz w:val="20"/>
          <w:szCs w:val="20"/>
        </w:rPr>
      </w:r>
      <w:r>
        <w:rPr>
          <w:rFonts w:ascii="System" w:eastAsia="Calibri" w:hAnsi="System" w:cs="System"/>
          <w:b/>
          <w:bCs/>
          <w:color w:val="000000"/>
          <w:sz w:val="20"/>
          <w:szCs w:val="20"/>
        </w:rPr>
        <w:pict>
          <v:group id="_x0000_s72515" editas="canvas" style="width:244.55pt;height:189.6pt;mso-position-horizontal-relative:char;mso-position-vertical-relative:line" coordsize="4891,3792">
            <o:lock v:ext="edit" aspectratio="t"/>
            <v:shape id="_x0000_s72516" type="#_x0000_t75" style="position:absolute;width:4891;height:3792" o:preferrelative="f">
              <v:fill o:detectmouseclick="t"/>
              <v:path o:extrusionok="t" o:connecttype="none"/>
              <o:lock v:ext="edit" text="t"/>
            </v:shape>
            <v:rect id="_x0000_s72517" style="position:absolute;left:129;top:130;width:3424;height:403" stroked="f"/>
            <v:rect id="_x0000_s72518" style="position:absolute;left:339;top:159;width:3111;height:207;mso-wrap-style:none" filled="f" stroked="f">
              <v:textbox style="mso-next-textbox:#_x0000_s72518;mso-fit-shape-to-text:t" inset="0,0,0,0">
                <w:txbxContent>
                  <w:p w:rsidR="00CB6FAE" w:rsidRDefault="00CB6FAE" w:rsidP="00440CAC">
                    <w:r>
                      <w:rPr>
                        <w:rFonts w:ascii="Arial" w:hAnsi="Arial" w:cs="Arial"/>
                        <w:b/>
                        <w:bCs/>
                        <w:color w:val="000000"/>
                        <w:sz w:val="18"/>
                        <w:szCs w:val="18"/>
                      </w:rPr>
                      <w:t>Component Score Coefficient Matrix</w:t>
                    </w:r>
                  </w:p>
                </w:txbxContent>
              </v:textbox>
            </v:rect>
            <v:rect id="_x0000_s72519" style="position:absolute;left:2446;top:1298;width:1107;height:302" stroked="f"/>
            <v:rect id="_x0000_s72520" style="position:absolute;left:3007;top:1326;width:351;height:207;mso-wrap-style:none" filled="f" stroked="f">
              <v:textbox style="mso-next-textbox:#_x0000_s72520;mso-fit-shape-to-text:t" inset="0,0,0,0">
                <w:txbxContent>
                  <w:p w:rsidR="00CB6FAE" w:rsidRDefault="00CB6FAE" w:rsidP="00440CAC">
                    <w:r>
                      <w:rPr>
                        <w:rFonts w:ascii="Arial" w:hAnsi="Arial" w:cs="Arial"/>
                        <w:color w:val="000000"/>
                        <w:sz w:val="18"/>
                        <w:szCs w:val="18"/>
                      </w:rPr>
                      <w:t>.256</w:t>
                    </w:r>
                  </w:p>
                </w:txbxContent>
              </v:textbox>
            </v:rect>
            <v:rect id="_x0000_s72521" style="position:absolute;left:2446;top:1572;width:1107;height:302" stroked="f"/>
            <v:rect id="_x0000_s72522" style="position:absolute;left:3007;top:1600;width:351;height:207;mso-wrap-style:none" filled="f" stroked="f">
              <v:textbox style="mso-next-textbox:#_x0000_s72522;mso-fit-shape-to-text:t" inset="0,0,0,0">
                <w:txbxContent>
                  <w:p w:rsidR="00CB6FAE" w:rsidRDefault="00CB6FAE" w:rsidP="00440CAC">
                    <w:r>
                      <w:rPr>
                        <w:rFonts w:ascii="Arial" w:hAnsi="Arial" w:cs="Arial"/>
                        <w:color w:val="000000"/>
                        <w:sz w:val="18"/>
                        <w:szCs w:val="18"/>
                      </w:rPr>
                      <w:t>.184</w:t>
                    </w:r>
                  </w:p>
                </w:txbxContent>
              </v:textbox>
            </v:rect>
            <v:rect id="_x0000_s72523" style="position:absolute;left:2446;top:1845;width:1107;height:303" stroked="f"/>
            <v:rect id="_x0000_s72524" style="position:absolute;left:3007;top:1874;width:351;height:207;mso-wrap-style:none" filled="f" stroked="f">
              <v:textbox style="mso-next-textbox:#_x0000_s72524;mso-fit-shape-to-text:t" inset="0,0,0,0">
                <w:txbxContent>
                  <w:p w:rsidR="00CB6FAE" w:rsidRDefault="00CB6FAE" w:rsidP="00440CAC">
                    <w:r>
                      <w:rPr>
                        <w:rFonts w:ascii="Arial" w:hAnsi="Arial" w:cs="Arial"/>
                        <w:color w:val="000000"/>
                        <w:sz w:val="18"/>
                        <w:szCs w:val="18"/>
                      </w:rPr>
                      <w:t>.273</w:t>
                    </w:r>
                  </w:p>
                </w:txbxContent>
              </v:textbox>
            </v:rect>
            <v:rect id="_x0000_s72525" style="position:absolute;left:2446;top:2119;width:1107;height:303" stroked="f"/>
            <v:rect id="_x0000_s72526" style="position:absolute;left:3007;top:2148;width:351;height:207;mso-wrap-style:none" filled="f" stroked="f">
              <v:textbox style="mso-next-textbox:#_x0000_s72526;mso-fit-shape-to-text:t" inset="0,0,0,0">
                <w:txbxContent>
                  <w:p w:rsidR="00CB6FAE" w:rsidRDefault="00CB6FAE" w:rsidP="00440CAC">
                    <w:r>
                      <w:rPr>
                        <w:rFonts w:ascii="Arial" w:hAnsi="Arial" w:cs="Arial"/>
                        <w:color w:val="000000"/>
                        <w:sz w:val="18"/>
                        <w:szCs w:val="18"/>
                      </w:rPr>
                      <w:t>.256</w:t>
                    </w:r>
                  </w:p>
                </w:txbxContent>
              </v:textbox>
            </v:rect>
            <v:rect id="_x0000_s72527" style="position:absolute;left:2446;top:2393;width:1107;height:303" stroked="f"/>
            <v:rect id="_x0000_s72528" style="position:absolute;left:3007;top:2422;width:351;height:207;mso-wrap-style:none" filled="f" stroked="f">
              <v:textbox style="mso-next-textbox:#_x0000_s72528;mso-fit-shape-to-text:t" inset="0,0,0,0">
                <w:txbxContent>
                  <w:p w:rsidR="00CB6FAE" w:rsidRDefault="00CB6FAE" w:rsidP="00440CAC">
                    <w:r>
                      <w:rPr>
                        <w:rFonts w:ascii="Arial" w:hAnsi="Arial" w:cs="Arial"/>
                        <w:color w:val="000000"/>
                        <w:sz w:val="18"/>
                        <w:szCs w:val="18"/>
                      </w:rPr>
                      <w:t>.235</w:t>
                    </w:r>
                  </w:p>
                </w:txbxContent>
              </v:textbox>
            </v:rect>
            <v:rect id="_x0000_s72529" style="position:absolute;left:144;top:519;width:2330;height:807" stroked="f"/>
            <v:rect id="_x0000_s72530" style="position:absolute;left:144;top:1298;width:2330;height:302" stroked="f"/>
            <v:rect id="_x0000_s72531" style="position:absolute;left:259;top:1312;width:451;height:207;mso-wrap-style:none" filled="f" stroked="f">
              <v:textbox style="mso-next-textbox:#_x0000_s72531;mso-fit-shape-to-text:t" inset="0,0,0,0">
                <w:txbxContent>
                  <w:p w:rsidR="00CB6FAE" w:rsidRDefault="00CB6FAE" w:rsidP="00440CAC">
                    <w:r>
                      <w:rPr>
                        <w:rFonts w:ascii="Arial" w:hAnsi="Arial" w:cs="Arial"/>
                        <w:color w:val="000000"/>
                        <w:sz w:val="18"/>
                        <w:szCs w:val="18"/>
                      </w:rPr>
                      <w:t>Asset</w:t>
                    </w:r>
                  </w:p>
                </w:txbxContent>
              </v:textbox>
            </v:rect>
            <v:rect id="_x0000_s72532" style="position:absolute;left:144;top:1572;width:2330;height:302" stroked="f"/>
            <v:rect id="_x0000_s72533" style="position:absolute;left:259;top:1586;width:721;height:207;mso-wrap-style:none" filled="f" stroked="f">
              <v:textbox style="mso-next-textbox:#_x0000_s72533;mso-fit-shape-to-text:t" inset="0,0,0,0">
                <w:txbxContent>
                  <w:p w:rsidR="00CB6FAE" w:rsidRDefault="00CB6FAE" w:rsidP="00440CAC">
                    <w:r>
                      <w:rPr>
                        <w:rFonts w:ascii="Arial" w:hAnsi="Arial" w:cs="Arial"/>
                        <w:color w:val="000000"/>
                        <w:sz w:val="18"/>
                        <w:szCs w:val="18"/>
                      </w:rPr>
                      <w:t>Turnover</w:t>
                    </w:r>
                  </w:p>
                </w:txbxContent>
              </v:textbox>
            </v:rect>
            <v:rect id="_x0000_s72534" style="position:absolute;left:144;top:1845;width:2330;height:303" stroked="f"/>
            <v:rect id="_x0000_s72535" style="position:absolute;left:259;top:1860;width:1506;height:207;mso-wrap-style:none" filled="f" stroked="f">
              <v:textbox style="mso-next-textbox:#_x0000_s72535;mso-fit-shape-to-text:t" inset="0,0,0,0">
                <w:txbxContent>
                  <w:p w:rsidR="00CB6FAE" w:rsidRDefault="00CB6FAE" w:rsidP="00440CAC">
                    <w:r>
                      <w:rPr>
                        <w:rFonts w:ascii="Arial" w:hAnsi="Arial" w:cs="Arial"/>
                        <w:color w:val="000000"/>
                        <w:sz w:val="18"/>
                        <w:szCs w:val="18"/>
                      </w:rPr>
                      <w:t>Shareholder's fund</w:t>
                    </w:r>
                  </w:p>
                </w:txbxContent>
              </v:textbox>
            </v:rect>
            <v:rect id="_x0000_s72536" style="position:absolute;left:144;top:2119;width:2330;height:303" stroked="f"/>
            <v:rect id="_x0000_s72537" style="position:absolute;left:259;top:2134;width:1931;height:207;mso-wrap-style:none" filled="f" stroked="f">
              <v:textbox style="mso-next-textbox:#_x0000_s72537;mso-fit-shape-to-text:t" inset="0,0,0,0">
                <w:txbxContent>
                  <w:p w:rsidR="00CB6FAE" w:rsidRDefault="00CB6FAE" w:rsidP="00440CAC">
                    <w:r>
                      <w:rPr>
                        <w:rFonts w:ascii="Arial" w:hAnsi="Arial" w:cs="Arial"/>
                        <w:color w:val="000000"/>
                        <w:sz w:val="18"/>
                        <w:szCs w:val="18"/>
                      </w:rPr>
                      <w:t>Number of shareholders</w:t>
                    </w:r>
                  </w:p>
                </w:txbxContent>
              </v:textbox>
            </v:rect>
            <v:rect id="_x0000_s72538" style="position:absolute;left:144;top:2393;width:2330;height:303" stroked="f"/>
            <v:rect id="_x0000_s72539" style="position:absolute;left:259;top:2408;width:1761;height:207;mso-wrap-style:none" filled="f" stroked="f">
              <v:textbox style="mso-next-textbox:#_x0000_s72539;mso-fit-shape-to-text:t" inset="0,0,0,0">
                <w:txbxContent>
                  <w:p w:rsidR="00CB6FAE" w:rsidRDefault="00CB6FAE" w:rsidP="00440CAC">
                    <w:r>
                      <w:rPr>
                        <w:rFonts w:ascii="Arial" w:hAnsi="Arial" w:cs="Arial"/>
                        <w:color w:val="000000"/>
                        <w:sz w:val="18"/>
                        <w:szCs w:val="18"/>
                      </w:rPr>
                      <w:t>Number of employees</w:t>
                    </w:r>
                  </w:p>
                </w:txbxContent>
              </v:textbox>
            </v:rect>
            <v:rect id="_x0000_s72540" style="position:absolute;left:2446;top:1024;width:1107;height:302" stroked="f"/>
            <v:rect id="_x0000_s72541" style="position:absolute;left:2885;top:1068;width:101;height:207;mso-wrap-style:none" filled="f" stroked="f">
              <v:textbox style="mso-next-textbox:#_x0000_s72541;mso-fit-shape-to-text:t" inset="0,0,0,0">
                <w:txbxContent>
                  <w:p w:rsidR="00CB6FAE" w:rsidRDefault="00CB6FAE" w:rsidP="00440CAC">
                    <w:r>
                      <w:rPr>
                        <w:rFonts w:ascii="Arial" w:hAnsi="Arial" w:cs="Arial"/>
                        <w:color w:val="000000"/>
                        <w:sz w:val="18"/>
                        <w:szCs w:val="18"/>
                      </w:rPr>
                      <w:t>1</w:t>
                    </w:r>
                  </w:p>
                </w:txbxContent>
              </v:textbox>
            </v:rect>
            <v:rect id="_x0000_s72542" style="position:absolute;left:2446;top:519;width:1107;height:533" stroked="f"/>
            <v:rect id="_x0000_s72543" style="position:absolute;left:2605;top:563;width:781;height:207;mso-wrap-style:none" filled="f" stroked="f">
              <v:textbox style="mso-next-textbox:#_x0000_s72543;mso-fit-shape-to-text:t" inset="0,0,0,0">
                <w:txbxContent>
                  <w:p w:rsidR="00CB6FAE" w:rsidRDefault="00CB6FAE" w:rsidP="00440CAC">
                    <w:r>
                      <w:rPr>
                        <w:rFonts w:ascii="Arial" w:hAnsi="Arial" w:cs="Arial"/>
                        <w:color w:val="000000"/>
                        <w:sz w:val="18"/>
                        <w:szCs w:val="18"/>
                      </w:rPr>
                      <w:t>Compone</w:t>
                    </w:r>
                  </w:p>
                </w:txbxContent>
              </v:textbox>
            </v:rect>
            <v:rect id="_x0000_s72544" style="position:absolute;left:2864;top:794;width:151;height:207;mso-wrap-style:none" filled="f" stroked="f">
              <v:textbox style="mso-next-textbox:#_x0000_s72544;mso-fit-shape-to-text:t" inset="0,0,0,0">
                <w:txbxContent>
                  <w:p w:rsidR="00CB6FAE" w:rsidRDefault="00CB6FAE" w:rsidP="00440CAC">
                    <w:r>
                      <w:rPr>
                        <w:rFonts w:ascii="Arial" w:hAnsi="Arial" w:cs="Arial"/>
                        <w:color w:val="000000"/>
                        <w:sz w:val="18"/>
                        <w:szCs w:val="18"/>
                      </w:rPr>
                      <w:t>nt</w:t>
                    </w:r>
                  </w:p>
                </w:txbxContent>
              </v:textbox>
            </v:rect>
            <v:line id="_x0000_s72545" style="position:absolute" from="2446,1024" to="3525,1025" strokeweight="39e-5mm"/>
            <v:rect id="_x0000_s72546" style="position:absolute;left:129;top:2667;width:4633;height:995" stroked="f"/>
            <v:rect id="_x0000_s72547" style="position:absolute;left:245;top:2711;width:3992;height:207;mso-wrap-style:none" filled="f" stroked="f">
              <v:textbox style="mso-next-textbox:#_x0000_s72547;mso-fit-shape-to-text:t" inset="0,0,0,0">
                <w:txbxContent>
                  <w:p w:rsidR="00CB6FAE" w:rsidRDefault="00CB6FAE" w:rsidP="00440CAC">
                    <w:r>
                      <w:rPr>
                        <w:rFonts w:ascii="Arial" w:hAnsi="Arial" w:cs="Arial"/>
                        <w:color w:val="000000"/>
                        <w:sz w:val="18"/>
                        <w:szCs w:val="18"/>
                      </w:rPr>
                      <w:t xml:space="preserve">Extraction Method: Principal Component Analysis.  </w:t>
                    </w:r>
                  </w:p>
                </w:txbxContent>
              </v:textbox>
            </v:rect>
            <v:rect id="_x0000_s72548" style="position:absolute;left:245;top:2942;width:4212;height:207;mso-wrap-style:none" filled="f" stroked="f">
              <v:textbox style="mso-next-textbox:#_x0000_s72548;mso-fit-shape-to-text:t" inset="0,0,0,0">
                <w:txbxContent>
                  <w:p w:rsidR="00CB6FAE" w:rsidRDefault="00CB6FAE" w:rsidP="00440CAC">
                    <w:r>
                      <w:rPr>
                        <w:rFonts w:ascii="Arial" w:hAnsi="Arial" w:cs="Arial"/>
                        <w:color w:val="000000"/>
                        <w:sz w:val="18"/>
                        <w:szCs w:val="18"/>
                      </w:rPr>
                      <w:t xml:space="preserve">Rotation Method: Varimax with Kaiser Normalization. </w:t>
                    </w:r>
                  </w:p>
                </w:txbxContent>
              </v:textbox>
            </v:rect>
            <v:rect id="_x0000_s72549" style="position:absolute;left:245;top:3403;width:109;height:276;mso-wrap-style:none" filled="f" stroked="f">
              <v:textbox style="mso-next-textbox:#_x0000_s72549;mso-fit-shape-to-text:t" inset="0,0,0,0">
                <w:txbxContent>
                  <w:p w:rsidR="00CB6FAE" w:rsidRDefault="00CB6FAE" w:rsidP="00440CAC"/>
                </w:txbxContent>
              </v:textbox>
            </v:rect>
            <v:rect id="_x0000_s72550" style="position:absolute;left:4676;top:505;width:14;height:3128" stroked="f"/>
            <v:rect id="_x0000_s72551" style="position:absolute;left:144;top:490;width:4546;height:43" stroked="f"/>
            <v:rect id="_x0000_s72552" style="position:absolute;left:3525;width:1165;height:533" stroked="f"/>
            <v:rect id="_x0000_s72553" style="position:absolute;width:4877;height:144" stroked="f"/>
            <v:rect id="_x0000_s72554" style="position:absolute;width:144;height:3777" stroked="f"/>
            <v:rect id="_x0000_s72555" style="position:absolute;left:4733;width:158;height:3777" stroked="f"/>
            <v:rect id="_x0000_s72556" style="position:absolute;top:3633;width:4877;height:159" stroked="f"/>
            <v:line id="_x0000_s72557" style="position:absolute" from="158,533" to="159,2653" strokeweight="81e-5mm"/>
            <v:line id="_x0000_s72558" style="position:absolute" from="3510,533" to="3511,2653" strokeweight="81e-5mm"/>
            <v:line id="_x0000_s72559" style="position:absolute" from="158,533" to="3510,534" strokeweight="81e-5mm"/>
            <v:line id="_x0000_s72560" style="position:absolute" from="158,2653" to="3510,2654" strokeweight="81e-5mm"/>
            <v:line id="_x0000_s72561" style="position:absolute" from="158,1312" to="3510,1313" strokeweight="81e-5mm"/>
            <v:line id="_x0000_s72562" style="position:absolute" from="2460,533" to="2461,2653" strokeweight="81e-5mm"/>
            <w10:wrap type="none"/>
            <w10:anchorlock/>
          </v:group>
        </w:pict>
      </w:r>
    </w:p>
    <w:p w:rsidR="00440CAC" w:rsidRPr="00826E89" w:rsidRDefault="00440CAC" w:rsidP="00440CAC">
      <w:pPr>
        <w:autoSpaceDE w:val="0"/>
        <w:autoSpaceDN w:val="0"/>
        <w:adjustRightInd w:val="0"/>
        <w:jc w:val="center"/>
        <w:rPr>
          <w:rFonts w:eastAsia="Calibri"/>
          <w:b/>
          <w:bCs/>
          <w:color w:val="000000"/>
        </w:rPr>
      </w:pPr>
      <w:r w:rsidRPr="00826E89">
        <w:rPr>
          <w:rFonts w:eastAsia="Calibri"/>
          <w:b/>
          <w:bCs/>
          <w:color w:val="000000"/>
        </w:rPr>
        <w:t>Source: Field Study (2009)</w:t>
      </w:r>
    </w:p>
    <w:p w:rsidR="00693B70" w:rsidRPr="008573C5" w:rsidRDefault="00693B70" w:rsidP="00AB75DE">
      <w:pPr>
        <w:spacing w:before="100" w:beforeAutospacing="1" w:after="100" w:afterAutospacing="1" w:line="360" w:lineRule="auto"/>
      </w:pPr>
      <w:r w:rsidRPr="008573C5">
        <w:t>The factor size equation can be represented as follows:</w:t>
      </w:r>
    </w:p>
    <w:p w:rsidR="00FF5EDF" w:rsidRPr="008573C5" w:rsidRDefault="00693B70" w:rsidP="00AB75DE">
      <w:pPr>
        <w:spacing w:before="100" w:beforeAutospacing="1" w:after="100" w:afterAutospacing="1" w:line="360" w:lineRule="auto"/>
      </w:pPr>
      <w:r w:rsidRPr="008573C5">
        <w:t xml:space="preserve">Factor </w:t>
      </w:r>
      <w:r w:rsidR="00FF5EDF" w:rsidRPr="008573C5">
        <w:t>Size = β</w:t>
      </w:r>
      <w:r w:rsidR="00FF5EDF" w:rsidRPr="008573C5">
        <w:rPr>
          <w:vertAlign w:val="subscript"/>
        </w:rPr>
        <w:t xml:space="preserve">1 </w:t>
      </w:r>
      <w:r w:rsidR="00FF5EDF" w:rsidRPr="008573C5">
        <w:t>Total Assets + β</w:t>
      </w:r>
      <w:r w:rsidR="00FF5EDF" w:rsidRPr="008573C5">
        <w:rPr>
          <w:vertAlign w:val="subscript"/>
        </w:rPr>
        <w:t>2</w:t>
      </w:r>
      <w:r w:rsidR="00FF5EDF" w:rsidRPr="008573C5">
        <w:t xml:space="preserve"> Turnover + β</w:t>
      </w:r>
      <w:r w:rsidR="00FF5EDF" w:rsidRPr="008573C5">
        <w:rPr>
          <w:vertAlign w:val="subscript"/>
        </w:rPr>
        <w:t>3</w:t>
      </w:r>
      <w:r w:rsidR="00FF5EDF" w:rsidRPr="008573C5">
        <w:t>Shareholder’s Fund + β</w:t>
      </w:r>
      <w:r w:rsidR="00FF5EDF" w:rsidRPr="008573C5">
        <w:rPr>
          <w:vertAlign w:val="subscript"/>
        </w:rPr>
        <w:t>4</w:t>
      </w:r>
      <w:r w:rsidR="00FF5EDF" w:rsidRPr="008573C5">
        <w:t>Number of Share holders +  β</w:t>
      </w:r>
      <w:r w:rsidR="00FF5EDF" w:rsidRPr="008573C5">
        <w:rPr>
          <w:vertAlign w:val="subscript"/>
        </w:rPr>
        <w:t>5</w:t>
      </w:r>
      <w:r w:rsidR="00FF5EDF" w:rsidRPr="008573C5">
        <w:t>Number of Employees.</w:t>
      </w:r>
    </w:p>
    <w:p w:rsidR="00FF5EDF" w:rsidRPr="008573C5" w:rsidRDefault="00AB75DE" w:rsidP="00AB75DE">
      <w:pPr>
        <w:spacing w:before="100" w:beforeAutospacing="1" w:after="100" w:afterAutospacing="1" w:line="360" w:lineRule="auto"/>
      </w:pPr>
      <w:r w:rsidRPr="008573C5">
        <w:t>From Table 4.1</w:t>
      </w:r>
      <w:r w:rsidR="00693B70" w:rsidRPr="008573C5">
        <w:t>7</w:t>
      </w:r>
      <w:r w:rsidR="00FF5EDF" w:rsidRPr="008573C5">
        <w:t>, β</w:t>
      </w:r>
      <w:r w:rsidR="00FF5EDF" w:rsidRPr="008573C5">
        <w:rPr>
          <w:vertAlign w:val="subscript"/>
        </w:rPr>
        <w:t xml:space="preserve">1 </w:t>
      </w:r>
      <w:r w:rsidR="00FF5EDF" w:rsidRPr="008573C5">
        <w:t>= 0.256, β</w:t>
      </w:r>
      <w:r w:rsidR="00FF5EDF" w:rsidRPr="008573C5">
        <w:rPr>
          <w:vertAlign w:val="subscript"/>
        </w:rPr>
        <w:t xml:space="preserve">2 </w:t>
      </w:r>
      <w:r w:rsidR="00FF5EDF" w:rsidRPr="008573C5">
        <w:t>= 0.184, β</w:t>
      </w:r>
      <w:r w:rsidR="00FF5EDF" w:rsidRPr="008573C5">
        <w:rPr>
          <w:vertAlign w:val="subscript"/>
        </w:rPr>
        <w:t xml:space="preserve">3 </w:t>
      </w:r>
      <w:r w:rsidR="00FF5EDF" w:rsidRPr="008573C5">
        <w:t>= 0.273, β</w:t>
      </w:r>
      <w:r w:rsidR="00FF5EDF" w:rsidRPr="008573C5">
        <w:rPr>
          <w:vertAlign w:val="subscript"/>
        </w:rPr>
        <w:t xml:space="preserve">4 </w:t>
      </w:r>
      <w:r w:rsidR="00FF5EDF" w:rsidRPr="008573C5">
        <w:t>= 0.256, β</w:t>
      </w:r>
      <w:r w:rsidR="00FF5EDF" w:rsidRPr="008573C5">
        <w:rPr>
          <w:vertAlign w:val="subscript"/>
        </w:rPr>
        <w:t>5</w:t>
      </w:r>
      <w:r w:rsidR="00FF5EDF" w:rsidRPr="008573C5">
        <w:t>= 0.235. Replacing the β</w:t>
      </w:r>
      <w:r w:rsidR="00693B70" w:rsidRPr="008573C5">
        <w:t xml:space="preserve"> </w:t>
      </w:r>
      <w:r w:rsidR="00FF5EDF" w:rsidRPr="008573C5">
        <w:rPr>
          <w:vertAlign w:val="subscript"/>
        </w:rPr>
        <w:t xml:space="preserve"> </w:t>
      </w:r>
      <w:r w:rsidR="00FF5EDF" w:rsidRPr="008573C5">
        <w:t>in the equation by these factor score coefficients, we have:</w:t>
      </w:r>
    </w:p>
    <w:p w:rsidR="00FF5EDF" w:rsidRPr="008573C5" w:rsidRDefault="00693B70" w:rsidP="00AB75DE">
      <w:pPr>
        <w:spacing w:before="100" w:beforeAutospacing="1" w:after="100" w:afterAutospacing="1" w:line="360" w:lineRule="auto"/>
      </w:pPr>
      <w:r w:rsidRPr="008573C5">
        <w:t xml:space="preserve">Factor </w:t>
      </w:r>
      <w:r w:rsidR="00FF5EDF" w:rsidRPr="008573C5">
        <w:t>Size = 0.256</w:t>
      </w:r>
      <w:r w:rsidR="00FF5EDF" w:rsidRPr="008573C5">
        <w:rPr>
          <w:vertAlign w:val="subscript"/>
        </w:rPr>
        <w:t xml:space="preserve"> </w:t>
      </w:r>
      <w:r w:rsidR="00FF5EDF" w:rsidRPr="008573C5">
        <w:t>Total Assets + 0.184Turnover + 0.273Shareholder’s Fund + 0.256Number of Share holders + 0.235Number of Employees.</w:t>
      </w:r>
    </w:p>
    <w:p w:rsidR="00FF5EDF" w:rsidRPr="008573C5" w:rsidRDefault="00FF5EDF" w:rsidP="00AB75DE">
      <w:pPr>
        <w:spacing w:before="100" w:beforeAutospacing="1" w:after="100" w:afterAutospacing="1" w:line="360" w:lineRule="auto"/>
      </w:pPr>
      <w:r w:rsidRPr="008573C5">
        <w:t>This composite size variable is used in the regression equation</w:t>
      </w:r>
      <w:r w:rsidR="00693B70" w:rsidRPr="008573C5">
        <w:t xml:space="preserve">s (1) to  (8) </w:t>
      </w:r>
      <w:r w:rsidRPr="008573C5">
        <w:t>.</w:t>
      </w:r>
    </w:p>
    <w:p w:rsidR="00FF5EDF" w:rsidRPr="008573C5" w:rsidRDefault="002E11C4" w:rsidP="00AB75DE">
      <w:pPr>
        <w:spacing w:before="100" w:beforeAutospacing="1" w:after="100" w:afterAutospacing="1" w:line="360" w:lineRule="auto"/>
        <w:rPr>
          <w:b/>
          <w:sz w:val="28"/>
          <w:szCs w:val="28"/>
        </w:rPr>
      </w:pPr>
      <w:r w:rsidRPr="008573C5">
        <w:rPr>
          <w:b/>
          <w:sz w:val="28"/>
          <w:szCs w:val="28"/>
        </w:rPr>
        <w:t>4.</w:t>
      </w:r>
      <w:r w:rsidR="006E04D2" w:rsidRPr="008573C5">
        <w:rPr>
          <w:b/>
          <w:sz w:val="28"/>
          <w:szCs w:val="28"/>
        </w:rPr>
        <w:t>2</w:t>
      </w:r>
      <w:r w:rsidR="000E0B9C" w:rsidRPr="008573C5">
        <w:rPr>
          <w:b/>
          <w:sz w:val="28"/>
          <w:szCs w:val="28"/>
        </w:rPr>
        <w:t>.</w:t>
      </w:r>
      <w:r w:rsidRPr="008573C5">
        <w:rPr>
          <w:b/>
          <w:sz w:val="28"/>
          <w:szCs w:val="28"/>
        </w:rPr>
        <w:t>2</w:t>
      </w:r>
      <w:r w:rsidRPr="008573C5">
        <w:rPr>
          <w:b/>
          <w:sz w:val="28"/>
          <w:szCs w:val="28"/>
        </w:rPr>
        <w:tab/>
      </w:r>
      <w:r w:rsidR="00FF5EDF" w:rsidRPr="008573C5">
        <w:rPr>
          <w:b/>
          <w:sz w:val="28"/>
          <w:szCs w:val="28"/>
        </w:rPr>
        <w:t xml:space="preserve">Bivariate Relationships among the Continuous Independent Variables </w:t>
      </w:r>
    </w:p>
    <w:p w:rsidR="00FF5EDF" w:rsidRPr="008573C5" w:rsidRDefault="00FF5EDF" w:rsidP="004A665C">
      <w:pPr>
        <w:spacing w:before="100" w:beforeAutospacing="1" w:after="100" w:afterAutospacing="1" w:line="360" w:lineRule="auto"/>
        <w:jc w:val="both"/>
      </w:pPr>
      <w:r w:rsidRPr="008573C5">
        <w:t>Correlation analysis is used to explore the bivariate relationships among the size variables. Before conducting the correlation analysis, a preliminary glance of the general trend is necessary. This can be achieved with the aid of a scatterplot. The matrix scatterplot of the continuous independent varia</w:t>
      </w:r>
      <w:r w:rsidR="00737170" w:rsidRPr="008573C5">
        <w:t xml:space="preserve">bles are as shown in </w:t>
      </w:r>
      <w:r w:rsidR="00B956C9" w:rsidRPr="008573C5">
        <w:t>F</w:t>
      </w:r>
      <w:r w:rsidR="00737170" w:rsidRPr="008573C5">
        <w:t>igure 4.06</w:t>
      </w:r>
      <w:r w:rsidRPr="008573C5">
        <w:t xml:space="preserve"> below. The 20</w:t>
      </w:r>
      <w:r w:rsidR="00737170" w:rsidRPr="008573C5">
        <w:t xml:space="preserve"> scatterplots in Figure 4.06</w:t>
      </w:r>
      <w:r w:rsidRPr="008573C5">
        <w:t xml:space="preserve"> represent the various combinations of each variable plotted against each other variable. That is (i) size plotted against profitability, leverage and listing age and multinational</w:t>
      </w:r>
      <w:r w:rsidR="00B956C9" w:rsidRPr="008573C5">
        <w:t>ity</w:t>
      </w:r>
      <w:r w:rsidRPr="008573C5">
        <w:t xml:space="preserve">; (ii) profitability plotted against size, leverage and listing age and </w:t>
      </w:r>
      <w:r w:rsidR="00737170" w:rsidRPr="008573C5">
        <w:t>multinational</w:t>
      </w:r>
      <w:r w:rsidR="00B956C9" w:rsidRPr="008573C5">
        <w:t>ity</w:t>
      </w:r>
      <w:r w:rsidRPr="008573C5">
        <w:t xml:space="preserve">; (iii) leverage plotted against size, profitability and listing age and </w:t>
      </w:r>
      <w:r w:rsidR="00737170" w:rsidRPr="008573C5">
        <w:t>multinational</w:t>
      </w:r>
      <w:r w:rsidR="005C663F" w:rsidRPr="008573C5">
        <w:t>ity;</w:t>
      </w:r>
      <w:r w:rsidRPr="008573C5">
        <w:t xml:space="preserve"> (iv) listing age plotted against size, profitability, leverage and </w:t>
      </w:r>
      <w:r w:rsidR="00737170" w:rsidRPr="008573C5">
        <w:t>multinational</w:t>
      </w:r>
      <w:r w:rsidR="005C663F" w:rsidRPr="008573C5">
        <w:t>ity</w:t>
      </w:r>
      <w:r w:rsidRPr="008573C5">
        <w:t xml:space="preserve">; and (v) </w:t>
      </w:r>
      <w:r w:rsidR="00737170" w:rsidRPr="008573C5">
        <w:t>multinational</w:t>
      </w:r>
      <w:r w:rsidR="005C663F" w:rsidRPr="008573C5">
        <w:t>ity</w:t>
      </w:r>
      <w:r w:rsidRPr="008573C5">
        <w:t xml:space="preserve"> plotted against size, profitability, leverage and listing age. The outliers observed on the scatter plots seem to be quite alarming. </w:t>
      </w:r>
      <w:r w:rsidR="00805C20" w:rsidRPr="008573C5">
        <w:rPr>
          <w:bCs/>
        </w:rPr>
        <w:t xml:space="preserve">In order to test if </w:t>
      </w:r>
      <w:r w:rsidR="00805C20" w:rsidRPr="008573C5">
        <w:t>multicollinearity could cause estimation problem, a new correlation matrix</w:t>
      </w:r>
      <w:r w:rsidR="00805C20" w:rsidRPr="008573C5">
        <w:rPr>
          <w:bCs/>
        </w:rPr>
        <w:t xml:space="preserve"> was constructed to</w:t>
      </w:r>
      <w:r w:rsidR="00805C20" w:rsidRPr="008573C5">
        <w:t xml:space="preserve"> explore the bivariate relationships among the continuous independent variables. Table 4.19 provides a matrix of the correlation coefficients for the five continuous independent variables. Underneath each correlation coefficients are the significant values and the number of valid cases. The correlation matrix as indicated in Table 4.19 shows that the highest correlation was between company size factor variable and leverage (r = .492 at p&lt; .001), where r is less than 0.5. Other variables showed low correlation (between -0.004 and 0.324) which reveals that</w:t>
      </w:r>
    </w:p>
    <w:p w:rsidR="00FF5EDF" w:rsidRPr="008573C5" w:rsidRDefault="008453FC" w:rsidP="00FF5EDF">
      <w:pPr>
        <w:autoSpaceDE w:val="0"/>
        <w:autoSpaceDN w:val="0"/>
        <w:adjustRightInd w:val="0"/>
        <w:jc w:val="center"/>
        <w:rPr>
          <w:rFonts w:ascii="System" w:eastAsia="Calibri" w:hAnsi="System" w:cs="System"/>
          <w:b/>
          <w:bCs/>
          <w:sz w:val="28"/>
          <w:szCs w:val="28"/>
        </w:rPr>
      </w:pPr>
      <w:r w:rsidRPr="008573C5">
        <w:rPr>
          <w:b/>
          <w:sz w:val="28"/>
          <w:szCs w:val="28"/>
        </w:rPr>
        <w:t>Figure 4.06</w:t>
      </w:r>
      <w:r w:rsidR="00FF5EDF" w:rsidRPr="008573C5">
        <w:rPr>
          <w:b/>
          <w:sz w:val="28"/>
          <w:szCs w:val="28"/>
        </w:rPr>
        <w:t>: Scatterplot of the Continuous Independent Variables</w:t>
      </w:r>
      <w:r w:rsidR="00FF5EDF" w:rsidRPr="008573C5">
        <w:rPr>
          <w:rFonts w:ascii="System" w:eastAsia="Calibri" w:hAnsi="System" w:cs="System"/>
          <w:b/>
          <w:bCs/>
          <w:sz w:val="28"/>
          <w:szCs w:val="28"/>
        </w:rPr>
        <w:t xml:space="preserve"> </w:t>
      </w:r>
    </w:p>
    <w:p w:rsidR="00FF5EDF" w:rsidRPr="008573C5" w:rsidRDefault="00FF5EDF" w:rsidP="00FF5EDF">
      <w:pPr>
        <w:autoSpaceDE w:val="0"/>
        <w:autoSpaceDN w:val="0"/>
        <w:adjustRightInd w:val="0"/>
        <w:jc w:val="center"/>
        <w:rPr>
          <w:rFonts w:ascii="System" w:eastAsia="Calibri" w:hAnsi="System" w:cs="System"/>
          <w:b/>
          <w:bCs/>
          <w:sz w:val="20"/>
          <w:szCs w:val="20"/>
        </w:rPr>
      </w:pPr>
    </w:p>
    <w:p w:rsidR="00FF5EDF" w:rsidRPr="008573C5" w:rsidRDefault="00FF5EDF" w:rsidP="00FF5EDF">
      <w:pPr>
        <w:autoSpaceDE w:val="0"/>
        <w:autoSpaceDN w:val="0"/>
        <w:adjustRightInd w:val="0"/>
        <w:jc w:val="center"/>
        <w:rPr>
          <w:rFonts w:ascii="System" w:eastAsia="Calibri" w:hAnsi="System" w:cs="System"/>
          <w:b/>
          <w:bCs/>
          <w:sz w:val="20"/>
          <w:szCs w:val="20"/>
        </w:rPr>
      </w:pPr>
    </w:p>
    <w:p w:rsidR="00FF5EDF" w:rsidRPr="008573C5" w:rsidRDefault="006F1BDD" w:rsidP="00FF5EDF">
      <w:pPr>
        <w:autoSpaceDE w:val="0"/>
        <w:autoSpaceDN w:val="0"/>
        <w:adjustRightInd w:val="0"/>
        <w:jc w:val="center"/>
        <w:rPr>
          <w:rFonts w:ascii="System" w:eastAsia="Calibri" w:hAnsi="System" w:cs="System"/>
          <w:b/>
          <w:bCs/>
          <w:sz w:val="20"/>
          <w:szCs w:val="20"/>
        </w:rPr>
      </w:pPr>
      <w:r w:rsidRPr="008573C5">
        <w:rPr>
          <w:rFonts w:ascii="System" w:eastAsia="Calibri" w:hAnsi="System" w:cs="System"/>
          <w:b/>
          <w:bCs/>
          <w:noProof/>
          <w:sz w:val="20"/>
          <w:szCs w:val="20"/>
        </w:rPr>
        <w:drawing>
          <wp:inline distT="0" distB="0" distL="0" distR="0">
            <wp:extent cx="3453130" cy="276479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srcRect/>
                    <a:stretch>
                      <a:fillRect/>
                    </a:stretch>
                  </pic:blipFill>
                  <pic:spPr bwMode="auto">
                    <a:xfrm>
                      <a:off x="0" y="0"/>
                      <a:ext cx="3453130" cy="2764790"/>
                    </a:xfrm>
                    <a:prstGeom prst="rect">
                      <a:avLst/>
                    </a:prstGeom>
                    <a:noFill/>
                    <a:ln w="9525">
                      <a:noFill/>
                      <a:miter lim="800000"/>
                      <a:headEnd/>
                      <a:tailEnd/>
                    </a:ln>
                  </pic:spPr>
                </pic:pic>
              </a:graphicData>
            </a:graphic>
          </wp:inline>
        </w:drawing>
      </w:r>
    </w:p>
    <w:p w:rsidR="00FF5EDF" w:rsidRPr="008573C5" w:rsidRDefault="00FF5EDF" w:rsidP="00FF5EDF">
      <w:pPr>
        <w:autoSpaceDE w:val="0"/>
        <w:autoSpaceDN w:val="0"/>
        <w:adjustRightInd w:val="0"/>
        <w:rPr>
          <w:rFonts w:ascii="System" w:eastAsia="Calibri" w:hAnsi="System" w:cs="System"/>
          <w:b/>
          <w:bCs/>
          <w:sz w:val="20"/>
          <w:szCs w:val="20"/>
        </w:rPr>
      </w:pPr>
    </w:p>
    <w:p w:rsidR="00FF5EDF" w:rsidRPr="008573C5" w:rsidRDefault="00BF4515" w:rsidP="00BF4515">
      <w:pPr>
        <w:autoSpaceDE w:val="0"/>
        <w:autoSpaceDN w:val="0"/>
        <w:adjustRightInd w:val="0"/>
        <w:jc w:val="center"/>
        <w:rPr>
          <w:rFonts w:eastAsia="Calibri"/>
          <w:b/>
          <w:bCs/>
        </w:rPr>
      </w:pPr>
      <w:r w:rsidRPr="008573C5">
        <w:rPr>
          <w:rFonts w:eastAsia="Calibri"/>
          <w:b/>
          <w:bCs/>
        </w:rPr>
        <w:t>Source: Field Study (2009)</w:t>
      </w:r>
    </w:p>
    <w:p w:rsidR="00BF4515" w:rsidRPr="008573C5" w:rsidRDefault="00BF4515" w:rsidP="00BF4515">
      <w:pPr>
        <w:autoSpaceDE w:val="0"/>
        <w:autoSpaceDN w:val="0"/>
        <w:adjustRightInd w:val="0"/>
        <w:jc w:val="center"/>
        <w:rPr>
          <w:rFonts w:eastAsia="Calibri"/>
          <w:bCs/>
        </w:rPr>
      </w:pPr>
    </w:p>
    <w:p w:rsidR="00FF5EDF" w:rsidRPr="008573C5" w:rsidRDefault="00FF5EDF" w:rsidP="008453FC">
      <w:pPr>
        <w:autoSpaceDE w:val="0"/>
        <w:autoSpaceDN w:val="0"/>
        <w:adjustRightInd w:val="0"/>
        <w:jc w:val="center"/>
        <w:rPr>
          <w:rFonts w:ascii="System" w:eastAsia="Calibri" w:hAnsi="System" w:cs="System"/>
          <w:b/>
          <w:bCs/>
          <w:sz w:val="20"/>
          <w:szCs w:val="20"/>
        </w:rPr>
      </w:pPr>
      <w:r w:rsidRPr="008573C5">
        <w:rPr>
          <w:b/>
          <w:sz w:val="28"/>
          <w:szCs w:val="28"/>
        </w:rPr>
        <w:t>Table 4.</w:t>
      </w:r>
      <w:r w:rsidR="008453FC" w:rsidRPr="008573C5">
        <w:rPr>
          <w:b/>
          <w:sz w:val="28"/>
          <w:szCs w:val="28"/>
        </w:rPr>
        <w:t>19</w:t>
      </w:r>
      <w:r w:rsidRPr="008573C5">
        <w:rPr>
          <w:b/>
          <w:sz w:val="28"/>
          <w:szCs w:val="28"/>
        </w:rPr>
        <w:t>: Pearson Correlation Coefficient of the Continuous Independent Variables</w:t>
      </w:r>
      <w:r w:rsidRPr="008573C5">
        <w:rPr>
          <w:rFonts w:ascii="System" w:eastAsia="Calibri" w:hAnsi="System" w:cs="System"/>
          <w:b/>
          <w:bCs/>
          <w:sz w:val="20"/>
          <w:szCs w:val="20"/>
        </w:rPr>
        <w:t xml:space="preserve"> </w:t>
      </w:r>
      <w:r w:rsidR="006E22C9">
        <w:rPr>
          <w:rFonts w:ascii="System" w:eastAsia="Calibri" w:hAnsi="System" w:cs="System"/>
          <w:b/>
          <w:bCs/>
          <w:sz w:val="20"/>
          <w:szCs w:val="20"/>
        </w:rPr>
      </w:r>
      <w:r w:rsidR="006E22C9">
        <w:rPr>
          <w:rFonts w:ascii="System" w:eastAsia="Calibri" w:hAnsi="System" w:cs="System"/>
          <w:b/>
          <w:bCs/>
          <w:sz w:val="20"/>
          <w:szCs w:val="20"/>
        </w:rPr>
        <w:pict>
          <v:group id="_x0000_s72565" editas="canvas" style="width:498pt;height:292.05pt;mso-position-horizontal-relative:char;mso-position-vertical-relative:line" coordsize="9960,5841">
            <o:lock v:ext="edit" aspectratio="t"/>
            <v:shape id="_x0000_s72564" type="#_x0000_t75" style="position:absolute;width:9960;height:5841" o:preferrelative="f">
              <v:fill o:detectmouseclick="t"/>
              <v:path o:extrusionok="t" o:connecttype="none"/>
              <o:lock v:ext="edit" text="t"/>
            </v:shape>
            <v:group id="_x0000_s72766" style="position:absolute;left:130;top:130;width:9701;height:5264" coordorigin="130,130" coordsize="9701,5264">
              <v:rect id="_x0000_s72566" style="position:absolute;left:130;top:130;width:9701;height:404" stroked="f"/>
              <v:rect id="_x0000_s72567" style="position:absolute;left:4419;top:159;width:1061;height:207;mso-wrap-style:none;v-text-anchor:top" filled="f" stroked="f">
                <v:textbox style="mso-fit-shape-to-text:t" inset="0,0,0,0">
                  <w:txbxContent>
                    <w:p w:rsidR="00CB6FAE" w:rsidRDefault="00CB6FAE">
                      <w:r>
                        <w:rPr>
                          <w:rFonts w:ascii="Arial" w:hAnsi="Arial" w:cs="Arial"/>
                          <w:b/>
                          <w:bCs/>
                          <w:color w:val="000000"/>
                          <w:sz w:val="18"/>
                          <w:szCs w:val="18"/>
                        </w:rPr>
                        <w:t>Correlations</w:t>
                      </w:r>
                    </w:p>
                  </w:txbxContent>
                </v:textbox>
              </v:rect>
              <v:rect id="_x0000_s72568" style="position:absolute;left:4189;top:1255;width:1108;height:303" stroked="f"/>
              <v:rect id="_x0000_s72569" style="position:absolute;left:4663;top:1284;width:451;height:207;mso-wrap-style:none;v-text-anchor:top" filled="f" stroked="f">
                <v:textbox style="mso-fit-shape-to-text:t" inset="0,0,0,0">
                  <w:txbxContent>
                    <w:p w:rsidR="00CB6FAE" w:rsidRDefault="00CB6FAE">
                      <w:r>
                        <w:rPr>
                          <w:rFonts w:ascii="Arial" w:hAnsi="Arial" w:cs="Arial"/>
                          <w:color w:val="000000"/>
                          <w:sz w:val="18"/>
                          <w:szCs w:val="18"/>
                        </w:rPr>
                        <w:t>1.000</w:t>
                      </w:r>
                    </w:p>
                  </w:txbxContent>
                </v:textbox>
              </v:rect>
              <v:rect id="_x0000_s72570" style="position:absolute;left:5268;top:1255;width:1180;height:303" stroked="f"/>
              <v:rect id="_x0000_s72571" style="position:absolute;left:5844;top:1284;width:411;height:207;mso-wrap-style:none;v-text-anchor:top" filled="f" stroked="f">
                <v:textbox style="mso-fit-shape-to-text:t" inset="0,0,0,0">
                  <w:txbxContent>
                    <w:p w:rsidR="00CB6FAE" w:rsidRDefault="00CB6FAE">
                      <w:r>
                        <w:rPr>
                          <w:rFonts w:ascii="Arial" w:hAnsi="Arial" w:cs="Arial"/>
                          <w:color w:val="000000"/>
                          <w:sz w:val="18"/>
                          <w:szCs w:val="18"/>
                        </w:rPr>
                        <w:t>-.004</w:t>
                      </w:r>
                    </w:p>
                  </w:txbxContent>
                </v:textbox>
              </v:rect>
              <v:rect id="_x0000_s72572" style="position:absolute;left:6420;top:1255;width:1108;height:303" stroked="f"/>
              <v:rect id="_x0000_s72573" style="position:absolute;left:6981;top:1284;width:351;height:207;mso-wrap-style:none;v-text-anchor:top" filled="f" stroked="f">
                <v:textbox style="mso-fit-shape-to-text:t" inset="0,0,0,0">
                  <w:txbxContent>
                    <w:p w:rsidR="00CB6FAE" w:rsidRDefault="00CB6FAE">
                      <w:r>
                        <w:rPr>
                          <w:rFonts w:ascii="Arial" w:hAnsi="Arial" w:cs="Arial"/>
                          <w:color w:val="000000"/>
                          <w:sz w:val="18"/>
                          <w:szCs w:val="18"/>
                        </w:rPr>
                        <w:t>.492</w:t>
                      </w:r>
                    </w:p>
                  </w:txbxContent>
                </v:textbox>
              </v:rect>
              <v:rect id="_x0000_s72574" style="position:absolute;left:7355;top:1284;width:141;height:207;mso-wrap-style:none;v-text-anchor:top" filled="f" stroked="f">
                <v:textbox style="mso-fit-shape-to-text:t" inset="0,0,0,0">
                  <w:txbxContent>
                    <w:p w:rsidR="00CB6FAE" w:rsidRDefault="00CB6FAE">
                      <w:r>
                        <w:rPr>
                          <w:rFonts w:ascii="Arial" w:hAnsi="Arial" w:cs="Arial"/>
                          <w:color w:val="000000"/>
                          <w:sz w:val="18"/>
                          <w:szCs w:val="18"/>
                        </w:rPr>
                        <w:t>**</w:t>
                      </w:r>
                    </w:p>
                  </w:txbxContent>
                </v:textbox>
              </v:rect>
              <v:rect id="_x0000_s72575" style="position:absolute;left:7499;top:1255;width:1224;height:303" stroked="f"/>
              <v:rect id="_x0000_s72576" style="position:absolute;left:8176;top:1284;width:351;height:207;mso-wrap-style:none;v-text-anchor:top" filled="f" stroked="f">
                <v:textbox style="mso-fit-shape-to-text:t" inset="0,0,0,0">
                  <w:txbxContent>
                    <w:p w:rsidR="00CB6FAE" w:rsidRDefault="00CB6FAE">
                      <w:r>
                        <w:rPr>
                          <w:rFonts w:ascii="Arial" w:hAnsi="Arial" w:cs="Arial"/>
                          <w:color w:val="000000"/>
                          <w:sz w:val="18"/>
                          <w:szCs w:val="18"/>
                        </w:rPr>
                        <w:t>.015</w:t>
                      </w:r>
                    </w:p>
                  </w:txbxContent>
                </v:textbox>
              </v:rect>
              <v:rect id="_x0000_s72577" style="position:absolute;left:8694;top:1255;width:1137;height:303" stroked="f"/>
              <v:rect id="_x0000_s72578" style="position:absolute;left:9226;top:1284;width:411;height:207;mso-wrap-style:none;v-text-anchor:top" filled="f" stroked="f">
                <v:textbox style="mso-fit-shape-to-text:t" inset="0,0,0,0">
                  <w:txbxContent>
                    <w:p w:rsidR="00CB6FAE" w:rsidRDefault="00CB6FAE">
                      <w:r>
                        <w:rPr>
                          <w:rFonts w:ascii="Arial" w:hAnsi="Arial" w:cs="Arial"/>
                          <w:color w:val="000000"/>
                          <w:sz w:val="18"/>
                          <w:szCs w:val="18"/>
                        </w:rPr>
                        <w:t>-.233</w:t>
                      </w:r>
                    </w:p>
                  </w:txbxContent>
                </v:textbox>
              </v:rect>
              <v:rect id="_x0000_s72579" style="position:absolute;left:4189;top:1529;width:1108;height:303" stroked="f"/>
              <v:rect id="_x0000_s72580" style="position:absolute;left:5009;top:1558;width:51;height:207;mso-wrap-style:none;v-text-anchor:top" filled="f" stroked="f">
                <v:textbox style="mso-fit-shape-to-text:t" inset="0,0,0,0">
                  <w:txbxContent>
                    <w:p w:rsidR="00CB6FAE" w:rsidRDefault="00CB6FAE">
                      <w:r>
                        <w:rPr>
                          <w:rFonts w:ascii="Arial" w:hAnsi="Arial" w:cs="Arial"/>
                          <w:color w:val="000000"/>
                          <w:sz w:val="18"/>
                          <w:szCs w:val="18"/>
                        </w:rPr>
                        <w:t>.</w:t>
                      </w:r>
                    </w:p>
                  </w:txbxContent>
                </v:textbox>
              </v:rect>
              <v:rect id="_x0000_s72581" style="position:absolute;left:5268;top:1529;width:1180;height:303" stroked="f"/>
              <v:rect id="_x0000_s72582" style="position:absolute;left:5902;top:1558;width:351;height:207;mso-wrap-style:none;v-text-anchor:top" filled="f" stroked="f">
                <v:textbox style="mso-fit-shape-to-text:t" inset="0,0,0,0">
                  <w:txbxContent>
                    <w:p w:rsidR="00CB6FAE" w:rsidRDefault="00CB6FAE">
                      <w:r>
                        <w:rPr>
                          <w:rFonts w:ascii="Arial" w:hAnsi="Arial" w:cs="Arial"/>
                          <w:color w:val="000000"/>
                          <w:sz w:val="18"/>
                          <w:szCs w:val="18"/>
                        </w:rPr>
                        <w:t>.971</w:t>
                      </w:r>
                    </w:p>
                  </w:txbxContent>
                </v:textbox>
              </v:rect>
              <v:rect id="_x0000_s72583" style="position:absolute;left:6420;top:1529;width:1108;height:303" stroked="f"/>
              <v:rect id="_x0000_s72584" style="position:absolute;left:6981;top:1558;width:351;height:207;mso-wrap-style:none;v-text-anchor:top" filled="f" stroked="f">
                <v:textbox style="mso-fit-shape-to-text:t" inset="0,0,0,0">
                  <w:txbxContent>
                    <w:p w:rsidR="00CB6FAE" w:rsidRDefault="00CB6FAE">
                      <w:r>
                        <w:rPr>
                          <w:rFonts w:ascii="Arial" w:hAnsi="Arial" w:cs="Arial"/>
                          <w:color w:val="000000"/>
                          <w:sz w:val="18"/>
                          <w:szCs w:val="18"/>
                        </w:rPr>
                        <w:t>.000</w:t>
                      </w:r>
                    </w:p>
                  </w:txbxContent>
                </v:textbox>
              </v:rect>
              <v:rect id="_x0000_s72585" style="position:absolute;left:7499;top:1529;width:1224;height:303" stroked="f"/>
              <v:rect id="_x0000_s72586" style="position:absolute;left:8176;top:1558;width:351;height:207;mso-wrap-style:none;v-text-anchor:top" filled="f" stroked="f">
                <v:textbox style="mso-fit-shape-to-text:t" inset="0,0,0,0">
                  <w:txbxContent>
                    <w:p w:rsidR="00CB6FAE" w:rsidRDefault="00CB6FAE">
                      <w:r>
                        <w:rPr>
                          <w:rFonts w:ascii="Arial" w:hAnsi="Arial" w:cs="Arial"/>
                          <w:color w:val="000000"/>
                          <w:sz w:val="18"/>
                          <w:szCs w:val="18"/>
                        </w:rPr>
                        <w:t>.900</w:t>
                      </w:r>
                    </w:p>
                  </w:txbxContent>
                </v:textbox>
              </v:rect>
              <v:rect id="_x0000_s72587" style="position:absolute;left:8694;top:1529;width:1137;height:303" stroked="f"/>
              <v:rect id="_x0000_s72588" style="position:absolute;left:9284;top:1558;width:351;height:207;mso-wrap-style:none;v-text-anchor:top" filled="f" stroked="f">
                <v:textbox style="mso-fit-shape-to-text:t" inset="0,0,0,0">
                  <w:txbxContent>
                    <w:p w:rsidR="00CB6FAE" w:rsidRDefault="00CB6FAE">
                      <w:r>
                        <w:rPr>
                          <w:rFonts w:ascii="Arial" w:hAnsi="Arial" w:cs="Arial"/>
                          <w:color w:val="000000"/>
                          <w:sz w:val="18"/>
                          <w:szCs w:val="18"/>
                        </w:rPr>
                        <w:t>.050</w:t>
                      </w:r>
                    </w:p>
                  </w:txbxContent>
                </v:textbox>
              </v:rect>
              <v:rect id="_x0000_s72589" style="position:absolute;left:4189;top:1803;width:1108;height:303" stroked="f"/>
              <v:rect id="_x0000_s72590" style="position:absolute;left:4879;top:1832;width:201;height:207;mso-wrap-style:none;v-text-anchor:top" filled="f" stroked="f">
                <v:textbox style="mso-fit-shape-to-text:t" inset="0,0,0,0">
                  <w:txbxContent>
                    <w:p w:rsidR="00CB6FAE" w:rsidRDefault="00CB6FAE">
                      <w:r>
                        <w:rPr>
                          <w:rFonts w:ascii="Arial" w:hAnsi="Arial" w:cs="Arial"/>
                          <w:color w:val="000000"/>
                          <w:sz w:val="18"/>
                          <w:szCs w:val="18"/>
                        </w:rPr>
                        <w:t>73</w:t>
                      </w:r>
                    </w:p>
                  </w:txbxContent>
                </v:textbox>
              </v:rect>
              <v:rect id="_x0000_s72591" style="position:absolute;left:5268;top:1803;width:1180;height:303" stroked="f"/>
              <v:rect id="_x0000_s72592" style="position:absolute;left:6031;top:1832;width:201;height:207;mso-wrap-style:none;v-text-anchor:top" filled="f" stroked="f">
                <v:textbox style="mso-fit-shape-to-text:t" inset="0,0,0,0">
                  <w:txbxContent>
                    <w:p w:rsidR="00CB6FAE" w:rsidRDefault="00CB6FAE">
                      <w:r>
                        <w:rPr>
                          <w:rFonts w:ascii="Arial" w:hAnsi="Arial" w:cs="Arial"/>
                          <w:color w:val="000000"/>
                          <w:sz w:val="18"/>
                          <w:szCs w:val="18"/>
                        </w:rPr>
                        <w:t>73</w:t>
                      </w:r>
                    </w:p>
                  </w:txbxContent>
                </v:textbox>
              </v:rect>
              <v:rect id="_x0000_s72593" style="position:absolute;left:6420;top:1803;width:1108;height:303" stroked="f"/>
              <v:rect id="_x0000_s72594" style="position:absolute;left:7110;top:1832;width:201;height:207;mso-wrap-style:none;v-text-anchor:top" filled="f" stroked="f">
                <v:textbox style="mso-fit-shape-to-text:t" inset="0,0,0,0">
                  <w:txbxContent>
                    <w:p w:rsidR="00CB6FAE" w:rsidRDefault="00CB6FAE">
                      <w:r>
                        <w:rPr>
                          <w:rFonts w:ascii="Arial" w:hAnsi="Arial" w:cs="Arial"/>
                          <w:color w:val="000000"/>
                          <w:sz w:val="18"/>
                          <w:szCs w:val="18"/>
                        </w:rPr>
                        <w:t>73</w:t>
                      </w:r>
                    </w:p>
                  </w:txbxContent>
                </v:textbox>
              </v:rect>
              <v:rect id="_x0000_s72595" style="position:absolute;left:7499;top:1803;width:1224;height:303" stroked="f"/>
              <v:rect id="_x0000_s72596" style="position:absolute;left:8305;top:1832;width:201;height:207;mso-wrap-style:none;v-text-anchor:top" filled="f" stroked="f">
                <v:textbox style="mso-fit-shape-to-text:t" inset="0,0,0,0">
                  <w:txbxContent>
                    <w:p w:rsidR="00CB6FAE" w:rsidRDefault="00CB6FAE">
                      <w:r>
                        <w:rPr>
                          <w:rFonts w:ascii="Arial" w:hAnsi="Arial" w:cs="Arial"/>
                          <w:color w:val="000000"/>
                          <w:sz w:val="18"/>
                          <w:szCs w:val="18"/>
                        </w:rPr>
                        <w:t>72</w:t>
                      </w:r>
                    </w:p>
                  </w:txbxContent>
                </v:textbox>
              </v:rect>
              <v:rect id="_x0000_s72597" style="position:absolute;left:8694;top:1803;width:1137;height:303" stroked="f"/>
              <v:rect id="_x0000_s72598" style="position:absolute;left:9413;top:1832;width:201;height:207;mso-wrap-style:none;v-text-anchor:top" filled="f" stroked="f">
                <v:textbox style="mso-fit-shape-to-text:t" inset="0,0,0,0">
                  <w:txbxContent>
                    <w:p w:rsidR="00CB6FAE" w:rsidRDefault="00CB6FAE">
                      <w:r>
                        <w:rPr>
                          <w:rFonts w:ascii="Arial" w:hAnsi="Arial" w:cs="Arial"/>
                          <w:color w:val="000000"/>
                          <w:sz w:val="18"/>
                          <w:szCs w:val="18"/>
                        </w:rPr>
                        <w:t>71</w:t>
                      </w:r>
                    </w:p>
                  </w:txbxContent>
                </v:textbox>
              </v:rect>
              <v:rect id="_x0000_s72599" style="position:absolute;left:4189;top:2077;width:1108;height:303" stroked="f"/>
              <v:rect id="_x0000_s72600" style="position:absolute;left:4692;top:2106;width:411;height:207;mso-wrap-style:none;v-text-anchor:top" filled="f" stroked="f">
                <v:textbox style="mso-fit-shape-to-text:t" inset="0,0,0,0">
                  <w:txbxContent>
                    <w:p w:rsidR="00CB6FAE" w:rsidRDefault="00CB6FAE">
                      <w:r>
                        <w:rPr>
                          <w:rFonts w:ascii="Arial" w:hAnsi="Arial" w:cs="Arial"/>
                          <w:color w:val="000000"/>
                          <w:sz w:val="18"/>
                          <w:szCs w:val="18"/>
                        </w:rPr>
                        <w:t>-.004</w:t>
                      </w:r>
                    </w:p>
                  </w:txbxContent>
                </v:textbox>
              </v:rect>
              <v:rect id="_x0000_s72601" style="position:absolute;left:5268;top:2077;width:1180;height:303" stroked="f"/>
              <v:rect id="_x0000_s72602" style="position:absolute;left:5815;top:2106;width:451;height:207;mso-wrap-style:none;v-text-anchor:top" filled="f" stroked="f">
                <v:textbox style="mso-fit-shape-to-text:t" inset="0,0,0,0">
                  <w:txbxContent>
                    <w:p w:rsidR="00CB6FAE" w:rsidRDefault="00CB6FAE">
                      <w:r>
                        <w:rPr>
                          <w:rFonts w:ascii="Arial" w:hAnsi="Arial" w:cs="Arial"/>
                          <w:color w:val="000000"/>
                          <w:sz w:val="18"/>
                          <w:szCs w:val="18"/>
                        </w:rPr>
                        <w:t>1.000</w:t>
                      </w:r>
                    </w:p>
                  </w:txbxContent>
                </v:textbox>
              </v:rect>
              <v:rect id="_x0000_s72603" style="position:absolute;left:6420;top:2077;width:1108;height:303" stroked="f"/>
              <v:rect id="_x0000_s72604" style="position:absolute;left:6981;top:2106;width:351;height:207;mso-wrap-style:none;v-text-anchor:top" filled="f" stroked="f">
                <v:textbox style="mso-fit-shape-to-text:t" inset="0,0,0,0">
                  <w:txbxContent>
                    <w:p w:rsidR="00CB6FAE" w:rsidRDefault="00CB6FAE">
                      <w:r>
                        <w:rPr>
                          <w:rFonts w:ascii="Arial" w:hAnsi="Arial" w:cs="Arial"/>
                          <w:color w:val="000000"/>
                          <w:sz w:val="18"/>
                          <w:szCs w:val="18"/>
                        </w:rPr>
                        <w:t>.198</w:t>
                      </w:r>
                    </w:p>
                  </w:txbxContent>
                </v:textbox>
              </v:rect>
              <v:rect id="_x0000_s72605" style="position:absolute;left:7499;top:2077;width:1224;height:303" stroked="f"/>
              <v:rect id="_x0000_s72606" style="position:absolute;left:8176;top:2106;width:351;height:207;mso-wrap-style:none;v-text-anchor:top" filled="f" stroked="f">
                <v:textbox style="mso-fit-shape-to-text:t" inset="0,0,0,0">
                  <w:txbxContent>
                    <w:p w:rsidR="00CB6FAE" w:rsidRDefault="00CB6FAE">
                      <w:r>
                        <w:rPr>
                          <w:rFonts w:ascii="Arial" w:hAnsi="Arial" w:cs="Arial"/>
                          <w:color w:val="000000"/>
                          <w:sz w:val="18"/>
                          <w:szCs w:val="18"/>
                        </w:rPr>
                        <w:t>.036</w:t>
                      </w:r>
                    </w:p>
                  </w:txbxContent>
                </v:textbox>
              </v:rect>
              <v:rect id="_x0000_s72607" style="position:absolute;left:8694;top:2077;width:1137;height:303" stroked="f"/>
              <v:rect id="_x0000_s72608" style="position:absolute;left:9284;top:2106;width:351;height:207;mso-wrap-style:none;v-text-anchor:top" filled="f" stroked="f">
                <v:textbox style="mso-fit-shape-to-text:t" inset="0,0,0,0">
                  <w:txbxContent>
                    <w:p w:rsidR="00CB6FAE" w:rsidRDefault="00CB6FAE">
                      <w:r>
                        <w:rPr>
                          <w:rFonts w:ascii="Arial" w:hAnsi="Arial" w:cs="Arial"/>
                          <w:color w:val="000000"/>
                          <w:sz w:val="18"/>
                          <w:szCs w:val="18"/>
                        </w:rPr>
                        <w:t>.088</w:t>
                      </w:r>
                    </w:p>
                  </w:txbxContent>
                </v:textbox>
              </v:rect>
              <v:rect id="_x0000_s72609" style="position:absolute;left:4189;top:2351;width:1108;height:303" stroked="f"/>
              <v:rect id="_x0000_s72610" style="position:absolute;left:4750;top:2380;width:351;height:207;mso-wrap-style:none;v-text-anchor:top" filled="f" stroked="f">
                <v:textbox style="mso-fit-shape-to-text:t" inset="0,0,0,0">
                  <w:txbxContent>
                    <w:p w:rsidR="00CB6FAE" w:rsidRDefault="00CB6FAE">
                      <w:r>
                        <w:rPr>
                          <w:rFonts w:ascii="Arial" w:hAnsi="Arial" w:cs="Arial"/>
                          <w:color w:val="000000"/>
                          <w:sz w:val="18"/>
                          <w:szCs w:val="18"/>
                        </w:rPr>
                        <w:t>.971</w:t>
                      </w:r>
                    </w:p>
                  </w:txbxContent>
                </v:textbox>
              </v:rect>
              <v:rect id="_x0000_s72611" style="position:absolute;left:5268;top:2351;width:1180;height:303" stroked="f"/>
              <v:rect id="_x0000_s72612" style="position:absolute;left:6161;top:2380;width:51;height:207;mso-wrap-style:none;v-text-anchor:top" filled="f" stroked="f">
                <v:textbox style="mso-fit-shape-to-text:t" inset="0,0,0,0">
                  <w:txbxContent>
                    <w:p w:rsidR="00CB6FAE" w:rsidRDefault="00CB6FAE">
                      <w:r>
                        <w:rPr>
                          <w:rFonts w:ascii="Arial" w:hAnsi="Arial" w:cs="Arial"/>
                          <w:color w:val="000000"/>
                          <w:sz w:val="18"/>
                          <w:szCs w:val="18"/>
                        </w:rPr>
                        <w:t>.</w:t>
                      </w:r>
                    </w:p>
                  </w:txbxContent>
                </v:textbox>
              </v:rect>
              <v:rect id="_x0000_s72613" style="position:absolute;left:6420;top:2351;width:1108;height:303" stroked="f"/>
              <v:rect id="_x0000_s72614" style="position:absolute;left:6981;top:2380;width:351;height:207;mso-wrap-style:none;v-text-anchor:top" filled="f" stroked="f">
                <v:textbox style="mso-fit-shape-to-text:t" inset="0,0,0,0">
                  <w:txbxContent>
                    <w:p w:rsidR="00CB6FAE" w:rsidRDefault="00CB6FAE">
                      <w:r>
                        <w:rPr>
                          <w:rFonts w:ascii="Arial" w:hAnsi="Arial" w:cs="Arial"/>
                          <w:color w:val="000000"/>
                          <w:sz w:val="18"/>
                          <w:szCs w:val="18"/>
                        </w:rPr>
                        <w:t>.062</w:t>
                      </w:r>
                    </w:p>
                  </w:txbxContent>
                </v:textbox>
              </v:rect>
              <v:rect id="_x0000_s72615" style="position:absolute;left:7499;top:2351;width:1224;height:303" stroked="f"/>
              <v:rect id="_x0000_s72616" style="position:absolute;left:8176;top:2380;width:351;height:207;mso-wrap-style:none;v-text-anchor:top" filled="f" stroked="f">
                <v:textbox style="mso-fit-shape-to-text:t" inset="0,0,0,0">
                  <w:txbxContent>
                    <w:p w:rsidR="00CB6FAE" w:rsidRDefault="00CB6FAE">
                      <w:r>
                        <w:rPr>
                          <w:rFonts w:ascii="Arial" w:hAnsi="Arial" w:cs="Arial"/>
                          <w:color w:val="000000"/>
                          <w:sz w:val="18"/>
                          <w:szCs w:val="18"/>
                        </w:rPr>
                        <w:t>.739</w:t>
                      </w:r>
                    </w:p>
                  </w:txbxContent>
                </v:textbox>
              </v:rect>
              <v:rect id="_x0000_s72617" style="position:absolute;left:8694;top:2351;width:1137;height:303" stroked="f"/>
              <v:rect id="_x0000_s72618" style="position:absolute;left:9284;top:2380;width:351;height:207;mso-wrap-style:none;v-text-anchor:top" filled="f" stroked="f">
                <v:textbox style="mso-fit-shape-to-text:t" inset="0,0,0,0">
                  <w:txbxContent>
                    <w:p w:rsidR="00CB6FAE" w:rsidRDefault="00CB6FAE">
                      <w:r>
                        <w:rPr>
                          <w:rFonts w:ascii="Arial" w:hAnsi="Arial" w:cs="Arial"/>
                          <w:color w:val="000000"/>
                          <w:sz w:val="18"/>
                          <w:szCs w:val="18"/>
                        </w:rPr>
                        <w:t>.418</w:t>
                      </w:r>
                    </w:p>
                  </w:txbxContent>
                </v:textbox>
              </v:rect>
              <v:rect id="_x0000_s72619" style="position:absolute;left:4189;top:2625;width:1108;height:303" stroked="f"/>
              <v:rect id="_x0000_s72620" style="position:absolute;left:4879;top:2654;width:201;height:207;mso-wrap-style:none;v-text-anchor:top" filled="f" stroked="f">
                <v:textbox style="mso-fit-shape-to-text:t" inset="0,0,0,0">
                  <w:txbxContent>
                    <w:p w:rsidR="00CB6FAE" w:rsidRDefault="00CB6FAE">
                      <w:r>
                        <w:rPr>
                          <w:rFonts w:ascii="Arial" w:hAnsi="Arial" w:cs="Arial"/>
                          <w:color w:val="000000"/>
                          <w:sz w:val="18"/>
                          <w:szCs w:val="18"/>
                        </w:rPr>
                        <w:t>73</w:t>
                      </w:r>
                    </w:p>
                  </w:txbxContent>
                </v:textbox>
              </v:rect>
              <v:rect id="_x0000_s72621" style="position:absolute;left:5268;top:2625;width:1180;height:303" stroked="f"/>
              <v:rect id="_x0000_s72622" style="position:absolute;left:6031;top:2654;width:201;height:207;mso-wrap-style:none;v-text-anchor:top" filled="f" stroked="f">
                <v:textbox style="mso-fit-shape-to-text:t" inset="0,0,0,0">
                  <w:txbxContent>
                    <w:p w:rsidR="00CB6FAE" w:rsidRDefault="00CB6FAE">
                      <w:r>
                        <w:rPr>
                          <w:rFonts w:ascii="Arial" w:hAnsi="Arial" w:cs="Arial"/>
                          <w:color w:val="000000"/>
                          <w:sz w:val="18"/>
                          <w:szCs w:val="18"/>
                        </w:rPr>
                        <w:t>90</w:t>
                      </w:r>
                    </w:p>
                  </w:txbxContent>
                </v:textbox>
              </v:rect>
              <v:rect id="_x0000_s72623" style="position:absolute;left:6420;top:2625;width:1108;height:303" stroked="f"/>
              <v:rect id="_x0000_s72624" style="position:absolute;left:7110;top:2654;width:201;height:207;mso-wrap-style:none;v-text-anchor:top" filled="f" stroked="f">
                <v:textbox style="mso-fit-shape-to-text:t" inset="0,0,0,0">
                  <w:txbxContent>
                    <w:p w:rsidR="00CB6FAE" w:rsidRDefault="00CB6FAE">
                      <w:r>
                        <w:rPr>
                          <w:rFonts w:ascii="Arial" w:hAnsi="Arial" w:cs="Arial"/>
                          <w:color w:val="000000"/>
                          <w:sz w:val="18"/>
                          <w:szCs w:val="18"/>
                        </w:rPr>
                        <w:t>90</w:t>
                      </w:r>
                    </w:p>
                  </w:txbxContent>
                </v:textbox>
              </v:rect>
              <v:rect id="_x0000_s72625" style="position:absolute;left:7499;top:2625;width:1224;height:303" stroked="f"/>
              <v:rect id="_x0000_s72626" style="position:absolute;left:8305;top:2654;width:201;height:207;mso-wrap-style:none;v-text-anchor:top" filled="f" stroked="f">
                <v:textbox style="mso-fit-shape-to-text:t" inset="0,0,0,0">
                  <w:txbxContent>
                    <w:p w:rsidR="00CB6FAE" w:rsidRDefault="00CB6FAE">
                      <w:r>
                        <w:rPr>
                          <w:rFonts w:ascii="Arial" w:hAnsi="Arial" w:cs="Arial"/>
                          <w:color w:val="000000"/>
                          <w:sz w:val="18"/>
                          <w:szCs w:val="18"/>
                        </w:rPr>
                        <w:t>89</w:t>
                      </w:r>
                    </w:p>
                  </w:txbxContent>
                </v:textbox>
              </v:rect>
              <v:rect id="_x0000_s72627" style="position:absolute;left:8694;top:2625;width:1137;height:303" stroked="f"/>
              <v:rect id="_x0000_s72628" style="position:absolute;left:9413;top:2654;width:201;height:207;mso-wrap-style:none;v-text-anchor:top" filled="f" stroked="f">
                <v:textbox style="mso-fit-shape-to-text:t" inset="0,0,0,0">
                  <w:txbxContent>
                    <w:p w:rsidR="00CB6FAE" w:rsidRDefault="00CB6FAE">
                      <w:r>
                        <w:rPr>
                          <w:rFonts w:ascii="Arial" w:hAnsi="Arial" w:cs="Arial"/>
                          <w:color w:val="000000"/>
                          <w:sz w:val="18"/>
                          <w:szCs w:val="18"/>
                        </w:rPr>
                        <w:t>87</w:t>
                      </w:r>
                    </w:p>
                  </w:txbxContent>
                </v:textbox>
              </v:rect>
              <v:rect id="_x0000_s72629" style="position:absolute;left:4189;top:2899;width:1108;height:303" stroked="f"/>
              <v:rect id="_x0000_s72630" style="position:absolute;left:4750;top:2928;width:351;height:207;mso-wrap-style:none;v-text-anchor:top" filled="f" stroked="f">
                <v:textbox style="mso-fit-shape-to-text:t" inset="0,0,0,0">
                  <w:txbxContent>
                    <w:p w:rsidR="00CB6FAE" w:rsidRDefault="00CB6FAE">
                      <w:r>
                        <w:rPr>
                          <w:rFonts w:ascii="Arial" w:hAnsi="Arial" w:cs="Arial"/>
                          <w:color w:val="000000"/>
                          <w:sz w:val="18"/>
                          <w:szCs w:val="18"/>
                        </w:rPr>
                        <w:t>.492</w:t>
                      </w:r>
                    </w:p>
                  </w:txbxContent>
                </v:textbox>
              </v:rect>
              <v:rect id="_x0000_s72631" style="position:absolute;left:5124;top:2928;width:141;height:207;mso-wrap-style:none;v-text-anchor:top" filled="f" stroked="f">
                <v:textbox style="mso-fit-shape-to-text:t" inset="0,0,0,0">
                  <w:txbxContent>
                    <w:p w:rsidR="00CB6FAE" w:rsidRDefault="00CB6FAE">
                      <w:r>
                        <w:rPr>
                          <w:rFonts w:ascii="Arial" w:hAnsi="Arial" w:cs="Arial"/>
                          <w:color w:val="000000"/>
                          <w:sz w:val="18"/>
                          <w:szCs w:val="18"/>
                        </w:rPr>
                        <w:t>**</w:t>
                      </w:r>
                    </w:p>
                  </w:txbxContent>
                </v:textbox>
              </v:rect>
              <v:rect id="_x0000_s72632" style="position:absolute;left:5268;top:2899;width:1180;height:303" stroked="f"/>
              <v:rect id="_x0000_s72633" style="position:absolute;left:5902;top:2928;width:351;height:207;mso-wrap-style:none;v-text-anchor:top" filled="f" stroked="f">
                <v:textbox style="mso-fit-shape-to-text:t" inset="0,0,0,0">
                  <w:txbxContent>
                    <w:p w:rsidR="00CB6FAE" w:rsidRDefault="00CB6FAE">
                      <w:r>
                        <w:rPr>
                          <w:rFonts w:ascii="Arial" w:hAnsi="Arial" w:cs="Arial"/>
                          <w:color w:val="000000"/>
                          <w:sz w:val="18"/>
                          <w:szCs w:val="18"/>
                        </w:rPr>
                        <w:t>.198</w:t>
                      </w:r>
                    </w:p>
                  </w:txbxContent>
                </v:textbox>
              </v:rect>
              <v:rect id="_x0000_s72634" style="position:absolute;left:6420;top:2899;width:1108;height:303" stroked="f"/>
              <v:rect id="_x0000_s72635" style="position:absolute;left:6894;top:2928;width:451;height:207;mso-wrap-style:none;v-text-anchor:top" filled="f" stroked="f">
                <v:textbox style="mso-fit-shape-to-text:t" inset="0,0,0,0">
                  <w:txbxContent>
                    <w:p w:rsidR="00CB6FAE" w:rsidRDefault="00CB6FAE">
                      <w:r>
                        <w:rPr>
                          <w:rFonts w:ascii="Arial" w:hAnsi="Arial" w:cs="Arial"/>
                          <w:color w:val="000000"/>
                          <w:sz w:val="18"/>
                          <w:szCs w:val="18"/>
                        </w:rPr>
                        <w:t>1.000</w:t>
                      </w:r>
                    </w:p>
                  </w:txbxContent>
                </v:textbox>
              </v:rect>
              <v:rect id="_x0000_s72636" style="position:absolute;left:7499;top:2899;width:1224;height:303" stroked="f"/>
              <v:rect id="_x0000_s72637" style="position:absolute;left:8118;top:2928;width:411;height:207;mso-wrap-style:none;v-text-anchor:top" filled="f" stroked="f">
                <v:textbox style="mso-fit-shape-to-text:t" inset="0,0,0,0">
                  <w:txbxContent>
                    <w:p w:rsidR="00CB6FAE" w:rsidRDefault="00CB6FAE">
                      <w:r>
                        <w:rPr>
                          <w:rFonts w:ascii="Arial" w:hAnsi="Arial" w:cs="Arial"/>
                          <w:color w:val="000000"/>
                          <w:sz w:val="18"/>
                          <w:szCs w:val="18"/>
                        </w:rPr>
                        <w:t>-.181</w:t>
                      </w:r>
                    </w:p>
                  </w:txbxContent>
                </v:textbox>
              </v:rect>
              <v:rect id="_x0000_s72638" style="position:absolute;left:8694;top:2899;width:1137;height:303" stroked="f"/>
              <v:rect id="_x0000_s72639" style="position:absolute;left:9226;top:2928;width:411;height:207;mso-wrap-style:none;v-text-anchor:top" filled="f" stroked="f">
                <v:textbox style="mso-fit-shape-to-text:t" inset="0,0,0,0">
                  <w:txbxContent>
                    <w:p w:rsidR="00CB6FAE" w:rsidRDefault="00CB6FAE">
                      <w:r>
                        <w:rPr>
                          <w:rFonts w:ascii="Arial" w:hAnsi="Arial" w:cs="Arial"/>
                          <w:color w:val="000000"/>
                          <w:sz w:val="18"/>
                          <w:szCs w:val="18"/>
                        </w:rPr>
                        <w:t>-.063</w:t>
                      </w:r>
                    </w:p>
                  </w:txbxContent>
                </v:textbox>
              </v:rect>
              <v:rect id="_x0000_s72640" style="position:absolute;left:4189;top:3173;width:1108;height:303" stroked="f"/>
              <v:rect id="_x0000_s72641" style="position:absolute;left:4750;top:3202;width:351;height:207;mso-wrap-style:none;v-text-anchor:top" filled="f" stroked="f">
                <v:textbox style="mso-fit-shape-to-text:t" inset="0,0,0,0">
                  <w:txbxContent>
                    <w:p w:rsidR="00CB6FAE" w:rsidRDefault="00CB6FAE">
                      <w:r>
                        <w:rPr>
                          <w:rFonts w:ascii="Arial" w:hAnsi="Arial" w:cs="Arial"/>
                          <w:color w:val="000000"/>
                          <w:sz w:val="18"/>
                          <w:szCs w:val="18"/>
                        </w:rPr>
                        <w:t>.000</w:t>
                      </w:r>
                    </w:p>
                  </w:txbxContent>
                </v:textbox>
              </v:rect>
              <v:rect id="_x0000_s72642" style="position:absolute;left:5268;top:3173;width:1180;height:303" stroked="f"/>
              <v:rect id="_x0000_s72643" style="position:absolute;left:5902;top:3202;width:351;height:207;mso-wrap-style:none;v-text-anchor:top" filled="f" stroked="f">
                <v:textbox style="mso-fit-shape-to-text:t" inset="0,0,0,0">
                  <w:txbxContent>
                    <w:p w:rsidR="00CB6FAE" w:rsidRDefault="00CB6FAE">
                      <w:r>
                        <w:rPr>
                          <w:rFonts w:ascii="Arial" w:hAnsi="Arial" w:cs="Arial"/>
                          <w:color w:val="000000"/>
                          <w:sz w:val="18"/>
                          <w:szCs w:val="18"/>
                        </w:rPr>
                        <w:t>.062</w:t>
                      </w:r>
                    </w:p>
                  </w:txbxContent>
                </v:textbox>
              </v:rect>
              <v:rect id="_x0000_s72644" style="position:absolute;left:6420;top:3173;width:1108;height:303" stroked="f"/>
              <v:rect id="_x0000_s72645" style="position:absolute;left:7240;top:3202;width:51;height:207;mso-wrap-style:none;v-text-anchor:top" filled="f" stroked="f">
                <v:textbox style="mso-fit-shape-to-text:t" inset="0,0,0,0">
                  <w:txbxContent>
                    <w:p w:rsidR="00CB6FAE" w:rsidRDefault="00CB6FAE">
                      <w:r>
                        <w:rPr>
                          <w:rFonts w:ascii="Arial" w:hAnsi="Arial" w:cs="Arial"/>
                          <w:color w:val="000000"/>
                          <w:sz w:val="18"/>
                          <w:szCs w:val="18"/>
                        </w:rPr>
                        <w:t>.</w:t>
                      </w:r>
                    </w:p>
                  </w:txbxContent>
                </v:textbox>
              </v:rect>
              <v:rect id="_x0000_s72646" style="position:absolute;left:7499;top:3173;width:1224;height:303" stroked="f"/>
              <v:rect id="_x0000_s72647" style="position:absolute;left:8176;top:3202;width:351;height:207;mso-wrap-style:none;v-text-anchor:top" filled="f" stroked="f">
                <v:textbox style="mso-fit-shape-to-text:t" inset="0,0,0,0">
                  <w:txbxContent>
                    <w:p w:rsidR="00CB6FAE" w:rsidRDefault="00CB6FAE">
                      <w:r>
                        <w:rPr>
                          <w:rFonts w:ascii="Arial" w:hAnsi="Arial" w:cs="Arial"/>
                          <w:color w:val="000000"/>
                          <w:sz w:val="18"/>
                          <w:szCs w:val="18"/>
                        </w:rPr>
                        <w:t>.089</w:t>
                      </w:r>
                    </w:p>
                  </w:txbxContent>
                </v:textbox>
              </v:rect>
              <v:rect id="_x0000_s72648" style="position:absolute;left:8694;top:3173;width:1137;height:303" stroked="f"/>
              <v:rect id="_x0000_s72649" style="position:absolute;left:9284;top:3202;width:351;height:207;mso-wrap-style:none;v-text-anchor:top" filled="f" stroked="f">
                <v:textbox style="mso-fit-shape-to-text:t" inset="0,0,0,0">
                  <w:txbxContent>
                    <w:p w:rsidR="00CB6FAE" w:rsidRDefault="00CB6FAE">
                      <w:r>
                        <w:rPr>
                          <w:rFonts w:ascii="Arial" w:hAnsi="Arial" w:cs="Arial"/>
                          <w:color w:val="000000"/>
                          <w:sz w:val="18"/>
                          <w:szCs w:val="18"/>
                        </w:rPr>
                        <w:t>.560</w:t>
                      </w:r>
                    </w:p>
                  </w:txbxContent>
                </v:textbox>
              </v:rect>
              <v:rect id="_x0000_s72650" style="position:absolute;left:4189;top:3447;width:1108;height:303" stroked="f"/>
              <v:rect id="_x0000_s72651" style="position:absolute;left:4879;top:3476;width:201;height:207;mso-wrap-style:none;v-text-anchor:top" filled="f" stroked="f">
                <v:textbox style="mso-fit-shape-to-text:t" inset="0,0,0,0">
                  <w:txbxContent>
                    <w:p w:rsidR="00CB6FAE" w:rsidRDefault="00CB6FAE">
                      <w:r>
                        <w:rPr>
                          <w:rFonts w:ascii="Arial" w:hAnsi="Arial" w:cs="Arial"/>
                          <w:color w:val="000000"/>
                          <w:sz w:val="18"/>
                          <w:szCs w:val="18"/>
                        </w:rPr>
                        <w:t>73</w:t>
                      </w:r>
                    </w:p>
                  </w:txbxContent>
                </v:textbox>
              </v:rect>
              <v:rect id="_x0000_s72652" style="position:absolute;left:5268;top:3447;width:1180;height:303" stroked="f"/>
              <v:rect id="_x0000_s72653" style="position:absolute;left:6031;top:3476;width:201;height:207;mso-wrap-style:none;v-text-anchor:top" filled="f" stroked="f">
                <v:textbox style="mso-fit-shape-to-text:t" inset="0,0,0,0">
                  <w:txbxContent>
                    <w:p w:rsidR="00CB6FAE" w:rsidRDefault="00CB6FAE">
                      <w:r>
                        <w:rPr>
                          <w:rFonts w:ascii="Arial" w:hAnsi="Arial" w:cs="Arial"/>
                          <w:color w:val="000000"/>
                          <w:sz w:val="18"/>
                          <w:szCs w:val="18"/>
                        </w:rPr>
                        <w:t>90</w:t>
                      </w:r>
                    </w:p>
                  </w:txbxContent>
                </v:textbox>
              </v:rect>
              <v:rect id="_x0000_s72654" style="position:absolute;left:6420;top:3447;width:1108;height:303" stroked="f"/>
              <v:rect id="_x0000_s72655" style="position:absolute;left:7110;top:3476;width:201;height:207;mso-wrap-style:none;v-text-anchor:top" filled="f" stroked="f">
                <v:textbox style="mso-fit-shape-to-text:t" inset="0,0,0,0">
                  <w:txbxContent>
                    <w:p w:rsidR="00CB6FAE" w:rsidRDefault="00CB6FAE">
                      <w:r>
                        <w:rPr>
                          <w:rFonts w:ascii="Arial" w:hAnsi="Arial" w:cs="Arial"/>
                          <w:color w:val="000000"/>
                          <w:sz w:val="18"/>
                          <w:szCs w:val="18"/>
                        </w:rPr>
                        <w:t>90</w:t>
                      </w:r>
                    </w:p>
                  </w:txbxContent>
                </v:textbox>
              </v:rect>
              <v:rect id="_x0000_s72656" style="position:absolute;left:7499;top:3447;width:1224;height:303" stroked="f"/>
              <v:rect id="_x0000_s72657" style="position:absolute;left:8305;top:3476;width:201;height:207;mso-wrap-style:none;v-text-anchor:top" filled="f" stroked="f">
                <v:textbox style="mso-fit-shape-to-text:t" inset="0,0,0,0">
                  <w:txbxContent>
                    <w:p w:rsidR="00CB6FAE" w:rsidRDefault="00CB6FAE">
                      <w:r>
                        <w:rPr>
                          <w:rFonts w:ascii="Arial" w:hAnsi="Arial" w:cs="Arial"/>
                          <w:color w:val="000000"/>
                          <w:sz w:val="18"/>
                          <w:szCs w:val="18"/>
                        </w:rPr>
                        <w:t>89</w:t>
                      </w:r>
                    </w:p>
                  </w:txbxContent>
                </v:textbox>
              </v:rect>
              <v:rect id="_x0000_s72658" style="position:absolute;left:8694;top:3447;width:1137;height:303" stroked="f"/>
              <v:rect id="_x0000_s72659" style="position:absolute;left:9413;top:3476;width:201;height:207;mso-wrap-style:none;v-text-anchor:top" filled="f" stroked="f">
                <v:textbox style="mso-fit-shape-to-text:t" inset="0,0,0,0">
                  <w:txbxContent>
                    <w:p w:rsidR="00CB6FAE" w:rsidRDefault="00CB6FAE">
                      <w:r>
                        <w:rPr>
                          <w:rFonts w:ascii="Arial" w:hAnsi="Arial" w:cs="Arial"/>
                          <w:color w:val="000000"/>
                          <w:sz w:val="18"/>
                          <w:szCs w:val="18"/>
                        </w:rPr>
                        <w:t>87</w:t>
                      </w:r>
                    </w:p>
                  </w:txbxContent>
                </v:textbox>
              </v:rect>
              <v:rect id="_x0000_s72660" style="position:absolute;left:4189;top:3721;width:1108;height:303" stroked="f"/>
              <v:rect id="_x0000_s72661" style="position:absolute;left:4750;top:3750;width:351;height:207;mso-wrap-style:none;v-text-anchor:top" filled="f" stroked="f">
                <v:textbox style="mso-fit-shape-to-text:t" inset="0,0,0,0">
                  <w:txbxContent>
                    <w:p w:rsidR="00CB6FAE" w:rsidRDefault="00CB6FAE">
                      <w:r>
                        <w:rPr>
                          <w:rFonts w:ascii="Arial" w:hAnsi="Arial" w:cs="Arial"/>
                          <w:color w:val="000000"/>
                          <w:sz w:val="18"/>
                          <w:szCs w:val="18"/>
                        </w:rPr>
                        <w:t>.015</w:t>
                      </w:r>
                    </w:p>
                  </w:txbxContent>
                </v:textbox>
              </v:rect>
              <v:rect id="_x0000_s72662" style="position:absolute;left:5268;top:3721;width:1180;height:303" stroked="f"/>
              <v:rect id="_x0000_s72663" style="position:absolute;left:5902;top:3750;width:351;height:207;mso-wrap-style:none;v-text-anchor:top" filled="f" stroked="f">
                <v:textbox style="mso-fit-shape-to-text:t" inset="0,0,0,0">
                  <w:txbxContent>
                    <w:p w:rsidR="00CB6FAE" w:rsidRDefault="00CB6FAE">
                      <w:r>
                        <w:rPr>
                          <w:rFonts w:ascii="Arial" w:hAnsi="Arial" w:cs="Arial"/>
                          <w:color w:val="000000"/>
                          <w:sz w:val="18"/>
                          <w:szCs w:val="18"/>
                        </w:rPr>
                        <w:t>.036</w:t>
                      </w:r>
                    </w:p>
                  </w:txbxContent>
                </v:textbox>
              </v:rect>
              <v:rect id="_x0000_s72664" style="position:absolute;left:6420;top:3721;width:1108;height:303" stroked="f"/>
              <v:rect id="_x0000_s72665" style="position:absolute;left:6923;top:3750;width:411;height:207;mso-wrap-style:none;v-text-anchor:top" filled="f" stroked="f">
                <v:textbox style="mso-fit-shape-to-text:t" inset="0,0,0,0">
                  <w:txbxContent>
                    <w:p w:rsidR="00CB6FAE" w:rsidRDefault="00CB6FAE">
                      <w:r>
                        <w:rPr>
                          <w:rFonts w:ascii="Arial" w:hAnsi="Arial" w:cs="Arial"/>
                          <w:color w:val="000000"/>
                          <w:sz w:val="18"/>
                          <w:szCs w:val="18"/>
                        </w:rPr>
                        <w:t>-.181</w:t>
                      </w:r>
                    </w:p>
                  </w:txbxContent>
                </v:textbox>
              </v:rect>
              <v:rect id="_x0000_s72666" style="position:absolute;left:7499;top:3721;width:1224;height:303" stroked="f"/>
              <v:rect id="_x0000_s72667" style="position:absolute;left:8089;top:3750;width:451;height:207;mso-wrap-style:none;v-text-anchor:top" filled="f" stroked="f">
                <v:textbox style="mso-fit-shape-to-text:t" inset="0,0,0,0">
                  <w:txbxContent>
                    <w:p w:rsidR="00CB6FAE" w:rsidRDefault="00CB6FAE">
                      <w:r>
                        <w:rPr>
                          <w:rFonts w:ascii="Arial" w:hAnsi="Arial" w:cs="Arial"/>
                          <w:color w:val="000000"/>
                          <w:sz w:val="18"/>
                          <w:szCs w:val="18"/>
                        </w:rPr>
                        <w:t>1.000</w:t>
                      </w:r>
                    </w:p>
                  </w:txbxContent>
                </v:textbox>
              </v:rect>
              <v:rect id="_x0000_s72668" style="position:absolute;left:8694;top:3721;width:1137;height:303" stroked="f"/>
              <v:rect id="_x0000_s72669" style="position:absolute;left:9284;top:3750;width:351;height:207;mso-wrap-style:none;v-text-anchor:top" filled="f" stroked="f">
                <v:textbox style="mso-fit-shape-to-text:t" inset="0,0,0,0">
                  <w:txbxContent>
                    <w:p w:rsidR="00CB6FAE" w:rsidRDefault="00CB6FAE">
                      <w:r>
                        <w:rPr>
                          <w:rFonts w:ascii="Arial" w:hAnsi="Arial" w:cs="Arial"/>
                          <w:color w:val="000000"/>
                          <w:sz w:val="18"/>
                          <w:szCs w:val="18"/>
                        </w:rPr>
                        <w:t>.324</w:t>
                      </w:r>
                    </w:p>
                  </w:txbxContent>
                </v:textbox>
              </v:rect>
              <v:rect id="_x0000_s72670" style="position:absolute;left:9658;top:3750;width:141;height:207;mso-wrap-style:none;v-text-anchor:top" filled="f" stroked="f">
                <v:textbox style="mso-fit-shape-to-text:t" inset="0,0,0,0">
                  <w:txbxContent>
                    <w:p w:rsidR="00CB6FAE" w:rsidRDefault="00CB6FAE">
                      <w:r>
                        <w:rPr>
                          <w:rFonts w:ascii="Arial" w:hAnsi="Arial" w:cs="Arial"/>
                          <w:color w:val="000000"/>
                          <w:sz w:val="18"/>
                          <w:szCs w:val="18"/>
                        </w:rPr>
                        <w:t>**</w:t>
                      </w:r>
                    </w:p>
                  </w:txbxContent>
                </v:textbox>
              </v:rect>
              <v:rect id="_x0000_s72671" style="position:absolute;left:4189;top:3995;width:1108;height:303" stroked="f"/>
              <v:rect id="_x0000_s72672" style="position:absolute;left:4750;top:4024;width:351;height:207;mso-wrap-style:none;v-text-anchor:top" filled="f" stroked="f">
                <v:textbox style="mso-fit-shape-to-text:t" inset="0,0,0,0">
                  <w:txbxContent>
                    <w:p w:rsidR="00CB6FAE" w:rsidRDefault="00CB6FAE">
                      <w:r>
                        <w:rPr>
                          <w:rFonts w:ascii="Arial" w:hAnsi="Arial" w:cs="Arial"/>
                          <w:color w:val="000000"/>
                          <w:sz w:val="18"/>
                          <w:szCs w:val="18"/>
                        </w:rPr>
                        <w:t>.900</w:t>
                      </w:r>
                    </w:p>
                  </w:txbxContent>
                </v:textbox>
              </v:rect>
              <v:rect id="_x0000_s72673" style="position:absolute;left:5268;top:3995;width:1180;height:303" stroked="f"/>
              <v:rect id="_x0000_s72674" style="position:absolute;left:5902;top:4024;width:351;height:207;mso-wrap-style:none;v-text-anchor:top" filled="f" stroked="f">
                <v:textbox style="mso-fit-shape-to-text:t" inset="0,0,0,0">
                  <w:txbxContent>
                    <w:p w:rsidR="00CB6FAE" w:rsidRDefault="00CB6FAE">
                      <w:r>
                        <w:rPr>
                          <w:rFonts w:ascii="Arial" w:hAnsi="Arial" w:cs="Arial"/>
                          <w:color w:val="000000"/>
                          <w:sz w:val="18"/>
                          <w:szCs w:val="18"/>
                        </w:rPr>
                        <w:t>.739</w:t>
                      </w:r>
                    </w:p>
                  </w:txbxContent>
                </v:textbox>
              </v:rect>
              <v:rect id="_x0000_s72675" style="position:absolute;left:6420;top:3995;width:1108;height:303" stroked="f"/>
              <v:rect id="_x0000_s72676" style="position:absolute;left:6981;top:4024;width:351;height:207;mso-wrap-style:none;v-text-anchor:top" filled="f" stroked="f">
                <v:textbox style="mso-fit-shape-to-text:t" inset="0,0,0,0">
                  <w:txbxContent>
                    <w:p w:rsidR="00CB6FAE" w:rsidRDefault="00CB6FAE">
                      <w:r>
                        <w:rPr>
                          <w:rFonts w:ascii="Arial" w:hAnsi="Arial" w:cs="Arial"/>
                          <w:color w:val="000000"/>
                          <w:sz w:val="18"/>
                          <w:szCs w:val="18"/>
                        </w:rPr>
                        <w:t>.089</w:t>
                      </w:r>
                    </w:p>
                  </w:txbxContent>
                </v:textbox>
              </v:rect>
              <v:rect id="_x0000_s72677" style="position:absolute;left:7499;top:3995;width:1224;height:303" stroked="f"/>
              <v:rect id="_x0000_s72678" style="position:absolute;left:8435;top:4024;width:51;height:207;mso-wrap-style:none;v-text-anchor:top" filled="f" stroked="f">
                <v:textbox style="mso-fit-shape-to-text:t" inset="0,0,0,0">
                  <w:txbxContent>
                    <w:p w:rsidR="00CB6FAE" w:rsidRDefault="00CB6FAE">
                      <w:r>
                        <w:rPr>
                          <w:rFonts w:ascii="Arial" w:hAnsi="Arial" w:cs="Arial"/>
                          <w:color w:val="000000"/>
                          <w:sz w:val="18"/>
                          <w:szCs w:val="18"/>
                        </w:rPr>
                        <w:t>.</w:t>
                      </w:r>
                    </w:p>
                  </w:txbxContent>
                </v:textbox>
              </v:rect>
              <v:rect id="_x0000_s72679" style="position:absolute;left:8694;top:3995;width:1137;height:303" stroked="f"/>
              <v:rect id="_x0000_s72680" style="position:absolute;left:9284;top:4024;width:351;height:207;mso-wrap-style:none;v-text-anchor:top" filled="f" stroked="f">
                <v:textbox style="mso-fit-shape-to-text:t" inset="0,0,0,0">
                  <w:txbxContent>
                    <w:p w:rsidR="00CB6FAE" w:rsidRDefault="00CB6FAE">
                      <w:r>
                        <w:rPr>
                          <w:rFonts w:ascii="Arial" w:hAnsi="Arial" w:cs="Arial"/>
                          <w:color w:val="000000"/>
                          <w:sz w:val="18"/>
                          <w:szCs w:val="18"/>
                        </w:rPr>
                        <w:t>.002</w:t>
                      </w:r>
                    </w:p>
                  </w:txbxContent>
                </v:textbox>
              </v:rect>
              <v:rect id="_x0000_s72681" style="position:absolute;left:4189;top:4269;width:1108;height:303" stroked="f"/>
              <v:rect id="_x0000_s72682" style="position:absolute;left:4879;top:4298;width:201;height:207;mso-wrap-style:none;v-text-anchor:top" filled="f" stroked="f">
                <v:textbox style="mso-fit-shape-to-text:t" inset="0,0,0,0">
                  <w:txbxContent>
                    <w:p w:rsidR="00CB6FAE" w:rsidRDefault="00CB6FAE">
                      <w:r>
                        <w:rPr>
                          <w:rFonts w:ascii="Arial" w:hAnsi="Arial" w:cs="Arial"/>
                          <w:color w:val="000000"/>
                          <w:sz w:val="18"/>
                          <w:szCs w:val="18"/>
                        </w:rPr>
                        <w:t>72</w:t>
                      </w:r>
                    </w:p>
                  </w:txbxContent>
                </v:textbox>
              </v:rect>
              <v:rect id="_x0000_s72683" style="position:absolute;left:5268;top:4269;width:1180;height:303" stroked="f"/>
              <v:rect id="_x0000_s72684" style="position:absolute;left:6031;top:4298;width:201;height:207;mso-wrap-style:none;v-text-anchor:top" filled="f" stroked="f">
                <v:textbox style="mso-fit-shape-to-text:t" inset="0,0,0,0">
                  <w:txbxContent>
                    <w:p w:rsidR="00CB6FAE" w:rsidRDefault="00CB6FAE">
                      <w:r>
                        <w:rPr>
                          <w:rFonts w:ascii="Arial" w:hAnsi="Arial" w:cs="Arial"/>
                          <w:color w:val="000000"/>
                          <w:sz w:val="18"/>
                          <w:szCs w:val="18"/>
                        </w:rPr>
                        <w:t>89</w:t>
                      </w:r>
                    </w:p>
                  </w:txbxContent>
                </v:textbox>
              </v:rect>
              <v:rect id="_x0000_s72685" style="position:absolute;left:6420;top:4269;width:1108;height:303" stroked="f"/>
              <v:rect id="_x0000_s72686" style="position:absolute;left:7110;top:4298;width:201;height:207;mso-wrap-style:none;v-text-anchor:top" filled="f" stroked="f">
                <v:textbox style="mso-fit-shape-to-text:t" inset="0,0,0,0">
                  <w:txbxContent>
                    <w:p w:rsidR="00CB6FAE" w:rsidRDefault="00CB6FAE">
                      <w:r>
                        <w:rPr>
                          <w:rFonts w:ascii="Arial" w:hAnsi="Arial" w:cs="Arial"/>
                          <w:color w:val="000000"/>
                          <w:sz w:val="18"/>
                          <w:szCs w:val="18"/>
                        </w:rPr>
                        <w:t>89</w:t>
                      </w:r>
                    </w:p>
                  </w:txbxContent>
                </v:textbox>
              </v:rect>
              <v:rect id="_x0000_s72687" style="position:absolute;left:7499;top:4269;width:1224;height:303" stroked="f"/>
              <v:rect id="_x0000_s72688" style="position:absolute;left:8305;top:4298;width:201;height:207;mso-wrap-style:none;v-text-anchor:top" filled="f" stroked="f">
                <v:textbox style="mso-fit-shape-to-text:t" inset="0,0,0,0">
                  <w:txbxContent>
                    <w:p w:rsidR="00CB6FAE" w:rsidRDefault="00CB6FAE">
                      <w:r>
                        <w:rPr>
                          <w:rFonts w:ascii="Arial" w:hAnsi="Arial" w:cs="Arial"/>
                          <w:color w:val="000000"/>
                          <w:sz w:val="18"/>
                          <w:szCs w:val="18"/>
                        </w:rPr>
                        <w:t>89</w:t>
                      </w:r>
                    </w:p>
                  </w:txbxContent>
                </v:textbox>
              </v:rect>
              <v:rect id="_x0000_s72689" style="position:absolute;left:8694;top:4269;width:1137;height:303" stroked="f"/>
              <v:rect id="_x0000_s72690" style="position:absolute;left:9413;top:4298;width:201;height:207;mso-wrap-style:none;v-text-anchor:top" filled="f" stroked="f">
                <v:textbox style="mso-fit-shape-to-text:t" inset="0,0,0,0">
                  <w:txbxContent>
                    <w:p w:rsidR="00CB6FAE" w:rsidRDefault="00CB6FAE">
                      <w:r>
                        <w:rPr>
                          <w:rFonts w:ascii="Arial" w:hAnsi="Arial" w:cs="Arial"/>
                          <w:color w:val="000000"/>
                          <w:sz w:val="18"/>
                          <w:szCs w:val="18"/>
                        </w:rPr>
                        <w:t>86</w:t>
                      </w:r>
                    </w:p>
                  </w:txbxContent>
                </v:textbox>
              </v:rect>
              <v:rect id="_x0000_s72691" style="position:absolute;left:4189;top:4543;width:1108;height:303" stroked="f"/>
              <v:rect id="_x0000_s72692" style="position:absolute;left:4692;top:4572;width:411;height:207;mso-wrap-style:none;v-text-anchor:top" filled="f" stroked="f">
                <v:textbox style="mso-fit-shape-to-text:t" inset="0,0,0,0">
                  <w:txbxContent>
                    <w:p w:rsidR="00CB6FAE" w:rsidRDefault="00CB6FAE">
                      <w:r>
                        <w:rPr>
                          <w:rFonts w:ascii="Arial" w:hAnsi="Arial" w:cs="Arial"/>
                          <w:color w:val="000000"/>
                          <w:sz w:val="18"/>
                          <w:szCs w:val="18"/>
                        </w:rPr>
                        <w:t>-.233</w:t>
                      </w:r>
                    </w:p>
                  </w:txbxContent>
                </v:textbox>
              </v:rect>
              <v:rect id="_x0000_s72693" style="position:absolute;left:5268;top:4543;width:1180;height:303" stroked="f"/>
              <v:rect id="_x0000_s72694" style="position:absolute;left:5902;top:4572;width:351;height:207;mso-wrap-style:none;v-text-anchor:top" filled="f" stroked="f">
                <v:textbox style="mso-fit-shape-to-text:t" inset="0,0,0,0">
                  <w:txbxContent>
                    <w:p w:rsidR="00CB6FAE" w:rsidRDefault="00CB6FAE">
                      <w:r>
                        <w:rPr>
                          <w:rFonts w:ascii="Arial" w:hAnsi="Arial" w:cs="Arial"/>
                          <w:color w:val="000000"/>
                          <w:sz w:val="18"/>
                          <w:szCs w:val="18"/>
                        </w:rPr>
                        <w:t>.088</w:t>
                      </w:r>
                    </w:p>
                  </w:txbxContent>
                </v:textbox>
              </v:rect>
              <v:rect id="_x0000_s72695" style="position:absolute;left:6420;top:4543;width:1108;height:303" stroked="f"/>
              <v:rect id="_x0000_s72696" style="position:absolute;left:6923;top:4572;width:411;height:207;mso-wrap-style:none;v-text-anchor:top" filled="f" stroked="f">
                <v:textbox style="mso-fit-shape-to-text:t" inset="0,0,0,0">
                  <w:txbxContent>
                    <w:p w:rsidR="00CB6FAE" w:rsidRDefault="00CB6FAE">
                      <w:r>
                        <w:rPr>
                          <w:rFonts w:ascii="Arial" w:hAnsi="Arial" w:cs="Arial"/>
                          <w:color w:val="000000"/>
                          <w:sz w:val="18"/>
                          <w:szCs w:val="18"/>
                        </w:rPr>
                        <w:t>-.063</w:t>
                      </w:r>
                    </w:p>
                  </w:txbxContent>
                </v:textbox>
              </v:rect>
              <v:rect id="_x0000_s72697" style="position:absolute;left:7499;top:4543;width:1224;height:303" stroked="f"/>
              <v:rect id="_x0000_s72698" style="position:absolute;left:8176;top:4572;width:351;height:207;mso-wrap-style:none;v-text-anchor:top" filled="f" stroked="f">
                <v:textbox style="mso-fit-shape-to-text:t" inset="0,0,0,0">
                  <w:txbxContent>
                    <w:p w:rsidR="00CB6FAE" w:rsidRDefault="00CB6FAE">
                      <w:r>
                        <w:rPr>
                          <w:rFonts w:ascii="Arial" w:hAnsi="Arial" w:cs="Arial"/>
                          <w:color w:val="000000"/>
                          <w:sz w:val="18"/>
                          <w:szCs w:val="18"/>
                        </w:rPr>
                        <w:t>.324</w:t>
                      </w:r>
                    </w:p>
                  </w:txbxContent>
                </v:textbox>
              </v:rect>
              <v:rect id="_x0000_s72699" style="position:absolute;left:8550;top:4572;width:141;height:207;mso-wrap-style:none;v-text-anchor:top" filled="f" stroked="f">
                <v:textbox style="mso-fit-shape-to-text:t" inset="0,0,0,0">
                  <w:txbxContent>
                    <w:p w:rsidR="00CB6FAE" w:rsidRDefault="00CB6FAE">
                      <w:r>
                        <w:rPr>
                          <w:rFonts w:ascii="Arial" w:hAnsi="Arial" w:cs="Arial"/>
                          <w:color w:val="000000"/>
                          <w:sz w:val="18"/>
                          <w:szCs w:val="18"/>
                        </w:rPr>
                        <w:t>**</w:t>
                      </w:r>
                    </w:p>
                  </w:txbxContent>
                </v:textbox>
              </v:rect>
              <v:rect id="_x0000_s72700" style="position:absolute;left:8694;top:4543;width:1137;height:303" stroked="f"/>
              <v:rect id="_x0000_s72701" style="position:absolute;left:9197;top:4572;width:451;height:207;mso-wrap-style:none;v-text-anchor:top" filled="f" stroked="f">
                <v:textbox style="mso-fit-shape-to-text:t" inset="0,0,0,0">
                  <w:txbxContent>
                    <w:p w:rsidR="00CB6FAE" w:rsidRDefault="00CB6FAE">
                      <w:r>
                        <w:rPr>
                          <w:rFonts w:ascii="Arial" w:hAnsi="Arial" w:cs="Arial"/>
                          <w:color w:val="000000"/>
                          <w:sz w:val="18"/>
                          <w:szCs w:val="18"/>
                        </w:rPr>
                        <w:t>1.000</w:t>
                      </w:r>
                    </w:p>
                  </w:txbxContent>
                </v:textbox>
              </v:rect>
              <v:rect id="_x0000_s72702" style="position:absolute;left:4189;top:4817;width:1108;height:303" stroked="f"/>
              <v:rect id="_x0000_s72703" style="position:absolute;left:4750;top:4846;width:351;height:207;mso-wrap-style:none;v-text-anchor:top" filled="f" stroked="f">
                <v:textbox style="mso-fit-shape-to-text:t" inset="0,0,0,0">
                  <w:txbxContent>
                    <w:p w:rsidR="00CB6FAE" w:rsidRDefault="00CB6FAE">
                      <w:r>
                        <w:rPr>
                          <w:rFonts w:ascii="Arial" w:hAnsi="Arial" w:cs="Arial"/>
                          <w:color w:val="000000"/>
                          <w:sz w:val="18"/>
                          <w:szCs w:val="18"/>
                        </w:rPr>
                        <w:t>.050</w:t>
                      </w:r>
                    </w:p>
                  </w:txbxContent>
                </v:textbox>
              </v:rect>
              <v:rect id="_x0000_s72704" style="position:absolute;left:5268;top:4817;width:1180;height:303" stroked="f"/>
              <v:rect id="_x0000_s72705" style="position:absolute;left:5902;top:4846;width:351;height:207;mso-wrap-style:none;v-text-anchor:top" filled="f" stroked="f">
                <v:textbox style="mso-fit-shape-to-text:t" inset="0,0,0,0">
                  <w:txbxContent>
                    <w:p w:rsidR="00CB6FAE" w:rsidRDefault="00CB6FAE">
                      <w:r>
                        <w:rPr>
                          <w:rFonts w:ascii="Arial" w:hAnsi="Arial" w:cs="Arial"/>
                          <w:color w:val="000000"/>
                          <w:sz w:val="18"/>
                          <w:szCs w:val="18"/>
                        </w:rPr>
                        <w:t>.418</w:t>
                      </w:r>
                    </w:p>
                  </w:txbxContent>
                </v:textbox>
              </v:rect>
              <v:rect id="_x0000_s72706" style="position:absolute;left:6420;top:4817;width:1108;height:303" stroked="f"/>
              <v:rect id="_x0000_s72707" style="position:absolute;left:6981;top:4846;width:351;height:207;mso-wrap-style:none;v-text-anchor:top" filled="f" stroked="f">
                <v:textbox style="mso-fit-shape-to-text:t" inset="0,0,0,0">
                  <w:txbxContent>
                    <w:p w:rsidR="00CB6FAE" w:rsidRDefault="00CB6FAE">
                      <w:r>
                        <w:rPr>
                          <w:rFonts w:ascii="Arial" w:hAnsi="Arial" w:cs="Arial"/>
                          <w:color w:val="000000"/>
                          <w:sz w:val="18"/>
                          <w:szCs w:val="18"/>
                        </w:rPr>
                        <w:t>.560</w:t>
                      </w:r>
                    </w:p>
                  </w:txbxContent>
                </v:textbox>
              </v:rect>
              <v:rect id="_x0000_s72708" style="position:absolute;left:7499;top:4817;width:1224;height:303" stroked="f"/>
              <v:rect id="_x0000_s72709" style="position:absolute;left:8176;top:4846;width:351;height:207;mso-wrap-style:none;v-text-anchor:top" filled="f" stroked="f">
                <v:textbox style="mso-fit-shape-to-text:t" inset="0,0,0,0">
                  <w:txbxContent>
                    <w:p w:rsidR="00CB6FAE" w:rsidRDefault="00CB6FAE">
                      <w:r>
                        <w:rPr>
                          <w:rFonts w:ascii="Arial" w:hAnsi="Arial" w:cs="Arial"/>
                          <w:color w:val="000000"/>
                          <w:sz w:val="18"/>
                          <w:szCs w:val="18"/>
                        </w:rPr>
                        <w:t>.002</w:t>
                      </w:r>
                    </w:p>
                  </w:txbxContent>
                </v:textbox>
              </v:rect>
              <v:rect id="_x0000_s72710" style="position:absolute;left:8694;top:4817;width:1137;height:303" stroked="f"/>
              <v:rect id="_x0000_s72711" style="position:absolute;left:9543;top:4846;width:51;height:207;mso-wrap-style:none;v-text-anchor:top" filled="f" stroked="f">
                <v:textbox style="mso-fit-shape-to-text:t" inset="0,0,0,0">
                  <w:txbxContent>
                    <w:p w:rsidR="00CB6FAE" w:rsidRDefault="00CB6FAE">
                      <w:r>
                        <w:rPr>
                          <w:rFonts w:ascii="Arial" w:hAnsi="Arial" w:cs="Arial"/>
                          <w:color w:val="000000"/>
                          <w:sz w:val="18"/>
                          <w:szCs w:val="18"/>
                        </w:rPr>
                        <w:t>.</w:t>
                      </w:r>
                    </w:p>
                  </w:txbxContent>
                </v:textbox>
              </v:rect>
              <v:rect id="_x0000_s72712" style="position:absolute;left:4189;top:5091;width:1108;height:303" stroked="f"/>
              <v:rect id="_x0000_s72713" style="position:absolute;left:4879;top:5120;width:201;height:207;mso-wrap-style:none;v-text-anchor:top" filled="f" stroked="f">
                <v:textbox style="mso-fit-shape-to-text:t" inset="0,0,0,0">
                  <w:txbxContent>
                    <w:p w:rsidR="00CB6FAE" w:rsidRDefault="00CB6FAE">
                      <w:r>
                        <w:rPr>
                          <w:rFonts w:ascii="Arial" w:hAnsi="Arial" w:cs="Arial"/>
                          <w:color w:val="000000"/>
                          <w:sz w:val="18"/>
                          <w:szCs w:val="18"/>
                        </w:rPr>
                        <w:t>71</w:t>
                      </w:r>
                    </w:p>
                  </w:txbxContent>
                </v:textbox>
              </v:rect>
              <v:rect id="_x0000_s72714" style="position:absolute;left:5268;top:5091;width:1180;height:303" stroked="f"/>
              <v:rect id="_x0000_s72715" style="position:absolute;left:6031;top:5120;width:201;height:207;mso-wrap-style:none;v-text-anchor:top" filled="f" stroked="f">
                <v:textbox style="mso-fit-shape-to-text:t" inset="0,0,0,0">
                  <w:txbxContent>
                    <w:p w:rsidR="00CB6FAE" w:rsidRDefault="00CB6FAE">
                      <w:r>
                        <w:rPr>
                          <w:rFonts w:ascii="Arial" w:hAnsi="Arial" w:cs="Arial"/>
                          <w:color w:val="000000"/>
                          <w:sz w:val="18"/>
                          <w:szCs w:val="18"/>
                        </w:rPr>
                        <w:t>87</w:t>
                      </w:r>
                    </w:p>
                  </w:txbxContent>
                </v:textbox>
              </v:rect>
              <v:rect id="_x0000_s72716" style="position:absolute;left:6420;top:5091;width:1108;height:303" stroked="f"/>
              <v:rect id="_x0000_s72717" style="position:absolute;left:7110;top:5120;width:201;height:207;mso-wrap-style:none;v-text-anchor:top" filled="f" stroked="f">
                <v:textbox style="mso-fit-shape-to-text:t" inset="0,0,0,0">
                  <w:txbxContent>
                    <w:p w:rsidR="00CB6FAE" w:rsidRDefault="00CB6FAE">
                      <w:r>
                        <w:rPr>
                          <w:rFonts w:ascii="Arial" w:hAnsi="Arial" w:cs="Arial"/>
                          <w:color w:val="000000"/>
                          <w:sz w:val="18"/>
                          <w:szCs w:val="18"/>
                        </w:rPr>
                        <w:t>87</w:t>
                      </w:r>
                    </w:p>
                  </w:txbxContent>
                </v:textbox>
              </v:rect>
              <v:rect id="_x0000_s72718" style="position:absolute;left:7499;top:5091;width:1224;height:303" stroked="f"/>
              <v:rect id="_x0000_s72719" style="position:absolute;left:8305;top:5120;width:201;height:207;mso-wrap-style:none;v-text-anchor:top" filled="f" stroked="f">
                <v:textbox style="mso-fit-shape-to-text:t" inset="0,0,0,0">
                  <w:txbxContent>
                    <w:p w:rsidR="00CB6FAE" w:rsidRDefault="00CB6FAE">
                      <w:r>
                        <w:rPr>
                          <w:rFonts w:ascii="Arial" w:hAnsi="Arial" w:cs="Arial"/>
                          <w:color w:val="000000"/>
                          <w:sz w:val="18"/>
                          <w:szCs w:val="18"/>
                        </w:rPr>
                        <w:t>86</w:t>
                      </w:r>
                    </w:p>
                  </w:txbxContent>
                </v:textbox>
              </v:rect>
              <v:rect id="_x0000_s72720" style="position:absolute;left:8694;top:5091;width:1137;height:303" stroked="f"/>
              <v:rect id="_x0000_s72721" style="position:absolute;left:9413;top:5120;width:201;height:207;mso-wrap-style:none;v-text-anchor:top" filled="f" stroked="f">
                <v:textbox style="mso-fit-shape-to-text:t" inset="0,0,0,0">
                  <w:txbxContent>
                    <w:p w:rsidR="00CB6FAE" w:rsidRDefault="00CB6FAE">
                      <w:r>
                        <w:rPr>
                          <w:rFonts w:ascii="Arial" w:hAnsi="Arial" w:cs="Arial"/>
                          <w:color w:val="000000"/>
                          <w:sz w:val="18"/>
                          <w:szCs w:val="18"/>
                        </w:rPr>
                        <w:t>87</w:t>
                      </w:r>
                    </w:p>
                  </w:txbxContent>
                </v:textbox>
              </v:rect>
              <v:rect id="_x0000_s72722" style="position:absolute;left:2245;top:519;width:1972;height:765" stroked="f"/>
              <v:rect id="_x0000_s72723" style="position:absolute;left:2245;top:1255;width:1972;height:303" stroked="f"/>
              <v:rect id="_x0000_s72724" style="position:absolute;left:2361;top:1269;width:1601;height:207;mso-wrap-style:none;v-text-anchor:top" filled="f" stroked="f">
                <v:textbox style="mso-fit-shape-to-text:t" inset="0,0,0,0">
                  <w:txbxContent>
                    <w:p w:rsidR="00CB6FAE" w:rsidRDefault="00CB6FAE">
                      <w:r>
                        <w:rPr>
                          <w:rFonts w:ascii="Arial" w:hAnsi="Arial" w:cs="Arial"/>
                          <w:color w:val="000000"/>
                          <w:sz w:val="18"/>
                          <w:szCs w:val="18"/>
                        </w:rPr>
                        <w:t>Pearson Correlation</w:t>
                      </w:r>
                    </w:p>
                  </w:txbxContent>
                </v:textbox>
              </v:rect>
              <v:rect id="_x0000_s72725" style="position:absolute;left:2245;top:1529;width:1972;height:303" stroked="f"/>
              <v:rect id="_x0000_s72726" style="position:absolute;left:2361;top:1543;width:1071;height:207;mso-wrap-style:none;v-text-anchor:top" filled="f" stroked="f">
                <v:textbox style="mso-fit-shape-to-text:t" inset="0,0,0,0">
                  <w:txbxContent>
                    <w:p w:rsidR="00CB6FAE" w:rsidRDefault="00CB6FAE">
                      <w:r>
                        <w:rPr>
                          <w:rFonts w:ascii="Arial" w:hAnsi="Arial" w:cs="Arial"/>
                          <w:color w:val="000000"/>
                          <w:sz w:val="18"/>
                          <w:szCs w:val="18"/>
                        </w:rPr>
                        <w:t>Sig. (2-tailed)</w:t>
                      </w:r>
                    </w:p>
                  </w:txbxContent>
                </v:textbox>
              </v:rect>
              <v:rect id="_x0000_s72727" style="position:absolute;left:2245;top:1803;width:1972;height:303" stroked="f"/>
              <v:rect id="_x0000_s72728" style="position:absolute;left:2361;top:1817;width:130;height:207;mso-wrap-style:none;v-text-anchor:top" filled="f" stroked="f">
                <v:textbox style="mso-fit-shape-to-text:t" inset="0,0,0,0">
                  <w:txbxContent>
                    <w:p w:rsidR="00CB6FAE" w:rsidRDefault="00CB6FAE">
                      <w:r>
                        <w:rPr>
                          <w:rFonts w:ascii="Arial" w:hAnsi="Arial" w:cs="Arial"/>
                          <w:color w:val="000000"/>
                          <w:sz w:val="18"/>
                          <w:szCs w:val="18"/>
                        </w:rPr>
                        <w:t>N</w:t>
                      </w:r>
                    </w:p>
                  </w:txbxContent>
                </v:textbox>
              </v:rect>
              <v:rect id="_x0000_s72729" style="position:absolute;left:2245;top:2077;width:1972;height:303" stroked="f"/>
              <v:rect id="_x0000_s72730" style="position:absolute;left:2361;top:2091;width:1601;height:207;mso-wrap-style:none;v-text-anchor:top" filled="f" stroked="f">
                <v:textbox style="mso-fit-shape-to-text:t" inset="0,0,0,0">
                  <w:txbxContent>
                    <w:p w:rsidR="00CB6FAE" w:rsidRDefault="00CB6FAE">
                      <w:r>
                        <w:rPr>
                          <w:rFonts w:ascii="Arial" w:hAnsi="Arial" w:cs="Arial"/>
                          <w:color w:val="000000"/>
                          <w:sz w:val="18"/>
                          <w:szCs w:val="18"/>
                        </w:rPr>
                        <w:t>Pearson Correlation</w:t>
                      </w:r>
                    </w:p>
                  </w:txbxContent>
                </v:textbox>
              </v:rect>
              <v:rect id="_x0000_s72731" style="position:absolute;left:2245;top:2351;width:1972;height:303" stroked="f"/>
              <v:rect id="_x0000_s72732" style="position:absolute;left:2361;top:2365;width:1071;height:207;mso-wrap-style:none;v-text-anchor:top" filled="f" stroked="f">
                <v:textbox style="mso-fit-shape-to-text:t" inset="0,0,0,0">
                  <w:txbxContent>
                    <w:p w:rsidR="00CB6FAE" w:rsidRDefault="00CB6FAE">
                      <w:r>
                        <w:rPr>
                          <w:rFonts w:ascii="Arial" w:hAnsi="Arial" w:cs="Arial"/>
                          <w:color w:val="000000"/>
                          <w:sz w:val="18"/>
                          <w:szCs w:val="18"/>
                        </w:rPr>
                        <w:t>Sig. (2-tailed)</w:t>
                      </w:r>
                    </w:p>
                  </w:txbxContent>
                </v:textbox>
              </v:rect>
              <v:rect id="_x0000_s72733" style="position:absolute;left:2245;top:2625;width:1972;height:303" stroked="f"/>
              <v:rect id="_x0000_s72734" style="position:absolute;left:2361;top:2639;width:130;height:207;mso-wrap-style:none;v-text-anchor:top" filled="f" stroked="f">
                <v:textbox style="mso-fit-shape-to-text:t" inset="0,0,0,0">
                  <w:txbxContent>
                    <w:p w:rsidR="00CB6FAE" w:rsidRDefault="00CB6FAE">
                      <w:r>
                        <w:rPr>
                          <w:rFonts w:ascii="Arial" w:hAnsi="Arial" w:cs="Arial"/>
                          <w:color w:val="000000"/>
                          <w:sz w:val="18"/>
                          <w:szCs w:val="18"/>
                        </w:rPr>
                        <w:t>N</w:t>
                      </w:r>
                    </w:p>
                  </w:txbxContent>
                </v:textbox>
              </v:rect>
              <v:rect id="_x0000_s72735" style="position:absolute;left:2245;top:2899;width:1972;height:303" stroked="f"/>
              <v:rect id="_x0000_s72736" style="position:absolute;left:2361;top:2914;width:1601;height:207;mso-wrap-style:none;v-text-anchor:top" filled="f" stroked="f">
                <v:textbox style="mso-fit-shape-to-text:t" inset="0,0,0,0">
                  <w:txbxContent>
                    <w:p w:rsidR="00CB6FAE" w:rsidRDefault="00CB6FAE">
                      <w:r>
                        <w:rPr>
                          <w:rFonts w:ascii="Arial" w:hAnsi="Arial" w:cs="Arial"/>
                          <w:color w:val="000000"/>
                          <w:sz w:val="18"/>
                          <w:szCs w:val="18"/>
                        </w:rPr>
                        <w:t>Pearson Correlation</w:t>
                      </w:r>
                    </w:p>
                  </w:txbxContent>
                </v:textbox>
              </v:rect>
              <v:rect id="_x0000_s72737" style="position:absolute;left:2245;top:3173;width:1972;height:303" stroked="f"/>
              <v:rect id="_x0000_s72738" style="position:absolute;left:2361;top:3188;width:1071;height:207;mso-wrap-style:none;v-text-anchor:top" filled="f" stroked="f">
                <v:textbox style="mso-fit-shape-to-text:t" inset="0,0,0,0">
                  <w:txbxContent>
                    <w:p w:rsidR="00CB6FAE" w:rsidRDefault="00CB6FAE">
                      <w:r>
                        <w:rPr>
                          <w:rFonts w:ascii="Arial" w:hAnsi="Arial" w:cs="Arial"/>
                          <w:color w:val="000000"/>
                          <w:sz w:val="18"/>
                          <w:szCs w:val="18"/>
                        </w:rPr>
                        <w:t>Sig. (2-tailed)</w:t>
                      </w:r>
                    </w:p>
                  </w:txbxContent>
                </v:textbox>
              </v:rect>
              <v:rect id="_x0000_s72739" style="position:absolute;left:2245;top:3447;width:1972;height:303" stroked="f"/>
              <v:rect id="_x0000_s72740" style="position:absolute;left:2361;top:3462;width:130;height:207;mso-wrap-style:none;v-text-anchor:top" filled="f" stroked="f">
                <v:textbox style="mso-fit-shape-to-text:t" inset="0,0,0,0">
                  <w:txbxContent>
                    <w:p w:rsidR="00CB6FAE" w:rsidRDefault="00CB6FAE">
                      <w:r>
                        <w:rPr>
                          <w:rFonts w:ascii="Arial" w:hAnsi="Arial" w:cs="Arial"/>
                          <w:color w:val="000000"/>
                          <w:sz w:val="18"/>
                          <w:szCs w:val="18"/>
                        </w:rPr>
                        <w:t>N</w:t>
                      </w:r>
                    </w:p>
                  </w:txbxContent>
                </v:textbox>
              </v:rect>
              <v:rect id="_x0000_s72741" style="position:absolute;left:2245;top:3721;width:1972;height:303" stroked="f"/>
              <v:rect id="_x0000_s72742" style="position:absolute;left:2361;top:3736;width:1601;height:207;mso-wrap-style:none;v-text-anchor:top" filled="f" stroked="f">
                <v:textbox style="mso-fit-shape-to-text:t" inset="0,0,0,0">
                  <w:txbxContent>
                    <w:p w:rsidR="00CB6FAE" w:rsidRDefault="00CB6FAE">
                      <w:r>
                        <w:rPr>
                          <w:rFonts w:ascii="Arial" w:hAnsi="Arial" w:cs="Arial"/>
                          <w:color w:val="000000"/>
                          <w:sz w:val="18"/>
                          <w:szCs w:val="18"/>
                        </w:rPr>
                        <w:t>Pearson Correlation</w:t>
                      </w:r>
                    </w:p>
                  </w:txbxContent>
                </v:textbox>
              </v:rect>
              <v:rect id="_x0000_s72743" style="position:absolute;left:2245;top:3995;width:1972;height:303" stroked="f"/>
              <v:rect id="_x0000_s72744" style="position:absolute;left:2361;top:4010;width:1071;height:207;mso-wrap-style:none;v-text-anchor:top" filled="f" stroked="f">
                <v:textbox style="mso-fit-shape-to-text:t" inset="0,0,0,0">
                  <w:txbxContent>
                    <w:p w:rsidR="00CB6FAE" w:rsidRDefault="00CB6FAE">
                      <w:r>
                        <w:rPr>
                          <w:rFonts w:ascii="Arial" w:hAnsi="Arial" w:cs="Arial"/>
                          <w:color w:val="000000"/>
                          <w:sz w:val="18"/>
                          <w:szCs w:val="18"/>
                        </w:rPr>
                        <w:t>Sig. (2-tailed)</w:t>
                      </w:r>
                    </w:p>
                  </w:txbxContent>
                </v:textbox>
              </v:rect>
              <v:rect id="_x0000_s72745" style="position:absolute;left:2245;top:4269;width:1972;height:303" stroked="f"/>
              <v:rect id="_x0000_s72746" style="position:absolute;left:2361;top:4284;width:130;height:207;mso-wrap-style:none;v-text-anchor:top" filled="f" stroked="f">
                <v:textbox style="mso-fit-shape-to-text:t" inset="0,0,0,0">
                  <w:txbxContent>
                    <w:p w:rsidR="00CB6FAE" w:rsidRDefault="00CB6FAE">
                      <w:r>
                        <w:rPr>
                          <w:rFonts w:ascii="Arial" w:hAnsi="Arial" w:cs="Arial"/>
                          <w:color w:val="000000"/>
                          <w:sz w:val="18"/>
                          <w:szCs w:val="18"/>
                        </w:rPr>
                        <w:t>N</w:t>
                      </w:r>
                    </w:p>
                  </w:txbxContent>
                </v:textbox>
              </v:rect>
              <v:rect id="_x0000_s72747" style="position:absolute;left:2245;top:4543;width:1972;height:303" stroked="f"/>
              <v:rect id="_x0000_s72748" style="position:absolute;left:2361;top:4558;width:1601;height:207;mso-wrap-style:none;v-text-anchor:top" filled="f" stroked="f">
                <v:textbox style="mso-fit-shape-to-text:t" inset="0,0,0,0">
                  <w:txbxContent>
                    <w:p w:rsidR="00CB6FAE" w:rsidRDefault="00CB6FAE">
                      <w:r>
                        <w:rPr>
                          <w:rFonts w:ascii="Arial" w:hAnsi="Arial" w:cs="Arial"/>
                          <w:color w:val="000000"/>
                          <w:sz w:val="18"/>
                          <w:szCs w:val="18"/>
                        </w:rPr>
                        <w:t>Pearson Correlation</w:t>
                      </w:r>
                    </w:p>
                  </w:txbxContent>
                </v:textbox>
              </v:rect>
              <v:rect id="_x0000_s72749" style="position:absolute;left:2245;top:4817;width:1972;height:303" stroked="f"/>
              <v:rect id="_x0000_s72750" style="position:absolute;left:2361;top:4832;width:1071;height:207;mso-wrap-style:none;v-text-anchor:top" filled="f" stroked="f">
                <v:textbox style="mso-fit-shape-to-text:t" inset="0,0,0,0">
                  <w:txbxContent>
                    <w:p w:rsidR="00CB6FAE" w:rsidRDefault="00CB6FAE">
                      <w:r>
                        <w:rPr>
                          <w:rFonts w:ascii="Arial" w:hAnsi="Arial" w:cs="Arial"/>
                          <w:color w:val="000000"/>
                          <w:sz w:val="18"/>
                          <w:szCs w:val="18"/>
                        </w:rPr>
                        <w:t>Sig. (2-tailed)</w:t>
                      </w:r>
                    </w:p>
                  </w:txbxContent>
                </v:textbox>
              </v:rect>
              <v:rect id="_x0000_s72751" style="position:absolute;left:2245;top:5091;width:1972;height:303" stroked="f"/>
              <v:rect id="_x0000_s72752" style="position:absolute;left:2361;top:5106;width:130;height:207;mso-wrap-style:none;v-text-anchor:top" filled="f" stroked="f">
                <v:textbox style="mso-fit-shape-to-text:t" inset="0,0,0,0">
                  <w:txbxContent>
                    <w:p w:rsidR="00CB6FAE" w:rsidRDefault="00CB6FAE">
                      <w:r>
                        <w:rPr>
                          <w:rFonts w:ascii="Arial" w:hAnsi="Arial" w:cs="Arial"/>
                          <w:color w:val="000000"/>
                          <w:sz w:val="18"/>
                          <w:szCs w:val="18"/>
                        </w:rPr>
                        <w:t>N</w:t>
                      </w:r>
                    </w:p>
                  </w:txbxContent>
                </v:textbox>
              </v:rect>
              <v:rect id="_x0000_s72753" style="position:absolute;left:144;top:519;width:2130;height:765" stroked="f"/>
              <v:rect id="_x0000_s72754" style="position:absolute;left:144;top:1255;width:2130;height:851" stroked="f"/>
              <v:rect id="_x0000_s72755" style="position:absolute;left:259;top:1269;width:1821;height:207;mso-wrap-style:none;v-text-anchor:top" filled="f" stroked="f">
                <v:textbox style="mso-fit-shape-to-text:t" inset="0,0,0,0">
                  <w:txbxContent>
                    <w:p w:rsidR="00CB6FAE" w:rsidRDefault="00CB6FAE">
                      <w:r>
                        <w:rPr>
                          <w:rFonts w:ascii="Arial" w:hAnsi="Arial" w:cs="Arial"/>
                          <w:color w:val="000000"/>
                          <w:sz w:val="18"/>
                          <w:szCs w:val="18"/>
                        </w:rPr>
                        <w:t>Factor variable for size</w:t>
                      </w:r>
                    </w:p>
                  </w:txbxContent>
                </v:textbox>
              </v:rect>
              <v:rect id="_x0000_s72756" style="position:absolute;left:144;top:2077;width:2130;height:851" stroked="f"/>
              <v:rect id="_x0000_s72757" style="position:absolute;left:259;top:2091;width:881;height:207;mso-wrap-style:none;v-text-anchor:top" filled="f" stroked="f">
                <v:textbox style="mso-fit-shape-to-text:t" inset="0,0,0,0">
                  <w:txbxContent>
                    <w:p w:rsidR="00CB6FAE" w:rsidRDefault="00CB6FAE">
                      <w:r>
                        <w:rPr>
                          <w:rFonts w:ascii="Arial" w:hAnsi="Arial" w:cs="Arial"/>
                          <w:color w:val="000000"/>
                          <w:sz w:val="18"/>
                          <w:szCs w:val="18"/>
                        </w:rPr>
                        <w:t>Profitability</w:t>
                      </w:r>
                    </w:p>
                  </w:txbxContent>
                </v:textbox>
              </v:rect>
              <v:rect id="_x0000_s72758" style="position:absolute;left:144;top:2899;width:2130;height:851" stroked="f"/>
              <v:rect id="_x0000_s72759" style="position:absolute;left:259;top:2914;width:751;height:207;mso-wrap-style:none;v-text-anchor:top" filled="f" stroked="f">
                <v:textbox style="mso-fit-shape-to-text:t" inset="0,0,0,0">
                  <w:txbxContent>
                    <w:p w:rsidR="00CB6FAE" w:rsidRDefault="00CB6FAE">
                      <w:r>
                        <w:rPr>
                          <w:rFonts w:ascii="Arial" w:hAnsi="Arial" w:cs="Arial"/>
                          <w:color w:val="000000"/>
                          <w:sz w:val="18"/>
                          <w:szCs w:val="18"/>
                        </w:rPr>
                        <w:t>Leverage</w:t>
                      </w:r>
                    </w:p>
                  </w:txbxContent>
                </v:textbox>
              </v:rect>
              <v:rect id="_x0000_s72760" style="position:absolute;left:144;top:3721;width:2130;height:851" stroked="f"/>
              <v:rect id="_x0000_s72761" style="position:absolute;left:259;top:3736;width:871;height:207;mso-wrap-style:none;v-text-anchor:top" filled="f" stroked="f">
                <v:textbox style="mso-fit-shape-to-text:t" inset="0,0,0,0">
                  <w:txbxContent>
                    <w:p w:rsidR="00CB6FAE" w:rsidRDefault="00CB6FAE">
                      <w:r>
                        <w:rPr>
                          <w:rFonts w:ascii="Arial" w:hAnsi="Arial" w:cs="Arial"/>
                          <w:color w:val="000000"/>
                          <w:sz w:val="18"/>
                          <w:szCs w:val="18"/>
                        </w:rPr>
                        <w:t>Listing age</w:t>
                      </w:r>
                    </w:p>
                  </w:txbxContent>
                </v:textbox>
              </v:rect>
              <v:rect id="_x0000_s72762" style="position:absolute;left:144;top:4543;width:2130;height:851" stroked="f"/>
              <v:rect id="_x0000_s72763" style="position:absolute;left:259;top:4558;width:1591;height:207;mso-wrap-style:none;v-text-anchor:top" filled="f" stroked="f">
                <v:textbox style="mso-fit-shape-to-text:t" inset="0,0,0,0">
                  <w:txbxContent>
                    <w:p w:rsidR="00CB6FAE" w:rsidRDefault="00CB6FAE">
                      <w:r>
                        <w:rPr>
                          <w:rFonts w:ascii="Arial" w:hAnsi="Arial" w:cs="Arial"/>
                          <w:color w:val="000000"/>
                          <w:sz w:val="18"/>
                          <w:szCs w:val="18"/>
                        </w:rPr>
                        <w:t>Multinational Parent</w:t>
                      </w:r>
                    </w:p>
                  </w:txbxContent>
                </v:textbox>
              </v:rect>
              <v:rect id="_x0000_s72764" style="position:absolute;left:4189;top:519;width:1108;height:765" stroked="f"/>
              <v:rect id="_x0000_s72765" style="position:absolute;left:4448;top:562;width:511;height:207;mso-wrap-style:none;v-text-anchor:top" filled="f" stroked="f">
                <v:textbox style="mso-fit-shape-to-text:t" inset="0,0,0,0">
                  <w:txbxContent>
                    <w:p w:rsidR="00CB6FAE" w:rsidRDefault="00CB6FAE">
                      <w:r>
                        <w:rPr>
                          <w:rFonts w:ascii="Arial" w:hAnsi="Arial" w:cs="Arial"/>
                          <w:color w:val="000000"/>
                          <w:sz w:val="18"/>
                          <w:szCs w:val="18"/>
                        </w:rPr>
                        <w:t>Factor</w:t>
                      </w:r>
                    </w:p>
                  </w:txbxContent>
                </v:textbox>
              </v:rect>
            </v:group>
            <v:rect id="_x0000_s72767" style="position:absolute;left:4398;top:793;width:631;height:207;mso-wrap-style:none;v-text-anchor:top" filled="f" stroked="f">
              <v:textbox style="mso-fit-shape-to-text:t" inset="0,0,0,0">
                <w:txbxContent>
                  <w:p w:rsidR="00CB6FAE" w:rsidRDefault="00CB6FAE">
                    <w:r>
                      <w:rPr>
                        <w:rFonts w:ascii="Arial" w:hAnsi="Arial" w:cs="Arial"/>
                        <w:color w:val="000000"/>
                        <w:sz w:val="18"/>
                        <w:szCs w:val="18"/>
                      </w:rPr>
                      <w:t>variable</w:t>
                    </w:r>
                  </w:p>
                </w:txbxContent>
              </v:textbox>
            </v:rect>
            <v:rect id="_x0000_s72768" style="position:absolute;left:4405;top:1024;width:581;height:207;mso-wrap-style:none;v-text-anchor:top" filled="f" stroked="f">
              <v:textbox style="mso-fit-shape-to-text:t" inset="0,0,0,0">
                <w:txbxContent>
                  <w:p w:rsidR="00CB6FAE" w:rsidRDefault="00CB6FAE">
                    <w:r>
                      <w:rPr>
                        <w:rFonts w:ascii="Arial" w:hAnsi="Arial" w:cs="Arial"/>
                        <w:color w:val="000000"/>
                        <w:sz w:val="18"/>
                        <w:szCs w:val="18"/>
                      </w:rPr>
                      <w:t>for size</w:t>
                    </w:r>
                  </w:p>
                </w:txbxContent>
              </v:textbox>
            </v:rect>
            <v:rect id="_x0000_s72769" style="position:absolute;left:5268;top:519;width:1180;height:765" stroked="f"/>
            <v:rect id="_x0000_s72770" style="position:absolute;left:5419;top:1024;width:881;height:207;mso-wrap-style:none;v-text-anchor:top" filled="f" stroked="f">
              <v:textbox style="mso-fit-shape-to-text:t" inset="0,0,0,0">
                <w:txbxContent>
                  <w:p w:rsidR="00CB6FAE" w:rsidRDefault="00CB6FAE">
                    <w:r>
                      <w:rPr>
                        <w:rFonts w:ascii="Arial" w:hAnsi="Arial" w:cs="Arial"/>
                        <w:color w:val="000000"/>
                        <w:sz w:val="18"/>
                        <w:szCs w:val="18"/>
                      </w:rPr>
                      <w:t>Profitability</w:t>
                    </w:r>
                  </w:p>
                </w:txbxContent>
              </v:textbox>
            </v:rect>
            <v:rect id="_x0000_s72771" style="position:absolute;left:6420;top:519;width:1108;height:765" stroked="f"/>
            <v:rect id="_x0000_s72772" style="position:absolute;left:6571;top:1024;width:751;height:207;mso-wrap-style:none;v-text-anchor:top" filled="f" stroked="f">
              <v:textbox style="mso-fit-shape-to-text:t" inset="0,0,0,0">
                <w:txbxContent>
                  <w:p w:rsidR="00CB6FAE" w:rsidRDefault="00CB6FAE">
                    <w:r>
                      <w:rPr>
                        <w:rFonts w:ascii="Arial" w:hAnsi="Arial" w:cs="Arial"/>
                        <w:color w:val="000000"/>
                        <w:sz w:val="18"/>
                        <w:szCs w:val="18"/>
                      </w:rPr>
                      <w:t>Leverage</w:t>
                    </w:r>
                  </w:p>
                </w:txbxContent>
              </v:textbox>
            </v:rect>
            <v:rect id="_x0000_s72773" style="position:absolute;left:7499;top:519;width:1224;height:765" stroked="f"/>
            <v:rect id="_x0000_s72774" style="position:absolute;left:7665;top:1024;width:871;height:207;mso-wrap-style:none;v-text-anchor:top" filled="f" stroked="f">
              <v:textbox style="mso-fit-shape-to-text:t" inset="0,0,0,0">
                <w:txbxContent>
                  <w:p w:rsidR="00CB6FAE" w:rsidRDefault="00CB6FAE">
                    <w:r>
                      <w:rPr>
                        <w:rFonts w:ascii="Arial" w:hAnsi="Arial" w:cs="Arial"/>
                        <w:color w:val="000000"/>
                        <w:sz w:val="18"/>
                        <w:szCs w:val="18"/>
                      </w:rPr>
                      <w:t>Listing age</w:t>
                    </w:r>
                  </w:p>
                </w:txbxContent>
              </v:textbox>
            </v:rect>
            <v:rect id="_x0000_s72775" style="position:absolute;left:8694;top:519;width:1137;height:765" stroked="f"/>
            <v:rect id="_x0000_s72776" style="position:absolute;left:8874;top:793;width:771;height:207;mso-wrap-style:none;v-text-anchor:top" filled="f" stroked="f">
              <v:textbox style="mso-fit-shape-to-text:t" inset="0,0,0,0">
                <w:txbxContent>
                  <w:p w:rsidR="00CB6FAE" w:rsidRDefault="00CB6FAE">
                    <w:r>
                      <w:rPr>
                        <w:rFonts w:ascii="Arial" w:hAnsi="Arial" w:cs="Arial"/>
                        <w:color w:val="000000"/>
                        <w:sz w:val="18"/>
                        <w:szCs w:val="18"/>
                      </w:rPr>
                      <w:t>Multinatio</w:t>
                    </w:r>
                  </w:p>
                </w:txbxContent>
              </v:textbox>
            </v:rect>
            <v:rect id="_x0000_s72777" style="position:absolute;left:8845;top:1024;width:421;height:207;mso-wrap-style:none;v-text-anchor:top" filled="f" stroked="f">
              <v:textbox style="mso-fit-shape-to-text:t" inset="0,0,0,0">
                <w:txbxContent>
                  <w:p w:rsidR="00CB6FAE" w:rsidRDefault="00CB6FAE">
                    <w:r>
                      <w:rPr>
                        <w:rFonts w:ascii="Arial" w:hAnsi="Arial" w:cs="Arial"/>
                        <w:color w:val="000000"/>
                        <w:sz w:val="18"/>
                        <w:szCs w:val="18"/>
                      </w:rPr>
                      <w:t>nality</w:t>
                    </w:r>
                  </w:p>
                </w:txbxContent>
              </v:textbox>
            </v:rect>
            <v:line id="_x0000_s72778" style="position:absolute" from="2245,2077" to="9802,2078" strokeweight="39e-5mm"/>
            <v:line id="_x0000_s72779" style="position:absolute" from="2245,2899" to="9802,2900" strokeweight="39e-5mm"/>
            <v:line id="_x0000_s72780" style="position:absolute" from="2245,3721" to="9802,3722" strokeweight="39e-5mm"/>
            <v:line id="_x0000_s72781" style="position:absolute" from="2245,4543" to="9802,4544" strokeweight="39e-5mm"/>
            <v:line id="_x0000_s72782" style="position:absolute" from="144,2077" to="9802,2078" strokeweight="39e-5mm"/>
            <v:line id="_x0000_s72783" style="position:absolute" from="144,2899" to="9802,2900" strokeweight="39e-5mm"/>
            <v:line id="_x0000_s72784" style="position:absolute" from="144,3721" to="9802,3722" strokeweight="39e-5mm"/>
            <v:line id="_x0000_s72785" style="position:absolute" from="144,4543" to="9802,4544" strokeweight="39e-5mm"/>
            <v:line id="_x0000_s72786" style="position:absolute" from="5268,519" to="5269,5365" strokeweight="39e-5mm"/>
            <v:line id="_x0000_s72787" style="position:absolute" from="6420,519" to="6421,5365" strokeweight="39e-5mm"/>
            <v:line id="_x0000_s72788" style="position:absolute" from="7499,519" to="7500,5365" strokeweight="39e-5mm"/>
            <v:line id="_x0000_s72789" style="position:absolute" from="8694,519" to="8695,5365" strokeweight="39e-5mm"/>
            <v:rect id="_x0000_s72790" style="position:absolute;left:130;top:5365;width:9701;height:347" stroked="f"/>
            <v:rect id="_x0000_s72791" style="position:absolute;left:389;top:5365;width:9442;height:347" stroked="f"/>
            <v:rect id="_x0000_s72792" style="position:absolute;left:748;top:5423;width:4043;height:207;mso-wrap-style:none;v-text-anchor:top" filled="f" stroked="f">
              <v:textbox style="mso-fit-shape-to-text:t" inset="0,0,0,0">
                <w:txbxContent>
                  <w:p w:rsidR="00CB6FAE" w:rsidRDefault="00CB6FAE">
                    <w:r>
                      <w:rPr>
                        <w:rFonts w:ascii="Arial" w:hAnsi="Arial" w:cs="Arial"/>
                        <w:color w:val="000000"/>
                        <w:sz w:val="18"/>
                        <w:szCs w:val="18"/>
                      </w:rPr>
                      <w:t>Correlation is significant at the 0.01 level (2-tailed).</w:t>
                    </w:r>
                  </w:p>
                </w:txbxContent>
              </v:textbox>
            </v:rect>
            <v:rect id="_x0000_s72793" style="position:absolute;left:489;top:5409;width:191;height:207;mso-wrap-style:none;v-text-anchor:top" filled="f" stroked="f">
              <v:textbox style="mso-fit-shape-to-text:t" inset="0,0,0,0">
                <w:txbxContent>
                  <w:p w:rsidR="00CB6FAE" w:rsidRDefault="00CB6FAE">
                    <w:r>
                      <w:rPr>
                        <w:rFonts w:ascii="Arial" w:hAnsi="Arial" w:cs="Arial"/>
                        <w:color w:val="000000"/>
                        <w:sz w:val="18"/>
                        <w:szCs w:val="18"/>
                      </w:rPr>
                      <w:t xml:space="preserve">**. </w:t>
                    </w:r>
                  </w:p>
                </w:txbxContent>
              </v:textbox>
            </v:rect>
            <v:rect id="_x0000_s72794" style="position:absolute;left:130;top:5683;width:9672;height:14" stroked="f"/>
            <v:rect id="_x0000_s72795" style="position:absolute;left:9543;top:505;width:14;height:5106" stroked="f"/>
            <v:rect id="_x0000_s72796" style="position:absolute;left:144;top:490;width:9413;height:44" stroked="f"/>
            <v:rect id="_x0000_s72797" style="position:absolute;width:9946;height:144" stroked="f"/>
            <v:rect id="_x0000_s72798" style="position:absolute;width:144;height:5827" stroked="f"/>
            <v:rect id="_x0000_s72799" style="position:absolute;left:9802;width:158;height:5827" stroked="f"/>
            <v:rect id="_x0000_s72800" style="position:absolute;top:5683;width:9946;height:158" stroked="f"/>
            <v:line id="_x0000_s72801" style="position:absolute" from="158,534" to="159,5351" strokeweight="81e-5mm"/>
            <v:line id="_x0000_s72802" style="position:absolute" from="9788,534" to="9789,5351" strokeweight="81e-5mm"/>
            <v:line id="_x0000_s72803" style="position:absolute" from="158,534" to="9788,535" strokeweight="81e-5mm"/>
            <v:line id="_x0000_s72804" style="position:absolute" from="158,5351" to="9788,5352" strokeweight="81e-5mm"/>
            <v:line id="_x0000_s72805" style="position:absolute" from="158,1269" to="9788,1270" strokeweight="81e-5mm"/>
            <v:line id="_x0000_s72806" style="position:absolute" from="4203,534" to="4204,5351" strokeweight="81e-5mm"/>
            <w10:wrap type="none"/>
            <w10:anchorlock/>
          </v:group>
        </w:pict>
      </w:r>
    </w:p>
    <w:p w:rsidR="00FF5EDF" w:rsidRPr="008573C5" w:rsidRDefault="00FF5EDF" w:rsidP="00FF5EDF">
      <w:pPr>
        <w:autoSpaceDE w:val="0"/>
        <w:autoSpaceDN w:val="0"/>
        <w:adjustRightInd w:val="0"/>
        <w:rPr>
          <w:rFonts w:ascii="System" w:eastAsia="Calibri" w:hAnsi="System" w:cs="System"/>
          <w:b/>
          <w:bCs/>
          <w:sz w:val="20"/>
          <w:szCs w:val="20"/>
        </w:rPr>
      </w:pPr>
    </w:p>
    <w:p w:rsidR="00BF4515" w:rsidRPr="008573C5" w:rsidRDefault="00BF4515" w:rsidP="00BF4515">
      <w:pPr>
        <w:autoSpaceDE w:val="0"/>
        <w:autoSpaceDN w:val="0"/>
        <w:adjustRightInd w:val="0"/>
        <w:jc w:val="center"/>
        <w:rPr>
          <w:rFonts w:eastAsia="Calibri"/>
          <w:b/>
          <w:bCs/>
        </w:rPr>
      </w:pPr>
      <w:r w:rsidRPr="008573C5">
        <w:rPr>
          <w:rFonts w:eastAsia="Calibri"/>
          <w:b/>
          <w:bCs/>
        </w:rPr>
        <w:t>Source: Field Study (2009)</w:t>
      </w:r>
    </w:p>
    <w:p w:rsidR="00FF5EDF" w:rsidRPr="008573C5" w:rsidRDefault="00FF5EDF" w:rsidP="00595093">
      <w:pPr>
        <w:spacing w:before="100" w:beforeAutospacing="1" w:after="100" w:afterAutospacing="1" w:line="480" w:lineRule="auto"/>
        <w:jc w:val="center"/>
        <w:rPr>
          <w:b/>
          <w:lang w:val="en-GB"/>
        </w:rPr>
      </w:pPr>
    </w:p>
    <w:p w:rsidR="00FF5EDF" w:rsidRPr="008573C5" w:rsidRDefault="00FF5EDF" w:rsidP="000A4921">
      <w:pPr>
        <w:spacing w:before="100" w:beforeAutospacing="1" w:after="100" w:afterAutospacing="1" w:line="360" w:lineRule="auto"/>
        <w:jc w:val="both"/>
      </w:pPr>
      <w:r w:rsidRPr="008573C5">
        <w:t xml:space="preserve">multicollinearity might not necessarily pose a challenge. Using the log of total assets as the size variable, it is observed that the highest correlation is also between log of total assets  and leverage (r = .451 at p&lt; .001). This confirms that multicollinearity may not cause a major problem in the regression analysis. To take care of any estimation problem, the continuous independent variables </w:t>
      </w:r>
      <w:r w:rsidR="00394955" w:rsidRPr="008573C5">
        <w:t>are</w:t>
      </w:r>
      <w:r w:rsidRPr="008573C5">
        <w:t xml:space="preserve"> ranked. The next section shows the result of the correlation for the unranked and ranked data. It has been observed in previous research that they both yield similar result</w:t>
      </w:r>
      <w:r w:rsidR="00727C36" w:rsidRPr="008573C5">
        <w:t>s</w:t>
      </w:r>
      <w:r w:rsidRPr="008573C5">
        <w:t xml:space="preserve"> (Al</w:t>
      </w:r>
      <w:r w:rsidRPr="008573C5">
        <w:rPr>
          <w:rFonts w:eastAsia="Calibri"/>
        </w:rPr>
        <w:t>i et al, 2004:151)</w:t>
      </w:r>
      <w:r w:rsidRPr="008573C5">
        <w:t>.</w:t>
      </w:r>
    </w:p>
    <w:p w:rsidR="00554B4B" w:rsidRDefault="00554B4B" w:rsidP="00595093">
      <w:pPr>
        <w:spacing w:before="100" w:beforeAutospacing="1" w:after="100" w:afterAutospacing="1" w:line="480" w:lineRule="auto"/>
        <w:rPr>
          <w:b/>
          <w:sz w:val="28"/>
          <w:szCs w:val="28"/>
        </w:rPr>
      </w:pPr>
    </w:p>
    <w:p w:rsidR="00554B4B" w:rsidRDefault="00554B4B" w:rsidP="00595093">
      <w:pPr>
        <w:spacing w:before="100" w:beforeAutospacing="1" w:after="100" w:afterAutospacing="1" w:line="480" w:lineRule="auto"/>
        <w:rPr>
          <w:b/>
          <w:sz w:val="28"/>
          <w:szCs w:val="28"/>
        </w:rPr>
      </w:pPr>
    </w:p>
    <w:p w:rsidR="00554B4B" w:rsidRDefault="00554B4B" w:rsidP="00595093">
      <w:pPr>
        <w:spacing w:before="100" w:beforeAutospacing="1" w:after="100" w:afterAutospacing="1" w:line="480" w:lineRule="auto"/>
        <w:rPr>
          <w:b/>
          <w:sz w:val="28"/>
          <w:szCs w:val="28"/>
        </w:rPr>
      </w:pPr>
    </w:p>
    <w:p w:rsidR="00FF5EDF" w:rsidRPr="008573C5" w:rsidRDefault="002E11C4" w:rsidP="00595093">
      <w:pPr>
        <w:spacing w:before="100" w:beforeAutospacing="1" w:after="100" w:afterAutospacing="1" w:line="480" w:lineRule="auto"/>
        <w:rPr>
          <w:b/>
          <w:sz w:val="28"/>
          <w:szCs w:val="28"/>
        </w:rPr>
      </w:pPr>
      <w:r w:rsidRPr="008573C5">
        <w:rPr>
          <w:b/>
          <w:sz w:val="28"/>
          <w:szCs w:val="28"/>
        </w:rPr>
        <w:t>4.</w:t>
      </w:r>
      <w:r w:rsidR="006E04D2" w:rsidRPr="008573C5">
        <w:rPr>
          <w:b/>
          <w:sz w:val="28"/>
          <w:szCs w:val="28"/>
        </w:rPr>
        <w:t>2</w:t>
      </w:r>
      <w:r w:rsidR="000E0B9C" w:rsidRPr="008573C5">
        <w:rPr>
          <w:b/>
          <w:sz w:val="28"/>
          <w:szCs w:val="28"/>
        </w:rPr>
        <w:t>.</w:t>
      </w:r>
      <w:r w:rsidRPr="008573C5">
        <w:rPr>
          <w:b/>
          <w:sz w:val="28"/>
          <w:szCs w:val="28"/>
        </w:rPr>
        <w:t>3</w:t>
      </w:r>
      <w:r w:rsidRPr="008573C5">
        <w:rPr>
          <w:b/>
          <w:sz w:val="28"/>
          <w:szCs w:val="28"/>
        </w:rPr>
        <w:tab/>
      </w:r>
      <w:r w:rsidR="00FF5EDF" w:rsidRPr="008573C5">
        <w:rPr>
          <w:b/>
          <w:sz w:val="28"/>
          <w:szCs w:val="28"/>
        </w:rPr>
        <w:t>Regression Analysis Results</w:t>
      </w:r>
    </w:p>
    <w:p w:rsidR="002E11C4" w:rsidRPr="008573C5" w:rsidRDefault="001056D9" w:rsidP="000A4921">
      <w:pPr>
        <w:spacing w:before="100" w:beforeAutospacing="1" w:after="100" w:afterAutospacing="1" w:line="480" w:lineRule="auto"/>
        <w:rPr>
          <w:b/>
        </w:rPr>
      </w:pPr>
      <w:r w:rsidRPr="008573C5">
        <w:rPr>
          <w:b/>
        </w:rPr>
        <w:t>4</w:t>
      </w:r>
      <w:r w:rsidR="002E11C4" w:rsidRPr="008573C5">
        <w:rPr>
          <w:b/>
        </w:rPr>
        <w:t>.</w:t>
      </w:r>
      <w:r w:rsidR="006E04D2" w:rsidRPr="008573C5">
        <w:rPr>
          <w:b/>
        </w:rPr>
        <w:t>2.3.1</w:t>
      </w:r>
      <w:r w:rsidR="002E11C4" w:rsidRPr="008573C5">
        <w:rPr>
          <w:b/>
        </w:rPr>
        <w:tab/>
        <w:t>Regression Result (Model 1) using Unranked OLS</w:t>
      </w:r>
    </w:p>
    <w:p w:rsidR="005D1901" w:rsidRPr="008573C5" w:rsidRDefault="005D1901" w:rsidP="005D1901">
      <w:pPr>
        <w:tabs>
          <w:tab w:val="left" w:pos="7320"/>
        </w:tabs>
        <w:spacing w:before="240" w:line="360" w:lineRule="auto"/>
        <w:jc w:val="both"/>
      </w:pPr>
      <w:r w:rsidRPr="008573C5">
        <w:t>Equations A</w:t>
      </w:r>
      <w:r w:rsidRPr="008573C5">
        <w:rPr>
          <w:vertAlign w:val="subscript"/>
        </w:rPr>
        <w:t xml:space="preserve">1, </w:t>
      </w:r>
      <w:r w:rsidRPr="008573C5">
        <w:t>A</w:t>
      </w:r>
      <w:r w:rsidRPr="008573C5">
        <w:rPr>
          <w:vertAlign w:val="subscript"/>
        </w:rPr>
        <w:t xml:space="preserve">2 </w:t>
      </w:r>
      <w:r w:rsidRPr="008573C5">
        <w:t>A</w:t>
      </w:r>
      <w:r w:rsidRPr="008573C5">
        <w:rPr>
          <w:vertAlign w:val="subscript"/>
        </w:rPr>
        <w:t xml:space="preserve">3 </w:t>
      </w:r>
      <w:r w:rsidRPr="008573C5">
        <w:t>A</w:t>
      </w:r>
      <w:r w:rsidRPr="008573C5">
        <w:rPr>
          <w:vertAlign w:val="subscript"/>
        </w:rPr>
        <w:t>4</w:t>
      </w:r>
      <w:r w:rsidRPr="008573C5">
        <w:t xml:space="preserve"> of Table 4.20 report the result of the</w:t>
      </w:r>
      <w:r w:rsidR="00727C36" w:rsidRPr="008573C5">
        <w:t xml:space="preserve"> first four OLS regression equations</w:t>
      </w:r>
      <w:r w:rsidRPr="008573C5">
        <w:t xml:space="preserve"> using unranked OLS. The four models have common independent variables. These are: factor variable for size, profitability, leverage, company listing age, sector, auditor type, and multinationality. The dependent variable differs for each model. Equation A</w:t>
      </w:r>
      <w:r w:rsidRPr="008573C5">
        <w:rPr>
          <w:vertAlign w:val="subscript"/>
        </w:rPr>
        <w:t xml:space="preserve">1 </w:t>
      </w:r>
      <w:r w:rsidRPr="008573C5">
        <w:t>employs Overall Disclosure Index (ODI) as its dependent variable, Equation</w:t>
      </w:r>
      <w:r w:rsidRPr="008573C5">
        <w:rPr>
          <w:vertAlign w:val="subscript"/>
        </w:rPr>
        <w:t xml:space="preserve"> </w:t>
      </w:r>
      <w:r w:rsidRPr="008573C5">
        <w:t>A</w:t>
      </w:r>
      <w:r w:rsidRPr="008573C5">
        <w:rPr>
          <w:vertAlign w:val="subscript"/>
        </w:rPr>
        <w:t xml:space="preserve">2 </w:t>
      </w:r>
      <w:r w:rsidRPr="008573C5">
        <w:t>utilizes SAS disclosure index (DISAS), Equation</w:t>
      </w:r>
      <w:r w:rsidRPr="008573C5">
        <w:rPr>
          <w:vertAlign w:val="subscript"/>
        </w:rPr>
        <w:t xml:space="preserve"> </w:t>
      </w:r>
      <w:r w:rsidRPr="008573C5">
        <w:t>A</w:t>
      </w:r>
      <w:r w:rsidRPr="008573C5">
        <w:rPr>
          <w:vertAlign w:val="subscript"/>
        </w:rPr>
        <w:t xml:space="preserve">3 </w:t>
      </w:r>
      <w:r w:rsidRPr="008573C5">
        <w:t>uses IFRS disclosure index (DIFRS) while Equation</w:t>
      </w:r>
      <w:r w:rsidRPr="008573C5">
        <w:rPr>
          <w:vertAlign w:val="subscript"/>
        </w:rPr>
        <w:t xml:space="preserve"> </w:t>
      </w:r>
      <w:r w:rsidRPr="008573C5">
        <w:t>A</w:t>
      </w:r>
      <w:r w:rsidRPr="008573C5">
        <w:rPr>
          <w:vertAlign w:val="subscript"/>
        </w:rPr>
        <w:t xml:space="preserve">4 </w:t>
      </w:r>
      <w:r w:rsidRPr="008573C5">
        <w:t>make use of Voluntary disclosure index (DIVol). The collinearity diagnosis for the four models reveals a VIF</w:t>
      </w:r>
      <w:r w:rsidR="00727C36" w:rsidRPr="008573C5">
        <w:t xml:space="preserve"> well below 2 for each variable</w:t>
      </w:r>
      <w:r w:rsidRPr="008573C5">
        <w:t>: size 1.999, profitability 1.234, leverage 1.404, listing age 1.501, multinationality 1.459, sector 2.236 and auditor type 1.217. Tolerance for all the variables was all above the benchmark of 0.2: size 0.500, profitability 0.811, leverage 0.712, listing age 0.666, multinationality 0.685, sector 0.447 and auditor type 0.822. These results signify that there is no threat of multicollinerity, Durbin-Watson is 2.015, 2.299, 2.055 and 1.644 for each of the Equations A</w:t>
      </w:r>
      <w:r w:rsidRPr="008573C5">
        <w:rPr>
          <w:vertAlign w:val="subscript"/>
        </w:rPr>
        <w:t xml:space="preserve">1, </w:t>
      </w:r>
      <w:r w:rsidRPr="008573C5">
        <w:t>A</w:t>
      </w:r>
      <w:r w:rsidRPr="008573C5">
        <w:rPr>
          <w:vertAlign w:val="subscript"/>
        </w:rPr>
        <w:t xml:space="preserve">2 </w:t>
      </w:r>
      <w:r w:rsidRPr="008573C5">
        <w:t>A</w:t>
      </w:r>
      <w:r w:rsidRPr="008573C5">
        <w:rPr>
          <w:vertAlign w:val="subscript"/>
        </w:rPr>
        <w:t xml:space="preserve">3 </w:t>
      </w:r>
      <w:r w:rsidRPr="008573C5">
        <w:t>A</w:t>
      </w:r>
      <w:r w:rsidRPr="008573C5">
        <w:rPr>
          <w:vertAlign w:val="subscript"/>
        </w:rPr>
        <w:t>4</w:t>
      </w:r>
      <w:r w:rsidRPr="008573C5">
        <w:t xml:space="preserve"> respectively, this figure is about 2, there appears to be no threat of independent errors for any of the equations. The correlation coefficients and plots of residual do not suggest a departu</w:t>
      </w:r>
      <w:r w:rsidR="00727C36" w:rsidRPr="008573C5">
        <w:t>re from normality</w:t>
      </w:r>
      <w:r w:rsidRPr="008573C5">
        <w:t>.</w:t>
      </w:r>
    </w:p>
    <w:p w:rsidR="00C72004" w:rsidRPr="008573C5" w:rsidRDefault="00C72004" w:rsidP="00C72004">
      <w:pPr>
        <w:autoSpaceDE w:val="0"/>
        <w:autoSpaceDN w:val="0"/>
        <w:adjustRightInd w:val="0"/>
        <w:rPr>
          <w:rFonts w:ascii="System" w:hAnsi="System" w:cs="System"/>
          <w:b/>
          <w:bCs/>
          <w:sz w:val="20"/>
          <w:szCs w:val="20"/>
        </w:rPr>
      </w:pPr>
    </w:p>
    <w:p w:rsidR="00554B4B" w:rsidRPr="008573C5" w:rsidRDefault="00554B4B" w:rsidP="00554B4B">
      <w:pPr>
        <w:autoSpaceDE w:val="0"/>
        <w:autoSpaceDN w:val="0"/>
        <w:adjustRightInd w:val="0"/>
        <w:spacing w:line="360" w:lineRule="auto"/>
        <w:jc w:val="both"/>
        <w:rPr>
          <w:rFonts w:eastAsia="Calibri"/>
        </w:rPr>
      </w:pPr>
      <w:r w:rsidRPr="008573C5">
        <w:t>For the first equation A</w:t>
      </w:r>
      <w:r w:rsidRPr="008573C5">
        <w:rPr>
          <w:vertAlign w:val="subscript"/>
        </w:rPr>
        <w:t xml:space="preserve">1, </w:t>
      </w:r>
      <w:r w:rsidRPr="008573C5">
        <w:t xml:space="preserve">ODI is used as the dependent variable. </w:t>
      </w:r>
      <w:r w:rsidRPr="008573C5">
        <w:rPr>
          <w:rFonts w:eastAsia="Calibri"/>
        </w:rPr>
        <w:t xml:space="preserve">The F-statistics (10.120) indicates that the model employed to explain the variations in mandatory and voluntary disclosures in company annual reports is adequate and significant at p &lt; 0.001. </w:t>
      </w:r>
      <w:r w:rsidRPr="008573C5">
        <w:t xml:space="preserve"> This </w:t>
      </w:r>
      <w:r w:rsidRPr="008573C5">
        <w:rPr>
          <w:rFonts w:eastAsia="Calibri"/>
        </w:rPr>
        <w:t xml:space="preserve">reveals that the model is capable of explaining variability in disclosing information in the sampled annual reports. </w:t>
      </w:r>
      <w:r w:rsidRPr="008573C5">
        <w:t xml:space="preserve">The t-statistics is positive for size, auditor type and multinationality and negative for profitability, leverage, listing age and sector. Company size seems significant at 1% level but with a coefficient of zero which implies that its contribution is nil. The finding suggests that the level of overall compliance increases positively and significantly with both </w:t>
      </w:r>
      <w:r w:rsidRPr="008573C5">
        <w:rPr>
          <w:rFonts w:eastAsia="Calibri"/>
        </w:rPr>
        <w:t>a</w:t>
      </w:r>
      <w:r w:rsidRPr="008573C5">
        <w:t xml:space="preserve">uditor type (p &lt; 0.01) and multinationality ( p &lt; 0.05), with contributory coefficients of 0.091 and 0.082 respectively. </w:t>
      </w:r>
      <w:r w:rsidRPr="008573C5">
        <w:rPr>
          <w:rFonts w:eastAsia="Calibri"/>
        </w:rPr>
        <w:t xml:space="preserve"> Profitability, leverage, listing age and sector are not significant explanatory variables.</w:t>
      </w:r>
    </w:p>
    <w:p w:rsidR="00FF5EDF" w:rsidRPr="008573C5" w:rsidRDefault="00805C20" w:rsidP="00FF5EDF">
      <w:pPr>
        <w:autoSpaceDE w:val="0"/>
        <w:autoSpaceDN w:val="0"/>
        <w:adjustRightInd w:val="0"/>
        <w:spacing w:line="480" w:lineRule="auto"/>
        <w:rPr>
          <w:sz w:val="28"/>
          <w:szCs w:val="28"/>
        </w:rPr>
      </w:pPr>
      <w:r w:rsidRPr="008573C5">
        <w:rPr>
          <w:b/>
          <w:sz w:val="28"/>
          <w:szCs w:val="28"/>
        </w:rPr>
        <w:t>T</w:t>
      </w:r>
      <w:r w:rsidR="00FF5EDF" w:rsidRPr="008573C5">
        <w:rPr>
          <w:b/>
          <w:sz w:val="28"/>
          <w:szCs w:val="28"/>
        </w:rPr>
        <w:t>able 4.2</w:t>
      </w:r>
      <w:r w:rsidR="008453FC" w:rsidRPr="008573C5">
        <w:rPr>
          <w:b/>
          <w:sz w:val="28"/>
          <w:szCs w:val="28"/>
        </w:rPr>
        <w:t>0</w:t>
      </w:r>
      <w:r w:rsidR="00FF5EDF" w:rsidRPr="008573C5">
        <w:rPr>
          <w:b/>
          <w:sz w:val="28"/>
          <w:szCs w:val="28"/>
        </w:rPr>
        <w:t>: Regression Result (</w:t>
      </w:r>
      <w:r w:rsidR="002E11C4" w:rsidRPr="008573C5">
        <w:rPr>
          <w:b/>
          <w:sz w:val="28"/>
          <w:szCs w:val="28"/>
        </w:rPr>
        <w:t xml:space="preserve">Model </w:t>
      </w:r>
      <w:r w:rsidR="00FF5EDF" w:rsidRPr="008573C5">
        <w:rPr>
          <w:b/>
          <w:sz w:val="28"/>
          <w:szCs w:val="28"/>
        </w:rPr>
        <w:t>1) using Unranked OLS</w:t>
      </w:r>
    </w:p>
    <w:tbl>
      <w:tblPr>
        <w:tblW w:w="1017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1260"/>
        <w:gridCol w:w="990"/>
        <w:gridCol w:w="1350"/>
        <w:gridCol w:w="90"/>
        <w:gridCol w:w="900"/>
        <w:gridCol w:w="1080"/>
        <w:gridCol w:w="900"/>
        <w:gridCol w:w="90"/>
        <w:gridCol w:w="90"/>
        <w:gridCol w:w="900"/>
        <w:gridCol w:w="180"/>
        <w:gridCol w:w="900"/>
      </w:tblGrid>
      <w:tr w:rsidR="00BB6825" w:rsidRPr="008573C5" w:rsidTr="00400F28">
        <w:tc>
          <w:tcPr>
            <w:tcW w:w="1440" w:type="dxa"/>
            <w:vMerge w:val="restart"/>
          </w:tcPr>
          <w:p w:rsidR="00BB6825" w:rsidRPr="008573C5" w:rsidRDefault="00BB6825" w:rsidP="00FC7BF6">
            <w:pPr>
              <w:autoSpaceDE w:val="0"/>
              <w:autoSpaceDN w:val="0"/>
              <w:adjustRightInd w:val="0"/>
              <w:spacing w:line="480" w:lineRule="auto"/>
              <w:rPr>
                <w:b/>
                <w:sz w:val="22"/>
                <w:szCs w:val="22"/>
              </w:rPr>
            </w:pPr>
            <w:r w:rsidRPr="008573C5">
              <w:rPr>
                <w:b/>
                <w:sz w:val="22"/>
                <w:szCs w:val="22"/>
              </w:rPr>
              <w:t>Independent</w:t>
            </w:r>
          </w:p>
          <w:p w:rsidR="00BB6825" w:rsidRPr="008573C5" w:rsidRDefault="00BB6825" w:rsidP="00FC7BF6">
            <w:pPr>
              <w:autoSpaceDE w:val="0"/>
              <w:autoSpaceDN w:val="0"/>
              <w:adjustRightInd w:val="0"/>
              <w:spacing w:line="480" w:lineRule="auto"/>
              <w:rPr>
                <w:b/>
                <w:sz w:val="22"/>
                <w:szCs w:val="22"/>
              </w:rPr>
            </w:pPr>
            <w:r w:rsidRPr="008573C5">
              <w:rPr>
                <w:b/>
                <w:sz w:val="22"/>
                <w:szCs w:val="22"/>
              </w:rPr>
              <w:t>Variables</w:t>
            </w:r>
          </w:p>
        </w:tc>
        <w:tc>
          <w:tcPr>
            <w:tcW w:w="8730" w:type="dxa"/>
            <w:gridSpan w:val="12"/>
          </w:tcPr>
          <w:p w:rsidR="00BB6825" w:rsidRPr="008573C5" w:rsidRDefault="00BB6825" w:rsidP="00FC7BF6">
            <w:pPr>
              <w:autoSpaceDE w:val="0"/>
              <w:autoSpaceDN w:val="0"/>
              <w:adjustRightInd w:val="0"/>
              <w:spacing w:line="480" w:lineRule="auto"/>
              <w:jc w:val="center"/>
              <w:rPr>
                <w:b/>
                <w:sz w:val="22"/>
                <w:szCs w:val="22"/>
              </w:rPr>
            </w:pPr>
            <w:r w:rsidRPr="008573C5">
              <w:rPr>
                <w:b/>
                <w:sz w:val="22"/>
                <w:szCs w:val="22"/>
              </w:rPr>
              <w:t>Coefficients and t-statistics</w:t>
            </w:r>
          </w:p>
        </w:tc>
      </w:tr>
      <w:tr w:rsidR="001368BD" w:rsidRPr="008573C5" w:rsidTr="00400F28">
        <w:tc>
          <w:tcPr>
            <w:tcW w:w="1440" w:type="dxa"/>
            <w:vMerge/>
          </w:tcPr>
          <w:p w:rsidR="00BB6825" w:rsidRPr="008573C5" w:rsidRDefault="00BB6825" w:rsidP="00FC7BF6">
            <w:pPr>
              <w:autoSpaceDE w:val="0"/>
              <w:autoSpaceDN w:val="0"/>
              <w:adjustRightInd w:val="0"/>
              <w:spacing w:line="480" w:lineRule="auto"/>
              <w:rPr>
                <w:b/>
                <w:sz w:val="22"/>
                <w:szCs w:val="22"/>
              </w:rPr>
            </w:pPr>
          </w:p>
        </w:tc>
        <w:tc>
          <w:tcPr>
            <w:tcW w:w="2250" w:type="dxa"/>
            <w:gridSpan w:val="2"/>
          </w:tcPr>
          <w:p w:rsidR="00BB6825" w:rsidRPr="008573C5" w:rsidRDefault="00BB6825" w:rsidP="00CE16AC">
            <w:pPr>
              <w:autoSpaceDE w:val="0"/>
              <w:autoSpaceDN w:val="0"/>
              <w:adjustRightInd w:val="0"/>
              <w:spacing w:line="480" w:lineRule="auto"/>
              <w:rPr>
                <w:b/>
                <w:sz w:val="22"/>
                <w:szCs w:val="22"/>
              </w:rPr>
            </w:pPr>
            <w:r w:rsidRPr="008573C5">
              <w:rPr>
                <w:b/>
                <w:sz w:val="22"/>
                <w:szCs w:val="22"/>
              </w:rPr>
              <w:t>Equation A</w:t>
            </w:r>
            <w:r w:rsidRPr="008573C5">
              <w:rPr>
                <w:b/>
                <w:sz w:val="22"/>
                <w:szCs w:val="22"/>
                <w:vertAlign w:val="subscript"/>
              </w:rPr>
              <w:t>1</w:t>
            </w:r>
          </w:p>
        </w:tc>
        <w:tc>
          <w:tcPr>
            <w:tcW w:w="2340" w:type="dxa"/>
            <w:gridSpan w:val="3"/>
          </w:tcPr>
          <w:p w:rsidR="00BB6825" w:rsidRPr="008573C5" w:rsidRDefault="00BB6825" w:rsidP="00CE16AC">
            <w:pPr>
              <w:autoSpaceDE w:val="0"/>
              <w:autoSpaceDN w:val="0"/>
              <w:adjustRightInd w:val="0"/>
              <w:spacing w:line="480" w:lineRule="auto"/>
              <w:rPr>
                <w:b/>
                <w:sz w:val="22"/>
                <w:szCs w:val="22"/>
              </w:rPr>
            </w:pPr>
            <w:r w:rsidRPr="008573C5">
              <w:rPr>
                <w:b/>
                <w:sz w:val="22"/>
                <w:szCs w:val="22"/>
              </w:rPr>
              <w:t>Equation  A</w:t>
            </w:r>
            <w:r w:rsidRPr="008573C5">
              <w:rPr>
                <w:b/>
                <w:sz w:val="22"/>
                <w:szCs w:val="22"/>
                <w:vertAlign w:val="subscript"/>
              </w:rPr>
              <w:t>2</w:t>
            </w:r>
          </w:p>
        </w:tc>
        <w:tc>
          <w:tcPr>
            <w:tcW w:w="1980" w:type="dxa"/>
            <w:gridSpan w:val="2"/>
          </w:tcPr>
          <w:p w:rsidR="00BB6825" w:rsidRPr="008573C5" w:rsidRDefault="00BB6825" w:rsidP="00CE16AC">
            <w:pPr>
              <w:autoSpaceDE w:val="0"/>
              <w:autoSpaceDN w:val="0"/>
              <w:adjustRightInd w:val="0"/>
              <w:spacing w:line="480" w:lineRule="auto"/>
              <w:rPr>
                <w:b/>
                <w:sz w:val="22"/>
                <w:szCs w:val="22"/>
              </w:rPr>
            </w:pPr>
            <w:r w:rsidRPr="008573C5">
              <w:rPr>
                <w:b/>
                <w:sz w:val="22"/>
                <w:szCs w:val="22"/>
              </w:rPr>
              <w:t>Equation A</w:t>
            </w:r>
            <w:r w:rsidRPr="008573C5">
              <w:rPr>
                <w:b/>
                <w:sz w:val="22"/>
                <w:szCs w:val="22"/>
                <w:vertAlign w:val="subscript"/>
              </w:rPr>
              <w:t>3</w:t>
            </w:r>
          </w:p>
        </w:tc>
        <w:tc>
          <w:tcPr>
            <w:tcW w:w="2160" w:type="dxa"/>
            <w:gridSpan w:val="5"/>
          </w:tcPr>
          <w:p w:rsidR="00BB6825" w:rsidRPr="008573C5" w:rsidRDefault="00BB6825" w:rsidP="00CE16AC">
            <w:pPr>
              <w:autoSpaceDE w:val="0"/>
              <w:autoSpaceDN w:val="0"/>
              <w:adjustRightInd w:val="0"/>
              <w:spacing w:line="480" w:lineRule="auto"/>
              <w:rPr>
                <w:b/>
                <w:sz w:val="22"/>
                <w:szCs w:val="22"/>
              </w:rPr>
            </w:pPr>
            <w:r w:rsidRPr="008573C5">
              <w:rPr>
                <w:b/>
                <w:sz w:val="22"/>
                <w:szCs w:val="22"/>
              </w:rPr>
              <w:t>Equation  A</w:t>
            </w:r>
            <w:r w:rsidRPr="008573C5">
              <w:rPr>
                <w:b/>
                <w:sz w:val="22"/>
                <w:szCs w:val="22"/>
                <w:vertAlign w:val="subscript"/>
              </w:rPr>
              <w:t>4</w:t>
            </w:r>
          </w:p>
        </w:tc>
      </w:tr>
      <w:tr w:rsidR="00400F28" w:rsidRPr="008573C5" w:rsidTr="00400F28">
        <w:trPr>
          <w:trHeight w:val="332"/>
        </w:trPr>
        <w:tc>
          <w:tcPr>
            <w:tcW w:w="1440" w:type="dxa"/>
          </w:tcPr>
          <w:p w:rsidR="00400F28" w:rsidRPr="008573C5" w:rsidRDefault="00400F28" w:rsidP="00FC7BF6">
            <w:pPr>
              <w:autoSpaceDE w:val="0"/>
              <w:autoSpaceDN w:val="0"/>
              <w:adjustRightInd w:val="0"/>
              <w:spacing w:line="480" w:lineRule="auto"/>
              <w:rPr>
                <w:sz w:val="22"/>
                <w:szCs w:val="22"/>
              </w:rPr>
            </w:pPr>
          </w:p>
        </w:tc>
        <w:tc>
          <w:tcPr>
            <w:tcW w:w="1260" w:type="dxa"/>
          </w:tcPr>
          <w:p w:rsidR="00400F28" w:rsidRPr="008573C5" w:rsidRDefault="00400F28" w:rsidP="00BB6825">
            <w:pPr>
              <w:autoSpaceDE w:val="0"/>
              <w:autoSpaceDN w:val="0"/>
              <w:adjustRightInd w:val="0"/>
              <w:spacing w:line="480" w:lineRule="auto"/>
              <w:rPr>
                <w:sz w:val="22"/>
                <w:szCs w:val="22"/>
              </w:rPr>
            </w:pPr>
            <w:r w:rsidRPr="008573C5">
              <w:rPr>
                <w:sz w:val="22"/>
                <w:szCs w:val="22"/>
              </w:rPr>
              <w:t>Coeff.</w:t>
            </w:r>
          </w:p>
        </w:tc>
        <w:tc>
          <w:tcPr>
            <w:tcW w:w="990" w:type="dxa"/>
          </w:tcPr>
          <w:p w:rsidR="00400F28" w:rsidRPr="008573C5" w:rsidRDefault="00400F28" w:rsidP="00BB6825">
            <w:pPr>
              <w:autoSpaceDE w:val="0"/>
              <w:autoSpaceDN w:val="0"/>
              <w:adjustRightInd w:val="0"/>
              <w:spacing w:line="480" w:lineRule="auto"/>
              <w:rPr>
                <w:sz w:val="22"/>
                <w:szCs w:val="22"/>
              </w:rPr>
            </w:pPr>
            <w:r w:rsidRPr="008573C5">
              <w:rPr>
                <w:sz w:val="22"/>
                <w:szCs w:val="22"/>
              </w:rPr>
              <w:t xml:space="preserve">t -statistics </w:t>
            </w:r>
          </w:p>
        </w:tc>
        <w:tc>
          <w:tcPr>
            <w:tcW w:w="1350" w:type="dxa"/>
          </w:tcPr>
          <w:p w:rsidR="00400F28" w:rsidRPr="008573C5" w:rsidRDefault="00400F28" w:rsidP="00BB6825">
            <w:pPr>
              <w:autoSpaceDE w:val="0"/>
              <w:autoSpaceDN w:val="0"/>
              <w:adjustRightInd w:val="0"/>
              <w:spacing w:line="480" w:lineRule="auto"/>
              <w:rPr>
                <w:sz w:val="22"/>
                <w:szCs w:val="22"/>
              </w:rPr>
            </w:pPr>
            <w:r w:rsidRPr="008573C5">
              <w:rPr>
                <w:sz w:val="22"/>
                <w:szCs w:val="22"/>
              </w:rPr>
              <w:t>Coeff.</w:t>
            </w:r>
          </w:p>
        </w:tc>
        <w:tc>
          <w:tcPr>
            <w:tcW w:w="990" w:type="dxa"/>
            <w:gridSpan w:val="2"/>
          </w:tcPr>
          <w:p w:rsidR="00400F28" w:rsidRPr="008573C5" w:rsidRDefault="00400F28" w:rsidP="00AA7197">
            <w:pPr>
              <w:autoSpaceDE w:val="0"/>
              <w:autoSpaceDN w:val="0"/>
              <w:adjustRightInd w:val="0"/>
              <w:spacing w:line="480" w:lineRule="auto"/>
              <w:rPr>
                <w:sz w:val="22"/>
                <w:szCs w:val="22"/>
              </w:rPr>
            </w:pPr>
            <w:r w:rsidRPr="008573C5">
              <w:rPr>
                <w:sz w:val="22"/>
                <w:szCs w:val="22"/>
              </w:rPr>
              <w:t xml:space="preserve">t -statistics </w:t>
            </w:r>
          </w:p>
        </w:tc>
        <w:tc>
          <w:tcPr>
            <w:tcW w:w="1080" w:type="dxa"/>
          </w:tcPr>
          <w:p w:rsidR="00400F28" w:rsidRPr="008573C5" w:rsidRDefault="00400F28" w:rsidP="00BB6825">
            <w:pPr>
              <w:autoSpaceDE w:val="0"/>
              <w:autoSpaceDN w:val="0"/>
              <w:adjustRightInd w:val="0"/>
              <w:spacing w:line="480" w:lineRule="auto"/>
              <w:rPr>
                <w:sz w:val="22"/>
                <w:szCs w:val="22"/>
              </w:rPr>
            </w:pPr>
            <w:r w:rsidRPr="008573C5">
              <w:rPr>
                <w:sz w:val="22"/>
                <w:szCs w:val="22"/>
              </w:rPr>
              <w:t>Coeff.</w:t>
            </w:r>
          </w:p>
        </w:tc>
        <w:tc>
          <w:tcPr>
            <w:tcW w:w="990" w:type="dxa"/>
            <w:gridSpan w:val="2"/>
          </w:tcPr>
          <w:p w:rsidR="00400F28" w:rsidRPr="008573C5" w:rsidRDefault="00400F28" w:rsidP="00AA7197">
            <w:pPr>
              <w:autoSpaceDE w:val="0"/>
              <w:autoSpaceDN w:val="0"/>
              <w:adjustRightInd w:val="0"/>
              <w:spacing w:line="480" w:lineRule="auto"/>
              <w:rPr>
                <w:sz w:val="22"/>
                <w:szCs w:val="22"/>
              </w:rPr>
            </w:pPr>
            <w:r w:rsidRPr="008573C5">
              <w:rPr>
                <w:sz w:val="22"/>
                <w:szCs w:val="22"/>
              </w:rPr>
              <w:t xml:space="preserve">t -statistics </w:t>
            </w:r>
          </w:p>
        </w:tc>
        <w:tc>
          <w:tcPr>
            <w:tcW w:w="990" w:type="dxa"/>
            <w:gridSpan w:val="2"/>
          </w:tcPr>
          <w:p w:rsidR="00400F28" w:rsidRPr="008573C5" w:rsidRDefault="00400F28" w:rsidP="00BB6825">
            <w:pPr>
              <w:autoSpaceDE w:val="0"/>
              <w:autoSpaceDN w:val="0"/>
              <w:adjustRightInd w:val="0"/>
              <w:spacing w:line="480" w:lineRule="auto"/>
              <w:rPr>
                <w:sz w:val="22"/>
                <w:szCs w:val="22"/>
              </w:rPr>
            </w:pPr>
            <w:r w:rsidRPr="008573C5">
              <w:rPr>
                <w:sz w:val="22"/>
                <w:szCs w:val="22"/>
              </w:rPr>
              <w:t>Coeff.</w:t>
            </w:r>
          </w:p>
        </w:tc>
        <w:tc>
          <w:tcPr>
            <w:tcW w:w="1080" w:type="dxa"/>
            <w:gridSpan w:val="2"/>
          </w:tcPr>
          <w:p w:rsidR="00400F28" w:rsidRPr="008573C5" w:rsidRDefault="00400F28" w:rsidP="00AA7197">
            <w:pPr>
              <w:autoSpaceDE w:val="0"/>
              <w:autoSpaceDN w:val="0"/>
              <w:adjustRightInd w:val="0"/>
              <w:spacing w:line="480" w:lineRule="auto"/>
              <w:rPr>
                <w:sz w:val="22"/>
                <w:szCs w:val="22"/>
              </w:rPr>
            </w:pPr>
            <w:r w:rsidRPr="008573C5">
              <w:rPr>
                <w:sz w:val="22"/>
                <w:szCs w:val="22"/>
              </w:rPr>
              <w:t xml:space="preserve">t -statistics </w:t>
            </w:r>
          </w:p>
        </w:tc>
      </w:tr>
      <w:tr w:rsidR="00400F28" w:rsidRPr="008573C5" w:rsidTr="00400F28">
        <w:trPr>
          <w:trHeight w:val="4554"/>
        </w:trPr>
        <w:tc>
          <w:tcPr>
            <w:tcW w:w="1440" w:type="dxa"/>
          </w:tcPr>
          <w:p w:rsidR="00400F28" w:rsidRPr="008573C5" w:rsidRDefault="00400F28" w:rsidP="00FC7BF6">
            <w:pPr>
              <w:autoSpaceDE w:val="0"/>
              <w:autoSpaceDN w:val="0"/>
              <w:adjustRightInd w:val="0"/>
              <w:spacing w:line="480" w:lineRule="auto"/>
              <w:rPr>
                <w:sz w:val="22"/>
                <w:szCs w:val="22"/>
              </w:rPr>
            </w:pPr>
            <w:r w:rsidRPr="008573C5">
              <w:rPr>
                <w:sz w:val="22"/>
                <w:szCs w:val="22"/>
              </w:rPr>
              <w:t>Size (Factor)</w:t>
            </w:r>
          </w:p>
          <w:p w:rsidR="00400F28" w:rsidRPr="008573C5" w:rsidRDefault="00400F28" w:rsidP="00FC7BF6">
            <w:pPr>
              <w:autoSpaceDE w:val="0"/>
              <w:autoSpaceDN w:val="0"/>
              <w:adjustRightInd w:val="0"/>
              <w:spacing w:line="480" w:lineRule="auto"/>
              <w:rPr>
                <w:sz w:val="22"/>
                <w:szCs w:val="22"/>
              </w:rPr>
            </w:pPr>
            <w:r w:rsidRPr="008573C5">
              <w:rPr>
                <w:sz w:val="22"/>
                <w:szCs w:val="22"/>
              </w:rPr>
              <w:t>Profitability</w:t>
            </w:r>
          </w:p>
          <w:p w:rsidR="00400F28" w:rsidRPr="008573C5" w:rsidRDefault="00400F28" w:rsidP="00FC7BF6">
            <w:pPr>
              <w:autoSpaceDE w:val="0"/>
              <w:autoSpaceDN w:val="0"/>
              <w:adjustRightInd w:val="0"/>
              <w:spacing w:line="480" w:lineRule="auto"/>
              <w:rPr>
                <w:sz w:val="22"/>
                <w:szCs w:val="22"/>
              </w:rPr>
            </w:pPr>
            <w:r w:rsidRPr="008573C5">
              <w:rPr>
                <w:sz w:val="22"/>
                <w:szCs w:val="22"/>
              </w:rPr>
              <w:t>Leverage</w:t>
            </w:r>
          </w:p>
          <w:p w:rsidR="00400F28" w:rsidRPr="008573C5" w:rsidRDefault="00400F28" w:rsidP="00FC7BF6">
            <w:pPr>
              <w:autoSpaceDE w:val="0"/>
              <w:autoSpaceDN w:val="0"/>
              <w:adjustRightInd w:val="0"/>
              <w:spacing w:line="480" w:lineRule="auto"/>
              <w:rPr>
                <w:sz w:val="22"/>
                <w:szCs w:val="22"/>
              </w:rPr>
            </w:pPr>
            <w:r w:rsidRPr="008573C5">
              <w:rPr>
                <w:sz w:val="22"/>
                <w:szCs w:val="22"/>
              </w:rPr>
              <w:t>Age</w:t>
            </w:r>
          </w:p>
          <w:p w:rsidR="00400F28" w:rsidRPr="008573C5" w:rsidRDefault="00400F28" w:rsidP="00FC7BF6">
            <w:pPr>
              <w:autoSpaceDE w:val="0"/>
              <w:autoSpaceDN w:val="0"/>
              <w:adjustRightInd w:val="0"/>
              <w:spacing w:line="480" w:lineRule="auto"/>
              <w:rPr>
                <w:sz w:val="22"/>
                <w:szCs w:val="22"/>
              </w:rPr>
            </w:pPr>
            <w:r w:rsidRPr="008573C5">
              <w:rPr>
                <w:sz w:val="22"/>
                <w:szCs w:val="22"/>
              </w:rPr>
              <w:t>Multinational</w:t>
            </w:r>
          </w:p>
          <w:p w:rsidR="00400F28" w:rsidRPr="008573C5" w:rsidRDefault="00400F28" w:rsidP="00FC7BF6">
            <w:pPr>
              <w:autoSpaceDE w:val="0"/>
              <w:autoSpaceDN w:val="0"/>
              <w:adjustRightInd w:val="0"/>
              <w:spacing w:line="480" w:lineRule="auto"/>
              <w:rPr>
                <w:sz w:val="22"/>
                <w:szCs w:val="22"/>
              </w:rPr>
            </w:pPr>
            <w:r w:rsidRPr="008573C5">
              <w:rPr>
                <w:sz w:val="22"/>
                <w:szCs w:val="22"/>
              </w:rPr>
              <w:t>Sector</w:t>
            </w:r>
          </w:p>
          <w:p w:rsidR="00400F28" w:rsidRPr="008573C5" w:rsidRDefault="00400F28" w:rsidP="00FC7BF6">
            <w:pPr>
              <w:autoSpaceDE w:val="0"/>
              <w:autoSpaceDN w:val="0"/>
              <w:adjustRightInd w:val="0"/>
              <w:spacing w:line="480" w:lineRule="auto"/>
              <w:rPr>
                <w:sz w:val="22"/>
                <w:szCs w:val="22"/>
              </w:rPr>
            </w:pPr>
            <w:r w:rsidRPr="008573C5">
              <w:rPr>
                <w:sz w:val="22"/>
                <w:szCs w:val="22"/>
              </w:rPr>
              <w:t xml:space="preserve">Auditor </w:t>
            </w:r>
          </w:p>
          <w:p w:rsidR="00400F28" w:rsidRPr="008573C5" w:rsidRDefault="00400F28" w:rsidP="00FC7BF6">
            <w:pPr>
              <w:autoSpaceDE w:val="0"/>
              <w:autoSpaceDN w:val="0"/>
              <w:adjustRightInd w:val="0"/>
              <w:spacing w:line="480" w:lineRule="auto"/>
              <w:rPr>
                <w:sz w:val="22"/>
                <w:szCs w:val="22"/>
              </w:rPr>
            </w:pPr>
            <w:r w:rsidRPr="008573C5">
              <w:rPr>
                <w:sz w:val="22"/>
                <w:szCs w:val="22"/>
              </w:rPr>
              <w:t>Constant</w:t>
            </w:r>
          </w:p>
        </w:tc>
        <w:tc>
          <w:tcPr>
            <w:tcW w:w="1260" w:type="dxa"/>
          </w:tcPr>
          <w:p w:rsidR="00400F28" w:rsidRPr="008573C5" w:rsidRDefault="00400F28" w:rsidP="00FC7BF6">
            <w:pPr>
              <w:autoSpaceDE w:val="0"/>
              <w:autoSpaceDN w:val="0"/>
              <w:adjustRightInd w:val="0"/>
              <w:spacing w:line="480" w:lineRule="auto"/>
              <w:rPr>
                <w:sz w:val="22"/>
                <w:szCs w:val="22"/>
              </w:rPr>
            </w:pPr>
            <w:r w:rsidRPr="008573C5">
              <w:rPr>
                <w:sz w:val="22"/>
                <w:szCs w:val="22"/>
              </w:rPr>
              <w:t>0.000***</w:t>
            </w:r>
          </w:p>
          <w:p w:rsidR="00400F28" w:rsidRPr="008573C5" w:rsidRDefault="00400F28" w:rsidP="00FC7BF6">
            <w:pPr>
              <w:autoSpaceDE w:val="0"/>
              <w:autoSpaceDN w:val="0"/>
              <w:adjustRightInd w:val="0"/>
              <w:spacing w:line="480" w:lineRule="auto"/>
              <w:rPr>
                <w:sz w:val="22"/>
                <w:szCs w:val="22"/>
              </w:rPr>
            </w:pPr>
            <w:r w:rsidRPr="008573C5">
              <w:rPr>
                <w:sz w:val="22"/>
                <w:szCs w:val="22"/>
              </w:rPr>
              <w:t>-0.020</w:t>
            </w:r>
          </w:p>
          <w:p w:rsidR="00400F28" w:rsidRPr="008573C5" w:rsidRDefault="00400F28" w:rsidP="00FC7BF6">
            <w:pPr>
              <w:autoSpaceDE w:val="0"/>
              <w:autoSpaceDN w:val="0"/>
              <w:adjustRightInd w:val="0"/>
              <w:spacing w:line="480" w:lineRule="auto"/>
              <w:rPr>
                <w:sz w:val="22"/>
                <w:szCs w:val="22"/>
              </w:rPr>
            </w:pPr>
            <w:r w:rsidRPr="008573C5">
              <w:rPr>
                <w:sz w:val="22"/>
                <w:szCs w:val="22"/>
              </w:rPr>
              <w:t>-0.002</w:t>
            </w:r>
          </w:p>
          <w:p w:rsidR="00400F28" w:rsidRPr="008573C5" w:rsidRDefault="00400F28" w:rsidP="00FC7BF6">
            <w:pPr>
              <w:autoSpaceDE w:val="0"/>
              <w:autoSpaceDN w:val="0"/>
              <w:adjustRightInd w:val="0"/>
              <w:spacing w:line="480" w:lineRule="auto"/>
              <w:rPr>
                <w:sz w:val="22"/>
                <w:szCs w:val="22"/>
              </w:rPr>
            </w:pPr>
            <w:r w:rsidRPr="008573C5">
              <w:rPr>
                <w:sz w:val="22"/>
                <w:szCs w:val="22"/>
              </w:rPr>
              <w:t>-0.000</w:t>
            </w:r>
          </w:p>
          <w:p w:rsidR="00400F28" w:rsidRPr="008573C5" w:rsidRDefault="00400F28" w:rsidP="00FC7BF6">
            <w:pPr>
              <w:autoSpaceDE w:val="0"/>
              <w:autoSpaceDN w:val="0"/>
              <w:adjustRightInd w:val="0"/>
              <w:spacing w:line="480" w:lineRule="auto"/>
              <w:rPr>
                <w:sz w:val="22"/>
                <w:szCs w:val="22"/>
              </w:rPr>
            </w:pPr>
            <w:r w:rsidRPr="008573C5">
              <w:rPr>
                <w:sz w:val="22"/>
                <w:szCs w:val="22"/>
              </w:rPr>
              <w:t>0.082**</w:t>
            </w:r>
          </w:p>
          <w:p w:rsidR="00400F28" w:rsidRPr="008573C5" w:rsidRDefault="00400F28" w:rsidP="00FC7BF6">
            <w:pPr>
              <w:autoSpaceDE w:val="0"/>
              <w:autoSpaceDN w:val="0"/>
              <w:adjustRightInd w:val="0"/>
              <w:spacing w:line="480" w:lineRule="auto"/>
              <w:rPr>
                <w:sz w:val="22"/>
                <w:szCs w:val="22"/>
              </w:rPr>
            </w:pPr>
            <w:r w:rsidRPr="008573C5">
              <w:rPr>
                <w:sz w:val="22"/>
                <w:szCs w:val="22"/>
              </w:rPr>
              <w:t>-0.013</w:t>
            </w:r>
          </w:p>
          <w:p w:rsidR="00400F28" w:rsidRPr="008573C5" w:rsidRDefault="00400F28" w:rsidP="00FC7BF6">
            <w:pPr>
              <w:autoSpaceDE w:val="0"/>
              <w:autoSpaceDN w:val="0"/>
              <w:adjustRightInd w:val="0"/>
              <w:spacing w:line="480" w:lineRule="auto"/>
              <w:rPr>
                <w:sz w:val="22"/>
                <w:szCs w:val="22"/>
              </w:rPr>
            </w:pPr>
            <w:r w:rsidRPr="008573C5">
              <w:rPr>
                <w:sz w:val="22"/>
                <w:szCs w:val="22"/>
              </w:rPr>
              <w:t>0.091***</w:t>
            </w:r>
          </w:p>
          <w:p w:rsidR="00400F28" w:rsidRPr="008573C5" w:rsidRDefault="00400F28" w:rsidP="00FC7BF6">
            <w:pPr>
              <w:autoSpaceDE w:val="0"/>
              <w:autoSpaceDN w:val="0"/>
              <w:adjustRightInd w:val="0"/>
              <w:spacing w:line="480" w:lineRule="auto"/>
              <w:rPr>
                <w:sz w:val="22"/>
                <w:szCs w:val="22"/>
              </w:rPr>
            </w:pPr>
            <w:r w:rsidRPr="008573C5">
              <w:rPr>
                <w:sz w:val="22"/>
                <w:szCs w:val="22"/>
              </w:rPr>
              <w:t>0.545***</w:t>
            </w:r>
          </w:p>
        </w:tc>
        <w:tc>
          <w:tcPr>
            <w:tcW w:w="990" w:type="dxa"/>
          </w:tcPr>
          <w:p w:rsidR="00400F28" w:rsidRPr="008573C5" w:rsidRDefault="00400F28" w:rsidP="00FC7BF6">
            <w:pPr>
              <w:autoSpaceDE w:val="0"/>
              <w:autoSpaceDN w:val="0"/>
              <w:adjustRightInd w:val="0"/>
              <w:spacing w:line="480" w:lineRule="auto"/>
              <w:rPr>
                <w:sz w:val="22"/>
                <w:szCs w:val="22"/>
              </w:rPr>
            </w:pPr>
            <w:r w:rsidRPr="008573C5">
              <w:rPr>
                <w:sz w:val="22"/>
                <w:szCs w:val="22"/>
              </w:rPr>
              <w:t>(3.712)</w:t>
            </w:r>
          </w:p>
          <w:p w:rsidR="00400F28" w:rsidRPr="008573C5" w:rsidRDefault="00400F28" w:rsidP="00FC7BF6">
            <w:pPr>
              <w:autoSpaceDE w:val="0"/>
              <w:autoSpaceDN w:val="0"/>
              <w:adjustRightInd w:val="0"/>
              <w:spacing w:line="480" w:lineRule="auto"/>
              <w:rPr>
                <w:sz w:val="22"/>
                <w:szCs w:val="22"/>
              </w:rPr>
            </w:pPr>
            <w:r w:rsidRPr="008573C5">
              <w:rPr>
                <w:sz w:val="22"/>
                <w:szCs w:val="22"/>
              </w:rPr>
              <w:t>(0.626)</w:t>
            </w:r>
          </w:p>
          <w:p w:rsidR="00400F28" w:rsidRPr="008573C5" w:rsidRDefault="00400F28" w:rsidP="00FC7BF6">
            <w:pPr>
              <w:autoSpaceDE w:val="0"/>
              <w:autoSpaceDN w:val="0"/>
              <w:adjustRightInd w:val="0"/>
              <w:spacing w:line="480" w:lineRule="auto"/>
              <w:rPr>
                <w:sz w:val="22"/>
                <w:szCs w:val="22"/>
              </w:rPr>
            </w:pPr>
            <w:r w:rsidRPr="008573C5">
              <w:rPr>
                <w:sz w:val="22"/>
                <w:szCs w:val="22"/>
              </w:rPr>
              <w:t>(1.148)</w:t>
            </w:r>
          </w:p>
          <w:p w:rsidR="00400F28" w:rsidRPr="008573C5" w:rsidRDefault="00400F28" w:rsidP="00FC7BF6">
            <w:pPr>
              <w:autoSpaceDE w:val="0"/>
              <w:autoSpaceDN w:val="0"/>
              <w:adjustRightInd w:val="0"/>
              <w:spacing w:line="480" w:lineRule="auto"/>
              <w:rPr>
                <w:sz w:val="22"/>
                <w:szCs w:val="22"/>
              </w:rPr>
            </w:pPr>
            <w:r w:rsidRPr="008573C5">
              <w:rPr>
                <w:sz w:val="22"/>
                <w:szCs w:val="22"/>
              </w:rPr>
              <w:t>(0.125)</w:t>
            </w:r>
          </w:p>
          <w:p w:rsidR="00400F28" w:rsidRPr="008573C5" w:rsidRDefault="00400F28" w:rsidP="00FC7BF6">
            <w:pPr>
              <w:autoSpaceDE w:val="0"/>
              <w:autoSpaceDN w:val="0"/>
              <w:adjustRightInd w:val="0"/>
              <w:spacing w:line="480" w:lineRule="auto"/>
              <w:rPr>
                <w:sz w:val="22"/>
                <w:szCs w:val="22"/>
              </w:rPr>
            </w:pPr>
            <w:r w:rsidRPr="008573C5">
              <w:rPr>
                <w:sz w:val="22"/>
                <w:szCs w:val="22"/>
              </w:rPr>
              <w:t>(2.675)</w:t>
            </w:r>
          </w:p>
          <w:p w:rsidR="00400F28" w:rsidRPr="008573C5" w:rsidRDefault="00400F28" w:rsidP="00FC7BF6">
            <w:pPr>
              <w:autoSpaceDE w:val="0"/>
              <w:autoSpaceDN w:val="0"/>
              <w:adjustRightInd w:val="0"/>
              <w:spacing w:line="480" w:lineRule="auto"/>
              <w:rPr>
                <w:sz w:val="22"/>
                <w:szCs w:val="22"/>
              </w:rPr>
            </w:pPr>
            <w:r w:rsidRPr="008573C5">
              <w:rPr>
                <w:sz w:val="22"/>
                <w:szCs w:val="22"/>
              </w:rPr>
              <w:t>(0.589)</w:t>
            </w:r>
          </w:p>
          <w:p w:rsidR="00400F28" w:rsidRPr="008573C5" w:rsidRDefault="00400F28" w:rsidP="00FC7BF6">
            <w:pPr>
              <w:autoSpaceDE w:val="0"/>
              <w:autoSpaceDN w:val="0"/>
              <w:adjustRightInd w:val="0"/>
              <w:spacing w:line="480" w:lineRule="auto"/>
              <w:rPr>
                <w:sz w:val="22"/>
                <w:szCs w:val="22"/>
              </w:rPr>
            </w:pPr>
            <w:r w:rsidRPr="008573C5">
              <w:rPr>
                <w:sz w:val="22"/>
                <w:szCs w:val="22"/>
              </w:rPr>
              <w:t>(4.911)</w:t>
            </w:r>
          </w:p>
          <w:p w:rsidR="00400F28" w:rsidRPr="008573C5" w:rsidRDefault="00400F28" w:rsidP="00FC7BF6">
            <w:pPr>
              <w:autoSpaceDE w:val="0"/>
              <w:autoSpaceDN w:val="0"/>
              <w:adjustRightInd w:val="0"/>
              <w:spacing w:line="480" w:lineRule="auto"/>
              <w:rPr>
                <w:sz w:val="22"/>
                <w:szCs w:val="22"/>
              </w:rPr>
            </w:pPr>
            <w:r w:rsidRPr="008573C5">
              <w:rPr>
                <w:sz w:val="22"/>
                <w:szCs w:val="22"/>
              </w:rPr>
              <w:t>(15.85)</w:t>
            </w:r>
          </w:p>
        </w:tc>
        <w:tc>
          <w:tcPr>
            <w:tcW w:w="1440" w:type="dxa"/>
            <w:gridSpan w:val="2"/>
          </w:tcPr>
          <w:p w:rsidR="00400F28" w:rsidRPr="008573C5" w:rsidRDefault="00400F28" w:rsidP="00FC7BF6">
            <w:pPr>
              <w:autoSpaceDE w:val="0"/>
              <w:autoSpaceDN w:val="0"/>
              <w:adjustRightInd w:val="0"/>
              <w:spacing w:line="480" w:lineRule="auto"/>
              <w:rPr>
                <w:sz w:val="22"/>
                <w:szCs w:val="22"/>
              </w:rPr>
            </w:pPr>
            <w:r w:rsidRPr="008573C5">
              <w:rPr>
                <w:sz w:val="22"/>
                <w:szCs w:val="22"/>
              </w:rPr>
              <w:t>0.000</w:t>
            </w:r>
          </w:p>
          <w:p w:rsidR="00400F28" w:rsidRPr="008573C5" w:rsidRDefault="00400F28" w:rsidP="00FC7BF6">
            <w:pPr>
              <w:autoSpaceDE w:val="0"/>
              <w:autoSpaceDN w:val="0"/>
              <w:adjustRightInd w:val="0"/>
              <w:spacing w:line="480" w:lineRule="auto"/>
              <w:rPr>
                <w:sz w:val="22"/>
                <w:szCs w:val="22"/>
              </w:rPr>
            </w:pPr>
            <w:r w:rsidRPr="008573C5">
              <w:rPr>
                <w:sz w:val="22"/>
                <w:szCs w:val="22"/>
              </w:rPr>
              <w:t>-0.017</w:t>
            </w:r>
          </w:p>
          <w:p w:rsidR="00400F28" w:rsidRPr="008573C5" w:rsidRDefault="00400F28" w:rsidP="00FC7BF6">
            <w:pPr>
              <w:autoSpaceDE w:val="0"/>
              <w:autoSpaceDN w:val="0"/>
              <w:adjustRightInd w:val="0"/>
              <w:spacing w:line="480" w:lineRule="auto"/>
              <w:rPr>
                <w:sz w:val="22"/>
                <w:szCs w:val="22"/>
              </w:rPr>
            </w:pPr>
            <w:r w:rsidRPr="008573C5">
              <w:rPr>
                <w:sz w:val="22"/>
                <w:szCs w:val="22"/>
              </w:rPr>
              <w:t>0.003**</w:t>
            </w:r>
          </w:p>
          <w:p w:rsidR="00400F28" w:rsidRPr="008573C5" w:rsidRDefault="00400F28" w:rsidP="00FC7BF6">
            <w:pPr>
              <w:autoSpaceDE w:val="0"/>
              <w:autoSpaceDN w:val="0"/>
              <w:adjustRightInd w:val="0"/>
              <w:spacing w:line="480" w:lineRule="auto"/>
              <w:rPr>
                <w:sz w:val="22"/>
                <w:szCs w:val="22"/>
              </w:rPr>
            </w:pPr>
            <w:r w:rsidRPr="008573C5">
              <w:rPr>
                <w:sz w:val="22"/>
                <w:szCs w:val="22"/>
              </w:rPr>
              <w:t>0.000</w:t>
            </w:r>
          </w:p>
          <w:p w:rsidR="00400F28" w:rsidRPr="008573C5" w:rsidRDefault="00400F28" w:rsidP="00FC7BF6">
            <w:pPr>
              <w:autoSpaceDE w:val="0"/>
              <w:autoSpaceDN w:val="0"/>
              <w:adjustRightInd w:val="0"/>
              <w:spacing w:line="480" w:lineRule="auto"/>
              <w:rPr>
                <w:sz w:val="22"/>
                <w:szCs w:val="22"/>
              </w:rPr>
            </w:pPr>
            <w:r w:rsidRPr="008573C5">
              <w:rPr>
                <w:sz w:val="22"/>
                <w:szCs w:val="22"/>
              </w:rPr>
              <w:t>0.007***</w:t>
            </w:r>
          </w:p>
          <w:p w:rsidR="00400F28" w:rsidRPr="008573C5" w:rsidRDefault="00400F28" w:rsidP="00FC7BF6">
            <w:pPr>
              <w:autoSpaceDE w:val="0"/>
              <w:autoSpaceDN w:val="0"/>
              <w:adjustRightInd w:val="0"/>
              <w:spacing w:line="480" w:lineRule="auto"/>
              <w:rPr>
                <w:sz w:val="22"/>
                <w:szCs w:val="22"/>
              </w:rPr>
            </w:pPr>
            <w:r w:rsidRPr="008573C5">
              <w:rPr>
                <w:sz w:val="22"/>
                <w:szCs w:val="22"/>
              </w:rPr>
              <w:t>-0.015</w:t>
            </w:r>
          </w:p>
          <w:p w:rsidR="00400F28" w:rsidRPr="008573C5" w:rsidRDefault="00400F28" w:rsidP="00FC7BF6">
            <w:pPr>
              <w:autoSpaceDE w:val="0"/>
              <w:autoSpaceDN w:val="0"/>
              <w:adjustRightInd w:val="0"/>
              <w:spacing w:line="480" w:lineRule="auto"/>
              <w:rPr>
                <w:sz w:val="22"/>
                <w:szCs w:val="22"/>
              </w:rPr>
            </w:pPr>
            <w:r w:rsidRPr="008573C5">
              <w:rPr>
                <w:sz w:val="22"/>
                <w:szCs w:val="22"/>
              </w:rPr>
              <w:t>0.064***</w:t>
            </w:r>
          </w:p>
          <w:p w:rsidR="00400F28" w:rsidRPr="008573C5" w:rsidRDefault="00400F28" w:rsidP="00FC7BF6">
            <w:pPr>
              <w:autoSpaceDE w:val="0"/>
              <w:autoSpaceDN w:val="0"/>
              <w:adjustRightInd w:val="0"/>
              <w:spacing w:line="480" w:lineRule="auto"/>
              <w:rPr>
                <w:sz w:val="22"/>
                <w:szCs w:val="22"/>
              </w:rPr>
            </w:pPr>
            <w:r w:rsidRPr="008573C5">
              <w:rPr>
                <w:sz w:val="22"/>
                <w:szCs w:val="22"/>
              </w:rPr>
              <w:t>0.842***</w:t>
            </w:r>
          </w:p>
        </w:tc>
        <w:tc>
          <w:tcPr>
            <w:tcW w:w="900" w:type="dxa"/>
          </w:tcPr>
          <w:p w:rsidR="00400F28" w:rsidRPr="008573C5" w:rsidRDefault="00400F28" w:rsidP="00FC7BF6">
            <w:pPr>
              <w:autoSpaceDE w:val="0"/>
              <w:autoSpaceDN w:val="0"/>
              <w:adjustRightInd w:val="0"/>
              <w:spacing w:line="480" w:lineRule="auto"/>
              <w:rPr>
                <w:sz w:val="22"/>
                <w:szCs w:val="22"/>
              </w:rPr>
            </w:pPr>
            <w:r w:rsidRPr="008573C5">
              <w:rPr>
                <w:sz w:val="22"/>
                <w:szCs w:val="22"/>
              </w:rPr>
              <w:t>(0.746)</w:t>
            </w:r>
          </w:p>
          <w:p w:rsidR="00400F28" w:rsidRPr="008573C5" w:rsidRDefault="00400F28" w:rsidP="00FC7BF6">
            <w:pPr>
              <w:autoSpaceDE w:val="0"/>
              <w:autoSpaceDN w:val="0"/>
              <w:adjustRightInd w:val="0"/>
              <w:spacing w:line="480" w:lineRule="auto"/>
              <w:rPr>
                <w:sz w:val="22"/>
                <w:szCs w:val="22"/>
              </w:rPr>
            </w:pPr>
            <w:r w:rsidRPr="008573C5">
              <w:rPr>
                <w:sz w:val="22"/>
                <w:szCs w:val="22"/>
              </w:rPr>
              <w:t>(0.899)</w:t>
            </w:r>
          </w:p>
          <w:p w:rsidR="00400F28" w:rsidRPr="008573C5" w:rsidRDefault="00400F28" w:rsidP="00FC7BF6">
            <w:pPr>
              <w:autoSpaceDE w:val="0"/>
              <w:autoSpaceDN w:val="0"/>
              <w:adjustRightInd w:val="0"/>
              <w:spacing w:line="480" w:lineRule="auto"/>
              <w:rPr>
                <w:sz w:val="22"/>
                <w:szCs w:val="22"/>
              </w:rPr>
            </w:pPr>
            <w:r w:rsidRPr="008573C5">
              <w:rPr>
                <w:sz w:val="22"/>
                <w:szCs w:val="22"/>
              </w:rPr>
              <w:t>(2.414)</w:t>
            </w:r>
          </w:p>
          <w:p w:rsidR="00400F28" w:rsidRPr="008573C5" w:rsidRDefault="00400F28" w:rsidP="00FC7BF6">
            <w:pPr>
              <w:autoSpaceDE w:val="0"/>
              <w:autoSpaceDN w:val="0"/>
              <w:adjustRightInd w:val="0"/>
              <w:spacing w:line="480" w:lineRule="auto"/>
              <w:rPr>
                <w:sz w:val="22"/>
                <w:szCs w:val="22"/>
              </w:rPr>
            </w:pPr>
            <w:r w:rsidRPr="008573C5">
              <w:rPr>
                <w:sz w:val="22"/>
                <w:szCs w:val="22"/>
              </w:rPr>
              <w:t>(0.102)</w:t>
            </w:r>
          </w:p>
          <w:p w:rsidR="00400F28" w:rsidRPr="008573C5" w:rsidRDefault="00400F28" w:rsidP="00FC7BF6">
            <w:pPr>
              <w:autoSpaceDE w:val="0"/>
              <w:autoSpaceDN w:val="0"/>
              <w:adjustRightInd w:val="0"/>
              <w:spacing w:line="480" w:lineRule="auto"/>
              <w:rPr>
                <w:sz w:val="22"/>
                <w:szCs w:val="22"/>
              </w:rPr>
            </w:pPr>
            <w:r w:rsidRPr="008573C5">
              <w:rPr>
                <w:sz w:val="22"/>
                <w:szCs w:val="22"/>
              </w:rPr>
              <w:t>(3.657)</w:t>
            </w:r>
          </w:p>
          <w:p w:rsidR="00400F28" w:rsidRPr="008573C5" w:rsidRDefault="00400F28" w:rsidP="00FC7BF6">
            <w:pPr>
              <w:autoSpaceDE w:val="0"/>
              <w:autoSpaceDN w:val="0"/>
              <w:adjustRightInd w:val="0"/>
              <w:spacing w:line="480" w:lineRule="auto"/>
              <w:rPr>
                <w:sz w:val="22"/>
                <w:szCs w:val="22"/>
              </w:rPr>
            </w:pPr>
            <w:r w:rsidRPr="008573C5">
              <w:rPr>
                <w:sz w:val="22"/>
                <w:szCs w:val="22"/>
              </w:rPr>
              <w:t>(1.122)</w:t>
            </w:r>
          </w:p>
          <w:p w:rsidR="00400F28" w:rsidRPr="008573C5" w:rsidRDefault="00400F28" w:rsidP="00FC7BF6">
            <w:pPr>
              <w:autoSpaceDE w:val="0"/>
              <w:autoSpaceDN w:val="0"/>
              <w:adjustRightInd w:val="0"/>
              <w:spacing w:line="480" w:lineRule="auto"/>
              <w:rPr>
                <w:sz w:val="22"/>
                <w:szCs w:val="22"/>
              </w:rPr>
            </w:pPr>
            <w:r w:rsidRPr="008573C5">
              <w:rPr>
                <w:sz w:val="22"/>
                <w:szCs w:val="22"/>
              </w:rPr>
              <w:t>(5.565)</w:t>
            </w:r>
          </w:p>
          <w:p w:rsidR="00400F28" w:rsidRPr="008573C5" w:rsidRDefault="00400F28" w:rsidP="00FC7BF6">
            <w:pPr>
              <w:autoSpaceDE w:val="0"/>
              <w:autoSpaceDN w:val="0"/>
              <w:adjustRightInd w:val="0"/>
              <w:spacing w:line="480" w:lineRule="auto"/>
              <w:rPr>
                <w:sz w:val="22"/>
                <w:szCs w:val="22"/>
              </w:rPr>
            </w:pPr>
            <w:r w:rsidRPr="008573C5">
              <w:rPr>
                <w:sz w:val="22"/>
                <w:szCs w:val="22"/>
              </w:rPr>
              <w:t>(40.06)</w:t>
            </w:r>
          </w:p>
          <w:p w:rsidR="00400F28" w:rsidRPr="008573C5" w:rsidRDefault="00400F28" w:rsidP="00FC7BF6">
            <w:pPr>
              <w:autoSpaceDE w:val="0"/>
              <w:autoSpaceDN w:val="0"/>
              <w:adjustRightInd w:val="0"/>
              <w:spacing w:line="480" w:lineRule="auto"/>
              <w:rPr>
                <w:sz w:val="22"/>
                <w:szCs w:val="22"/>
              </w:rPr>
            </w:pPr>
          </w:p>
        </w:tc>
        <w:tc>
          <w:tcPr>
            <w:tcW w:w="1080" w:type="dxa"/>
          </w:tcPr>
          <w:p w:rsidR="00400F28" w:rsidRPr="008573C5" w:rsidRDefault="00400F28" w:rsidP="00FC7BF6">
            <w:pPr>
              <w:autoSpaceDE w:val="0"/>
              <w:autoSpaceDN w:val="0"/>
              <w:adjustRightInd w:val="0"/>
              <w:spacing w:line="480" w:lineRule="auto"/>
              <w:rPr>
                <w:sz w:val="22"/>
                <w:szCs w:val="22"/>
              </w:rPr>
            </w:pPr>
            <w:r w:rsidRPr="008573C5">
              <w:rPr>
                <w:sz w:val="22"/>
                <w:szCs w:val="22"/>
              </w:rPr>
              <w:t>0.000***</w:t>
            </w:r>
          </w:p>
          <w:p w:rsidR="00400F28" w:rsidRPr="008573C5" w:rsidRDefault="00400F28" w:rsidP="00FC7BF6">
            <w:pPr>
              <w:autoSpaceDE w:val="0"/>
              <w:autoSpaceDN w:val="0"/>
              <w:adjustRightInd w:val="0"/>
              <w:spacing w:line="480" w:lineRule="auto"/>
              <w:rPr>
                <w:sz w:val="22"/>
                <w:szCs w:val="22"/>
              </w:rPr>
            </w:pPr>
            <w:r w:rsidRPr="008573C5">
              <w:rPr>
                <w:sz w:val="22"/>
                <w:szCs w:val="22"/>
              </w:rPr>
              <w:t>-0.023</w:t>
            </w:r>
          </w:p>
          <w:p w:rsidR="00400F28" w:rsidRPr="008573C5" w:rsidRDefault="00400F28" w:rsidP="00FC7BF6">
            <w:pPr>
              <w:autoSpaceDE w:val="0"/>
              <w:autoSpaceDN w:val="0"/>
              <w:adjustRightInd w:val="0"/>
              <w:spacing w:line="480" w:lineRule="auto"/>
              <w:rPr>
                <w:sz w:val="22"/>
                <w:szCs w:val="22"/>
              </w:rPr>
            </w:pPr>
            <w:r w:rsidRPr="008573C5">
              <w:rPr>
                <w:sz w:val="22"/>
                <w:szCs w:val="22"/>
              </w:rPr>
              <w:t>0.002</w:t>
            </w:r>
          </w:p>
          <w:p w:rsidR="00400F28" w:rsidRPr="008573C5" w:rsidRDefault="00400F28" w:rsidP="00FC7BF6">
            <w:pPr>
              <w:autoSpaceDE w:val="0"/>
              <w:autoSpaceDN w:val="0"/>
              <w:adjustRightInd w:val="0"/>
              <w:spacing w:line="480" w:lineRule="auto"/>
              <w:rPr>
                <w:sz w:val="22"/>
                <w:szCs w:val="22"/>
              </w:rPr>
            </w:pPr>
            <w:r w:rsidRPr="008573C5">
              <w:rPr>
                <w:sz w:val="22"/>
                <w:szCs w:val="22"/>
              </w:rPr>
              <w:t>-0.003**</w:t>
            </w:r>
          </w:p>
          <w:p w:rsidR="00400F28" w:rsidRPr="008573C5" w:rsidRDefault="00400F28" w:rsidP="00FC7BF6">
            <w:pPr>
              <w:autoSpaceDE w:val="0"/>
              <w:autoSpaceDN w:val="0"/>
              <w:adjustRightInd w:val="0"/>
              <w:spacing w:line="480" w:lineRule="auto"/>
              <w:rPr>
                <w:sz w:val="22"/>
                <w:szCs w:val="22"/>
              </w:rPr>
            </w:pPr>
            <w:r w:rsidRPr="008573C5">
              <w:rPr>
                <w:sz w:val="22"/>
                <w:szCs w:val="22"/>
              </w:rPr>
              <w:t>0.052</w:t>
            </w:r>
          </w:p>
          <w:p w:rsidR="00400F28" w:rsidRPr="008573C5" w:rsidRDefault="00400F28" w:rsidP="00FC7BF6">
            <w:pPr>
              <w:autoSpaceDE w:val="0"/>
              <w:autoSpaceDN w:val="0"/>
              <w:adjustRightInd w:val="0"/>
              <w:spacing w:line="480" w:lineRule="auto"/>
              <w:rPr>
                <w:sz w:val="22"/>
                <w:szCs w:val="22"/>
              </w:rPr>
            </w:pPr>
            <w:r w:rsidRPr="008573C5">
              <w:rPr>
                <w:sz w:val="22"/>
                <w:szCs w:val="22"/>
              </w:rPr>
              <w:t>0.013</w:t>
            </w:r>
          </w:p>
          <w:p w:rsidR="00400F28" w:rsidRPr="008573C5" w:rsidRDefault="00400F28" w:rsidP="00FC7BF6">
            <w:pPr>
              <w:autoSpaceDE w:val="0"/>
              <w:autoSpaceDN w:val="0"/>
              <w:adjustRightInd w:val="0"/>
              <w:spacing w:line="480" w:lineRule="auto"/>
              <w:rPr>
                <w:sz w:val="22"/>
                <w:szCs w:val="22"/>
              </w:rPr>
            </w:pPr>
            <w:r w:rsidRPr="008573C5">
              <w:rPr>
                <w:sz w:val="22"/>
                <w:szCs w:val="22"/>
              </w:rPr>
              <w:t>0.150***</w:t>
            </w:r>
          </w:p>
          <w:p w:rsidR="00400F28" w:rsidRPr="008573C5" w:rsidRDefault="00400F28" w:rsidP="00FC7BF6">
            <w:pPr>
              <w:autoSpaceDE w:val="0"/>
              <w:autoSpaceDN w:val="0"/>
              <w:adjustRightInd w:val="0"/>
              <w:spacing w:line="480" w:lineRule="auto"/>
              <w:rPr>
                <w:sz w:val="22"/>
                <w:szCs w:val="22"/>
              </w:rPr>
            </w:pPr>
            <w:r w:rsidRPr="008573C5">
              <w:rPr>
                <w:sz w:val="22"/>
                <w:szCs w:val="22"/>
              </w:rPr>
              <w:t>0.451***</w:t>
            </w:r>
          </w:p>
        </w:tc>
        <w:tc>
          <w:tcPr>
            <w:tcW w:w="1080" w:type="dxa"/>
            <w:gridSpan w:val="3"/>
          </w:tcPr>
          <w:p w:rsidR="00400F28" w:rsidRPr="008573C5" w:rsidRDefault="00400F28" w:rsidP="00FC7BF6">
            <w:pPr>
              <w:autoSpaceDE w:val="0"/>
              <w:autoSpaceDN w:val="0"/>
              <w:adjustRightInd w:val="0"/>
              <w:spacing w:line="480" w:lineRule="auto"/>
              <w:rPr>
                <w:sz w:val="22"/>
                <w:szCs w:val="22"/>
              </w:rPr>
            </w:pPr>
            <w:r w:rsidRPr="008573C5">
              <w:rPr>
                <w:sz w:val="22"/>
                <w:szCs w:val="22"/>
              </w:rPr>
              <w:t>(3.318)</w:t>
            </w:r>
          </w:p>
          <w:p w:rsidR="00400F28" w:rsidRPr="008573C5" w:rsidRDefault="00400F28" w:rsidP="00FC7BF6">
            <w:pPr>
              <w:autoSpaceDE w:val="0"/>
              <w:autoSpaceDN w:val="0"/>
              <w:adjustRightInd w:val="0"/>
              <w:spacing w:line="480" w:lineRule="auto"/>
              <w:rPr>
                <w:sz w:val="22"/>
                <w:szCs w:val="22"/>
              </w:rPr>
            </w:pPr>
            <w:r w:rsidRPr="008573C5">
              <w:rPr>
                <w:sz w:val="22"/>
                <w:szCs w:val="22"/>
              </w:rPr>
              <w:t>(0.489)</w:t>
            </w:r>
          </w:p>
          <w:p w:rsidR="00400F28" w:rsidRPr="008573C5" w:rsidRDefault="00400F28" w:rsidP="00FC7BF6">
            <w:pPr>
              <w:autoSpaceDE w:val="0"/>
              <w:autoSpaceDN w:val="0"/>
              <w:adjustRightInd w:val="0"/>
              <w:spacing w:line="480" w:lineRule="auto"/>
              <w:rPr>
                <w:sz w:val="22"/>
                <w:szCs w:val="22"/>
              </w:rPr>
            </w:pPr>
            <w:r w:rsidRPr="008573C5">
              <w:rPr>
                <w:sz w:val="22"/>
                <w:szCs w:val="22"/>
              </w:rPr>
              <w:t>(0.468)</w:t>
            </w:r>
          </w:p>
          <w:p w:rsidR="00400F28" w:rsidRPr="008573C5" w:rsidRDefault="00400F28" w:rsidP="00FC7BF6">
            <w:pPr>
              <w:autoSpaceDE w:val="0"/>
              <w:autoSpaceDN w:val="0"/>
              <w:adjustRightInd w:val="0"/>
              <w:spacing w:line="480" w:lineRule="auto"/>
              <w:rPr>
                <w:sz w:val="22"/>
                <w:szCs w:val="22"/>
              </w:rPr>
            </w:pPr>
            <w:r w:rsidRPr="008573C5">
              <w:rPr>
                <w:sz w:val="22"/>
                <w:szCs w:val="22"/>
              </w:rPr>
              <w:t>(2.495)</w:t>
            </w:r>
          </w:p>
          <w:p w:rsidR="00400F28" w:rsidRPr="008573C5" w:rsidRDefault="00400F28" w:rsidP="00FC7BF6">
            <w:pPr>
              <w:autoSpaceDE w:val="0"/>
              <w:autoSpaceDN w:val="0"/>
              <w:adjustRightInd w:val="0"/>
              <w:spacing w:line="480" w:lineRule="auto"/>
              <w:rPr>
                <w:sz w:val="22"/>
                <w:szCs w:val="22"/>
              </w:rPr>
            </w:pPr>
            <w:r w:rsidRPr="008573C5">
              <w:rPr>
                <w:sz w:val="22"/>
                <w:szCs w:val="22"/>
              </w:rPr>
              <w:t>(1.107)</w:t>
            </w:r>
          </w:p>
          <w:p w:rsidR="00400F28" w:rsidRPr="008573C5" w:rsidRDefault="00400F28" w:rsidP="00FC7BF6">
            <w:pPr>
              <w:autoSpaceDE w:val="0"/>
              <w:autoSpaceDN w:val="0"/>
              <w:adjustRightInd w:val="0"/>
              <w:spacing w:line="480" w:lineRule="auto"/>
              <w:rPr>
                <w:sz w:val="22"/>
                <w:szCs w:val="22"/>
              </w:rPr>
            </w:pPr>
            <w:r w:rsidRPr="008573C5">
              <w:rPr>
                <w:sz w:val="22"/>
                <w:szCs w:val="22"/>
              </w:rPr>
              <w:t>(0.371)</w:t>
            </w:r>
          </w:p>
          <w:p w:rsidR="00400F28" w:rsidRPr="008573C5" w:rsidRDefault="00400F28" w:rsidP="00C72004">
            <w:pPr>
              <w:autoSpaceDE w:val="0"/>
              <w:autoSpaceDN w:val="0"/>
              <w:adjustRightInd w:val="0"/>
              <w:spacing w:line="480" w:lineRule="auto"/>
              <w:rPr>
                <w:sz w:val="22"/>
                <w:szCs w:val="22"/>
              </w:rPr>
            </w:pPr>
            <w:r w:rsidRPr="008573C5">
              <w:rPr>
                <w:sz w:val="22"/>
                <w:szCs w:val="22"/>
              </w:rPr>
              <w:t>(5.312)</w:t>
            </w:r>
          </w:p>
          <w:p w:rsidR="00400F28" w:rsidRPr="008573C5" w:rsidRDefault="00400F28" w:rsidP="00C72004">
            <w:pPr>
              <w:autoSpaceDE w:val="0"/>
              <w:autoSpaceDN w:val="0"/>
              <w:adjustRightInd w:val="0"/>
              <w:spacing w:line="480" w:lineRule="auto"/>
              <w:rPr>
                <w:sz w:val="22"/>
                <w:szCs w:val="22"/>
              </w:rPr>
            </w:pPr>
            <w:r w:rsidRPr="008573C5">
              <w:rPr>
                <w:sz w:val="22"/>
                <w:szCs w:val="22"/>
              </w:rPr>
              <w:t>(8.676)</w:t>
            </w:r>
          </w:p>
        </w:tc>
        <w:tc>
          <w:tcPr>
            <w:tcW w:w="1080" w:type="dxa"/>
            <w:gridSpan w:val="2"/>
          </w:tcPr>
          <w:p w:rsidR="00400F28" w:rsidRPr="008573C5" w:rsidRDefault="00400F28" w:rsidP="00FC7BF6">
            <w:pPr>
              <w:autoSpaceDE w:val="0"/>
              <w:autoSpaceDN w:val="0"/>
              <w:adjustRightInd w:val="0"/>
              <w:spacing w:line="480" w:lineRule="auto"/>
              <w:rPr>
                <w:sz w:val="22"/>
                <w:szCs w:val="22"/>
              </w:rPr>
            </w:pPr>
            <w:r w:rsidRPr="008573C5">
              <w:rPr>
                <w:sz w:val="22"/>
                <w:szCs w:val="22"/>
              </w:rPr>
              <w:t>0.000**</w:t>
            </w:r>
          </w:p>
          <w:p w:rsidR="00400F28" w:rsidRPr="008573C5" w:rsidRDefault="00400F28" w:rsidP="00FC7BF6">
            <w:pPr>
              <w:autoSpaceDE w:val="0"/>
              <w:autoSpaceDN w:val="0"/>
              <w:adjustRightInd w:val="0"/>
              <w:spacing w:line="480" w:lineRule="auto"/>
              <w:rPr>
                <w:sz w:val="22"/>
                <w:szCs w:val="22"/>
              </w:rPr>
            </w:pPr>
            <w:r w:rsidRPr="008573C5">
              <w:rPr>
                <w:sz w:val="22"/>
                <w:szCs w:val="22"/>
              </w:rPr>
              <w:t>-0.018</w:t>
            </w:r>
          </w:p>
          <w:p w:rsidR="00400F28" w:rsidRPr="008573C5" w:rsidRDefault="00400F28" w:rsidP="00FC7BF6">
            <w:pPr>
              <w:autoSpaceDE w:val="0"/>
              <w:autoSpaceDN w:val="0"/>
              <w:adjustRightInd w:val="0"/>
              <w:spacing w:line="480" w:lineRule="auto"/>
              <w:rPr>
                <w:sz w:val="22"/>
                <w:szCs w:val="22"/>
              </w:rPr>
            </w:pPr>
            <w:r w:rsidRPr="008573C5">
              <w:rPr>
                <w:sz w:val="22"/>
                <w:szCs w:val="22"/>
              </w:rPr>
              <w:t>-0.012**</w:t>
            </w:r>
          </w:p>
          <w:p w:rsidR="00400F28" w:rsidRPr="008573C5" w:rsidRDefault="00400F28" w:rsidP="00FC7BF6">
            <w:pPr>
              <w:autoSpaceDE w:val="0"/>
              <w:autoSpaceDN w:val="0"/>
              <w:adjustRightInd w:val="0"/>
              <w:spacing w:line="480" w:lineRule="auto"/>
              <w:rPr>
                <w:sz w:val="22"/>
                <w:szCs w:val="22"/>
              </w:rPr>
            </w:pPr>
            <w:r w:rsidRPr="008573C5">
              <w:rPr>
                <w:sz w:val="22"/>
                <w:szCs w:val="22"/>
              </w:rPr>
              <w:t>0.002</w:t>
            </w:r>
          </w:p>
          <w:p w:rsidR="00400F28" w:rsidRPr="008573C5" w:rsidRDefault="00400F28" w:rsidP="00FC7BF6">
            <w:pPr>
              <w:autoSpaceDE w:val="0"/>
              <w:autoSpaceDN w:val="0"/>
              <w:adjustRightInd w:val="0"/>
              <w:spacing w:line="480" w:lineRule="auto"/>
              <w:rPr>
                <w:sz w:val="22"/>
                <w:szCs w:val="22"/>
              </w:rPr>
            </w:pPr>
            <w:r w:rsidRPr="008573C5">
              <w:rPr>
                <w:sz w:val="22"/>
                <w:szCs w:val="22"/>
              </w:rPr>
              <w:t>0.019*</w:t>
            </w:r>
          </w:p>
          <w:p w:rsidR="00400F28" w:rsidRPr="008573C5" w:rsidRDefault="00400F28" w:rsidP="00FC7BF6">
            <w:pPr>
              <w:autoSpaceDE w:val="0"/>
              <w:autoSpaceDN w:val="0"/>
              <w:adjustRightInd w:val="0"/>
              <w:spacing w:line="480" w:lineRule="auto"/>
              <w:rPr>
                <w:sz w:val="22"/>
                <w:szCs w:val="22"/>
              </w:rPr>
            </w:pPr>
            <w:r w:rsidRPr="008573C5">
              <w:rPr>
                <w:sz w:val="22"/>
                <w:szCs w:val="22"/>
              </w:rPr>
              <w:t>-0.037</w:t>
            </w:r>
          </w:p>
          <w:p w:rsidR="00400F28" w:rsidRPr="008573C5" w:rsidRDefault="00400F28" w:rsidP="00FC7BF6">
            <w:pPr>
              <w:autoSpaceDE w:val="0"/>
              <w:autoSpaceDN w:val="0"/>
              <w:adjustRightInd w:val="0"/>
              <w:spacing w:line="480" w:lineRule="auto"/>
              <w:rPr>
                <w:sz w:val="22"/>
                <w:szCs w:val="22"/>
              </w:rPr>
            </w:pPr>
            <w:r w:rsidRPr="008573C5">
              <w:rPr>
                <w:sz w:val="22"/>
                <w:szCs w:val="22"/>
              </w:rPr>
              <w:t>0.061</w:t>
            </w:r>
          </w:p>
          <w:p w:rsidR="00400F28" w:rsidRPr="008573C5" w:rsidRDefault="00400F28" w:rsidP="00FC7BF6">
            <w:pPr>
              <w:autoSpaceDE w:val="0"/>
              <w:autoSpaceDN w:val="0"/>
              <w:adjustRightInd w:val="0"/>
              <w:spacing w:line="480" w:lineRule="auto"/>
              <w:rPr>
                <w:sz w:val="22"/>
                <w:szCs w:val="22"/>
              </w:rPr>
            </w:pPr>
            <w:r w:rsidRPr="008573C5">
              <w:rPr>
                <w:sz w:val="22"/>
                <w:szCs w:val="22"/>
              </w:rPr>
              <w:t>0.342***</w:t>
            </w:r>
          </w:p>
        </w:tc>
        <w:tc>
          <w:tcPr>
            <w:tcW w:w="900" w:type="dxa"/>
          </w:tcPr>
          <w:p w:rsidR="00400F28" w:rsidRPr="008573C5" w:rsidRDefault="00400F28" w:rsidP="00FC7BF6">
            <w:pPr>
              <w:autoSpaceDE w:val="0"/>
              <w:autoSpaceDN w:val="0"/>
              <w:adjustRightInd w:val="0"/>
              <w:spacing w:line="480" w:lineRule="auto"/>
              <w:rPr>
                <w:sz w:val="22"/>
                <w:szCs w:val="22"/>
              </w:rPr>
            </w:pPr>
            <w:r w:rsidRPr="008573C5">
              <w:rPr>
                <w:sz w:val="22"/>
                <w:szCs w:val="22"/>
              </w:rPr>
              <w:t>(2.591)</w:t>
            </w:r>
          </w:p>
          <w:p w:rsidR="00400F28" w:rsidRPr="008573C5" w:rsidRDefault="00400F28" w:rsidP="00FC7BF6">
            <w:pPr>
              <w:autoSpaceDE w:val="0"/>
              <w:autoSpaceDN w:val="0"/>
              <w:adjustRightInd w:val="0"/>
              <w:spacing w:line="480" w:lineRule="auto"/>
              <w:rPr>
                <w:sz w:val="22"/>
                <w:szCs w:val="22"/>
              </w:rPr>
            </w:pPr>
            <w:r w:rsidRPr="008573C5">
              <w:rPr>
                <w:sz w:val="22"/>
                <w:szCs w:val="22"/>
              </w:rPr>
              <w:t>(0.269)</w:t>
            </w:r>
          </w:p>
          <w:p w:rsidR="00400F28" w:rsidRPr="008573C5" w:rsidRDefault="00400F28" w:rsidP="00FC7BF6">
            <w:pPr>
              <w:autoSpaceDE w:val="0"/>
              <w:autoSpaceDN w:val="0"/>
              <w:adjustRightInd w:val="0"/>
              <w:spacing w:line="480" w:lineRule="auto"/>
              <w:rPr>
                <w:sz w:val="22"/>
                <w:szCs w:val="22"/>
              </w:rPr>
            </w:pPr>
            <w:r w:rsidRPr="008573C5">
              <w:rPr>
                <w:sz w:val="22"/>
                <w:szCs w:val="22"/>
              </w:rPr>
              <w:t>(2.574)</w:t>
            </w:r>
          </w:p>
          <w:p w:rsidR="00400F28" w:rsidRPr="008573C5" w:rsidRDefault="00400F28" w:rsidP="00FC7BF6">
            <w:pPr>
              <w:autoSpaceDE w:val="0"/>
              <w:autoSpaceDN w:val="0"/>
              <w:adjustRightInd w:val="0"/>
              <w:spacing w:line="480" w:lineRule="auto"/>
              <w:rPr>
                <w:sz w:val="22"/>
                <w:szCs w:val="22"/>
              </w:rPr>
            </w:pPr>
            <w:r w:rsidRPr="008573C5">
              <w:rPr>
                <w:sz w:val="22"/>
                <w:szCs w:val="22"/>
              </w:rPr>
              <w:t>(1.525)</w:t>
            </w:r>
          </w:p>
          <w:p w:rsidR="00400F28" w:rsidRPr="008573C5" w:rsidRDefault="00400F28" w:rsidP="00FC7BF6">
            <w:pPr>
              <w:autoSpaceDE w:val="0"/>
              <w:autoSpaceDN w:val="0"/>
              <w:adjustRightInd w:val="0"/>
              <w:spacing w:line="480" w:lineRule="auto"/>
              <w:rPr>
                <w:sz w:val="22"/>
                <w:szCs w:val="22"/>
              </w:rPr>
            </w:pPr>
            <w:r w:rsidRPr="008573C5">
              <w:rPr>
                <w:sz w:val="22"/>
                <w:szCs w:val="22"/>
              </w:rPr>
              <w:t>(1.884)</w:t>
            </w:r>
          </w:p>
          <w:p w:rsidR="00400F28" w:rsidRPr="008573C5" w:rsidRDefault="00400F28" w:rsidP="00FC7BF6">
            <w:pPr>
              <w:autoSpaceDE w:val="0"/>
              <w:autoSpaceDN w:val="0"/>
              <w:adjustRightInd w:val="0"/>
              <w:spacing w:line="480" w:lineRule="auto"/>
              <w:rPr>
                <w:sz w:val="22"/>
                <w:szCs w:val="22"/>
              </w:rPr>
            </w:pPr>
            <w:r w:rsidRPr="008573C5">
              <w:rPr>
                <w:sz w:val="22"/>
                <w:szCs w:val="22"/>
              </w:rPr>
              <w:t>(0.752)</w:t>
            </w:r>
          </w:p>
          <w:p w:rsidR="00400F28" w:rsidRPr="008573C5" w:rsidRDefault="00400F28" w:rsidP="00FC7BF6">
            <w:pPr>
              <w:autoSpaceDE w:val="0"/>
              <w:autoSpaceDN w:val="0"/>
              <w:adjustRightInd w:val="0"/>
              <w:spacing w:line="480" w:lineRule="auto"/>
              <w:rPr>
                <w:sz w:val="22"/>
                <w:szCs w:val="22"/>
              </w:rPr>
            </w:pPr>
            <w:r w:rsidRPr="008573C5">
              <w:rPr>
                <w:sz w:val="22"/>
                <w:szCs w:val="22"/>
              </w:rPr>
              <w:t>(1.510)</w:t>
            </w:r>
          </w:p>
          <w:p w:rsidR="00400F28" w:rsidRPr="008573C5" w:rsidRDefault="00400F28" w:rsidP="00FC7BF6">
            <w:pPr>
              <w:autoSpaceDE w:val="0"/>
              <w:autoSpaceDN w:val="0"/>
              <w:adjustRightInd w:val="0"/>
              <w:spacing w:line="480" w:lineRule="auto"/>
              <w:rPr>
                <w:sz w:val="22"/>
                <w:szCs w:val="22"/>
              </w:rPr>
            </w:pPr>
            <w:r w:rsidRPr="008573C5">
              <w:rPr>
                <w:sz w:val="22"/>
                <w:szCs w:val="22"/>
              </w:rPr>
              <w:t>(4.554)</w:t>
            </w:r>
          </w:p>
        </w:tc>
      </w:tr>
      <w:tr w:rsidR="00400F28" w:rsidRPr="008573C5" w:rsidTr="00400F28">
        <w:tc>
          <w:tcPr>
            <w:tcW w:w="1440" w:type="dxa"/>
          </w:tcPr>
          <w:p w:rsidR="00400F28" w:rsidRPr="008573C5" w:rsidRDefault="00400F28" w:rsidP="00FC7BF6">
            <w:pPr>
              <w:autoSpaceDE w:val="0"/>
              <w:autoSpaceDN w:val="0"/>
              <w:adjustRightInd w:val="0"/>
              <w:spacing w:line="480" w:lineRule="auto"/>
              <w:rPr>
                <w:b/>
                <w:sz w:val="22"/>
                <w:szCs w:val="22"/>
              </w:rPr>
            </w:pPr>
            <w:r w:rsidRPr="008573C5">
              <w:rPr>
                <w:b/>
                <w:sz w:val="22"/>
                <w:szCs w:val="22"/>
              </w:rPr>
              <w:t>Number of cases</w:t>
            </w:r>
          </w:p>
        </w:tc>
        <w:tc>
          <w:tcPr>
            <w:tcW w:w="1260" w:type="dxa"/>
          </w:tcPr>
          <w:p w:rsidR="00400F28" w:rsidRPr="008573C5" w:rsidRDefault="00400F28" w:rsidP="00FC7BF6">
            <w:pPr>
              <w:autoSpaceDE w:val="0"/>
              <w:autoSpaceDN w:val="0"/>
              <w:adjustRightInd w:val="0"/>
              <w:spacing w:line="480" w:lineRule="auto"/>
              <w:rPr>
                <w:b/>
                <w:sz w:val="22"/>
                <w:szCs w:val="22"/>
              </w:rPr>
            </w:pPr>
            <w:r w:rsidRPr="008573C5">
              <w:rPr>
                <w:b/>
                <w:sz w:val="22"/>
                <w:szCs w:val="22"/>
              </w:rPr>
              <w:t>70</w:t>
            </w:r>
          </w:p>
        </w:tc>
        <w:tc>
          <w:tcPr>
            <w:tcW w:w="990" w:type="dxa"/>
          </w:tcPr>
          <w:p w:rsidR="00400F28" w:rsidRPr="008573C5" w:rsidRDefault="00400F28" w:rsidP="00FC7BF6">
            <w:pPr>
              <w:autoSpaceDE w:val="0"/>
              <w:autoSpaceDN w:val="0"/>
              <w:adjustRightInd w:val="0"/>
              <w:spacing w:line="480" w:lineRule="auto"/>
              <w:rPr>
                <w:b/>
                <w:sz w:val="22"/>
                <w:szCs w:val="22"/>
              </w:rPr>
            </w:pPr>
          </w:p>
        </w:tc>
        <w:tc>
          <w:tcPr>
            <w:tcW w:w="1440" w:type="dxa"/>
            <w:gridSpan w:val="2"/>
          </w:tcPr>
          <w:p w:rsidR="00400F28" w:rsidRPr="008573C5" w:rsidRDefault="00400F28" w:rsidP="00FC7BF6">
            <w:pPr>
              <w:autoSpaceDE w:val="0"/>
              <w:autoSpaceDN w:val="0"/>
              <w:adjustRightInd w:val="0"/>
              <w:spacing w:line="480" w:lineRule="auto"/>
              <w:rPr>
                <w:b/>
                <w:sz w:val="22"/>
                <w:szCs w:val="22"/>
              </w:rPr>
            </w:pPr>
            <w:r w:rsidRPr="008573C5">
              <w:rPr>
                <w:b/>
                <w:sz w:val="22"/>
                <w:szCs w:val="22"/>
              </w:rPr>
              <w:t>70</w:t>
            </w:r>
          </w:p>
        </w:tc>
        <w:tc>
          <w:tcPr>
            <w:tcW w:w="900" w:type="dxa"/>
          </w:tcPr>
          <w:p w:rsidR="00400F28" w:rsidRPr="008573C5" w:rsidRDefault="00400F28" w:rsidP="00FC7BF6">
            <w:pPr>
              <w:autoSpaceDE w:val="0"/>
              <w:autoSpaceDN w:val="0"/>
              <w:adjustRightInd w:val="0"/>
              <w:spacing w:line="480" w:lineRule="auto"/>
              <w:rPr>
                <w:b/>
                <w:sz w:val="22"/>
                <w:szCs w:val="22"/>
              </w:rPr>
            </w:pPr>
          </w:p>
        </w:tc>
        <w:tc>
          <w:tcPr>
            <w:tcW w:w="1080" w:type="dxa"/>
          </w:tcPr>
          <w:p w:rsidR="00400F28" w:rsidRPr="008573C5" w:rsidRDefault="00400F28" w:rsidP="00FC7BF6">
            <w:pPr>
              <w:autoSpaceDE w:val="0"/>
              <w:autoSpaceDN w:val="0"/>
              <w:adjustRightInd w:val="0"/>
              <w:spacing w:line="480" w:lineRule="auto"/>
              <w:rPr>
                <w:b/>
                <w:sz w:val="22"/>
                <w:szCs w:val="22"/>
              </w:rPr>
            </w:pPr>
            <w:r w:rsidRPr="008573C5">
              <w:rPr>
                <w:b/>
                <w:sz w:val="22"/>
                <w:szCs w:val="22"/>
              </w:rPr>
              <w:t>70</w:t>
            </w:r>
          </w:p>
        </w:tc>
        <w:tc>
          <w:tcPr>
            <w:tcW w:w="1080" w:type="dxa"/>
            <w:gridSpan w:val="3"/>
          </w:tcPr>
          <w:p w:rsidR="00400F28" w:rsidRPr="008573C5" w:rsidRDefault="00400F28" w:rsidP="00FC7BF6">
            <w:pPr>
              <w:autoSpaceDE w:val="0"/>
              <w:autoSpaceDN w:val="0"/>
              <w:adjustRightInd w:val="0"/>
              <w:spacing w:line="480" w:lineRule="auto"/>
              <w:rPr>
                <w:b/>
                <w:sz w:val="22"/>
                <w:szCs w:val="22"/>
              </w:rPr>
            </w:pPr>
          </w:p>
        </w:tc>
        <w:tc>
          <w:tcPr>
            <w:tcW w:w="1080" w:type="dxa"/>
            <w:gridSpan w:val="2"/>
          </w:tcPr>
          <w:p w:rsidR="00400F28" w:rsidRPr="008573C5" w:rsidRDefault="00400F28" w:rsidP="00FC7BF6">
            <w:pPr>
              <w:autoSpaceDE w:val="0"/>
              <w:autoSpaceDN w:val="0"/>
              <w:adjustRightInd w:val="0"/>
              <w:spacing w:line="480" w:lineRule="auto"/>
              <w:rPr>
                <w:b/>
                <w:sz w:val="22"/>
                <w:szCs w:val="22"/>
              </w:rPr>
            </w:pPr>
            <w:r w:rsidRPr="008573C5">
              <w:rPr>
                <w:b/>
                <w:sz w:val="22"/>
                <w:szCs w:val="22"/>
              </w:rPr>
              <w:t>70</w:t>
            </w:r>
          </w:p>
        </w:tc>
        <w:tc>
          <w:tcPr>
            <w:tcW w:w="900" w:type="dxa"/>
          </w:tcPr>
          <w:p w:rsidR="00400F28" w:rsidRPr="008573C5" w:rsidRDefault="00400F28" w:rsidP="00FC7BF6">
            <w:pPr>
              <w:autoSpaceDE w:val="0"/>
              <w:autoSpaceDN w:val="0"/>
              <w:adjustRightInd w:val="0"/>
              <w:spacing w:line="480" w:lineRule="auto"/>
              <w:rPr>
                <w:b/>
                <w:sz w:val="22"/>
                <w:szCs w:val="22"/>
              </w:rPr>
            </w:pPr>
          </w:p>
        </w:tc>
      </w:tr>
      <w:tr w:rsidR="00400F28" w:rsidRPr="008573C5" w:rsidTr="00400F28">
        <w:tc>
          <w:tcPr>
            <w:tcW w:w="1440" w:type="dxa"/>
          </w:tcPr>
          <w:p w:rsidR="00400F28" w:rsidRPr="008573C5" w:rsidRDefault="00400F28" w:rsidP="00FC7BF6">
            <w:pPr>
              <w:autoSpaceDE w:val="0"/>
              <w:autoSpaceDN w:val="0"/>
              <w:adjustRightInd w:val="0"/>
              <w:spacing w:line="480" w:lineRule="auto"/>
              <w:jc w:val="both"/>
              <w:rPr>
                <w:b/>
                <w:sz w:val="22"/>
                <w:szCs w:val="22"/>
                <w:vertAlign w:val="superscript"/>
              </w:rPr>
            </w:pPr>
            <w:r w:rsidRPr="008573C5">
              <w:rPr>
                <w:b/>
                <w:sz w:val="22"/>
                <w:szCs w:val="22"/>
              </w:rPr>
              <w:t>R</w:t>
            </w:r>
            <w:r w:rsidRPr="008573C5">
              <w:rPr>
                <w:b/>
                <w:sz w:val="22"/>
                <w:szCs w:val="22"/>
                <w:vertAlign w:val="superscript"/>
              </w:rPr>
              <w:t>2</w:t>
            </w:r>
          </w:p>
        </w:tc>
        <w:tc>
          <w:tcPr>
            <w:tcW w:w="1260" w:type="dxa"/>
          </w:tcPr>
          <w:p w:rsidR="00400F28" w:rsidRPr="008573C5" w:rsidRDefault="00400F28" w:rsidP="00FC7BF6">
            <w:pPr>
              <w:autoSpaceDE w:val="0"/>
              <w:autoSpaceDN w:val="0"/>
              <w:adjustRightInd w:val="0"/>
              <w:spacing w:line="480" w:lineRule="auto"/>
              <w:rPr>
                <w:b/>
                <w:sz w:val="22"/>
                <w:szCs w:val="22"/>
              </w:rPr>
            </w:pPr>
            <w:r w:rsidRPr="008573C5">
              <w:rPr>
                <w:b/>
                <w:sz w:val="22"/>
                <w:szCs w:val="22"/>
              </w:rPr>
              <w:t>0.533</w:t>
            </w:r>
          </w:p>
        </w:tc>
        <w:tc>
          <w:tcPr>
            <w:tcW w:w="990" w:type="dxa"/>
          </w:tcPr>
          <w:p w:rsidR="00400F28" w:rsidRPr="008573C5" w:rsidRDefault="00400F28" w:rsidP="00FC7BF6">
            <w:pPr>
              <w:autoSpaceDE w:val="0"/>
              <w:autoSpaceDN w:val="0"/>
              <w:adjustRightInd w:val="0"/>
              <w:spacing w:line="480" w:lineRule="auto"/>
              <w:rPr>
                <w:b/>
                <w:sz w:val="22"/>
                <w:szCs w:val="22"/>
              </w:rPr>
            </w:pPr>
          </w:p>
        </w:tc>
        <w:tc>
          <w:tcPr>
            <w:tcW w:w="1440" w:type="dxa"/>
            <w:gridSpan w:val="2"/>
          </w:tcPr>
          <w:p w:rsidR="00400F28" w:rsidRPr="008573C5" w:rsidRDefault="00400F28" w:rsidP="00FC7BF6">
            <w:pPr>
              <w:autoSpaceDE w:val="0"/>
              <w:autoSpaceDN w:val="0"/>
              <w:adjustRightInd w:val="0"/>
              <w:spacing w:line="480" w:lineRule="auto"/>
              <w:rPr>
                <w:b/>
                <w:sz w:val="22"/>
                <w:szCs w:val="22"/>
              </w:rPr>
            </w:pPr>
            <w:r w:rsidRPr="008573C5">
              <w:rPr>
                <w:b/>
                <w:sz w:val="22"/>
                <w:szCs w:val="22"/>
              </w:rPr>
              <w:t>0.528</w:t>
            </w:r>
          </w:p>
        </w:tc>
        <w:tc>
          <w:tcPr>
            <w:tcW w:w="900" w:type="dxa"/>
          </w:tcPr>
          <w:p w:rsidR="00400F28" w:rsidRPr="008573C5" w:rsidRDefault="00400F28" w:rsidP="00FC7BF6">
            <w:pPr>
              <w:autoSpaceDE w:val="0"/>
              <w:autoSpaceDN w:val="0"/>
              <w:adjustRightInd w:val="0"/>
              <w:spacing w:line="480" w:lineRule="auto"/>
              <w:rPr>
                <w:b/>
                <w:sz w:val="22"/>
                <w:szCs w:val="22"/>
              </w:rPr>
            </w:pPr>
          </w:p>
        </w:tc>
        <w:tc>
          <w:tcPr>
            <w:tcW w:w="1080" w:type="dxa"/>
          </w:tcPr>
          <w:p w:rsidR="00400F28" w:rsidRPr="008573C5" w:rsidRDefault="00400F28" w:rsidP="00FC7BF6">
            <w:pPr>
              <w:autoSpaceDE w:val="0"/>
              <w:autoSpaceDN w:val="0"/>
              <w:adjustRightInd w:val="0"/>
              <w:spacing w:line="480" w:lineRule="auto"/>
              <w:rPr>
                <w:b/>
                <w:sz w:val="22"/>
                <w:szCs w:val="22"/>
              </w:rPr>
            </w:pPr>
            <w:r w:rsidRPr="008573C5">
              <w:rPr>
                <w:b/>
                <w:sz w:val="22"/>
                <w:szCs w:val="22"/>
              </w:rPr>
              <w:t>0.529</w:t>
            </w:r>
          </w:p>
        </w:tc>
        <w:tc>
          <w:tcPr>
            <w:tcW w:w="1080" w:type="dxa"/>
            <w:gridSpan w:val="3"/>
          </w:tcPr>
          <w:p w:rsidR="00400F28" w:rsidRPr="008573C5" w:rsidRDefault="00400F28" w:rsidP="00FC7BF6">
            <w:pPr>
              <w:autoSpaceDE w:val="0"/>
              <w:autoSpaceDN w:val="0"/>
              <w:adjustRightInd w:val="0"/>
              <w:spacing w:line="480" w:lineRule="auto"/>
              <w:rPr>
                <w:b/>
                <w:sz w:val="22"/>
                <w:szCs w:val="22"/>
              </w:rPr>
            </w:pPr>
          </w:p>
        </w:tc>
        <w:tc>
          <w:tcPr>
            <w:tcW w:w="1080" w:type="dxa"/>
            <w:gridSpan w:val="2"/>
          </w:tcPr>
          <w:p w:rsidR="00400F28" w:rsidRPr="008573C5" w:rsidRDefault="00400F28" w:rsidP="00FC7BF6">
            <w:pPr>
              <w:autoSpaceDE w:val="0"/>
              <w:autoSpaceDN w:val="0"/>
              <w:adjustRightInd w:val="0"/>
              <w:spacing w:line="480" w:lineRule="auto"/>
              <w:rPr>
                <w:b/>
                <w:sz w:val="22"/>
                <w:szCs w:val="22"/>
              </w:rPr>
            </w:pPr>
            <w:r w:rsidRPr="008573C5">
              <w:rPr>
                <w:b/>
                <w:sz w:val="22"/>
                <w:szCs w:val="22"/>
              </w:rPr>
              <w:t>0.311</w:t>
            </w:r>
          </w:p>
        </w:tc>
        <w:tc>
          <w:tcPr>
            <w:tcW w:w="900" w:type="dxa"/>
          </w:tcPr>
          <w:p w:rsidR="00400F28" w:rsidRPr="008573C5" w:rsidRDefault="00400F28" w:rsidP="00FC7BF6">
            <w:pPr>
              <w:autoSpaceDE w:val="0"/>
              <w:autoSpaceDN w:val="0"/>
              <w:adjustRightInd w:val="0"/>
              <w:spacing w:line="480" w:lineRule="auto"/>
              <w:rPr>
                <w:b/>
                <w:sz w:val="22"/>
                <w:szCs w:val="22"/>
              </w:rPr>
            </w:pPr>
          </w:p>
        </w:tc>
      </w:tr>
      <w:tr w:rsidR="00400F28" w:rsidRPr="008573C5" w:rsidTr="00400F28">
        <w:trPr>
          <w:trHeight w:val="70"/>
        </w:trPr>
        <w:tc>
          <w:tcPr>
            <w:tcW w:w="1440" w:type="dxa"/>
          </w:tcPr>
          <w:p w:rsidR="00400F28" w:rsidRPr="008573C5" w:rsidRDefault="00400F28" w:rsidP="00FC7BF6">
            <w:pPr>
              <w:autoSpaceDE w:val="0"/>
              <w:autoSpaceDN w:val="0"/>
              <w:adjustRightInd w:val="0"/>
              <w:spacing w:line="480" w:lineRule="auto"/>
              <w:jc w:val="both"/>
              <w:rPr>
                <w:b/>
                <w:sz w:val="22"/>
                <w:szCs w:val="22"/>
                <w:vertAlign w:val="superscript"/>
              </w:rPr>
            </w:pPr>
            <w:r w:rsidRPr="008573C5">
              <w:rPr>
                <w:b/>
                <w:sz w:val="22"/>
                <w:szCs w:val="22"/>
              </w:rPr>
              <w:t>Adjusted R</w:t>
            </w:r>
            <w:r w:rsidRPr="008573C5">
              <w:rPr>
                <w:b/>
                <w:sz w:val="22"/>
                <w:szCs w:val="22"/>
                <w:vertAlign w:val="superscript"/>
              </w:rPr>
              <w:t>2</w:t>
            </w:r>
          </w:p>
        </w:tc>
        <w:tc>
          <w:tcPr>
            <w:tcW w:w="1260" w:type="dxa"/>
          </w:tcPr>
          <w:p w:rsidR="00400F28" w:rsidRPr="008573C5" w:rsidRDefault="00400F28" w:rsidP="00FC7BF6">
            <w:pPr>
              <w:autoSpaceDE w:val="0"/>
              <w:autoSpaceDN w:val="0"/>
              <w:adjustRightInd w:val="0"/>
              <w:spacing w:line="480" w:lineRule="auto"/>
              <w:rPr>
                <w:b/>
                <w:sz w:val="22"/>
                <w:szCs w:val="22"/>
              </w:rPr>
            </w:pPr>
            <w:r w:rsidRPr="008573C5">
              <w:rPr>
                <w:b/>
                <w:sz w:val="22"/>
                <w:szCs w:val="22"/>
              </w:rPr>
              <w:t>0.481</w:t>
            </w:r>
          </w:p>
        </w:tc>
        <w:tc>
          <w:tcPr>
            <w:tcW w:w="990" w:type="dxa"/>
          </w:tcPr>
          <w:p w:rsidR="00400F28" w:rsidRPr="008573C5" w:rsidRDefault="00400F28" w:rsidP="00FC7BF6">
            <w:pPr>
              <w:autoSpaceDE w:val="0"/>
              <w:autoSpaceDN w:val="0"/>
              <w:adjustRightInd w:val="0"/>
              <w:spacing w:line="480" w:lineRule="auto"/>
              <w:rPr>
                <w:b/>
                <w:sz w:val="22"/>
                <w:szCs w:val="22"/>
              </w:rPr>
            </w:pPr>
          </w:p>
        </w:tc>
        <w:tc>
          <w:tcPr>
            <w:tcW w:w="1440" w:type="dxa"/>
            <w:gridSpan w:val="2"/>
          </w:tcPr>
          <w:p w:rsidR="00400F28" w:rsidRPr="008573C5" w:rsidRDefault="00400F28" w:rsidP="00FC7BF6">
            <w:pPr>
              <w:autoSpaceDE w:val="0"/>
              <w:autoSpaceDN w:val="0"/>
              <w:adjustRightInd w:val="0"/>
              <w:spacing w:line="480" w:lineRule="auto"/>
              <w:rPr>
                <w:b/>
                <w:sz w:val="22"/>
                <w:szCs w:val="22"/>
              </w:rPr>
            </w:pPr>
            <w:r w:rsidRPr="008573C5">
              <w:rPr>
                <w:b/>
                <w:sz w:val="22"/>
                <w:szCs w:val="22"/>
              </w:rPr>
              <w:t>0.475</w:t>
            </w:r>
          </w:p>
        </w:tc>
        <w:tc>
          <w:tcPr>
            <w:tcW w:w="900" w:type="dxa"/>
          </w:tcPr>
          <w:p w:rsidR="00400F28" w:rsidRPr="008573C5" w:rsidRDefault="00400F28" w:rsidP="00FC7BF6">
            <w:pPr>
              <w:autoSpaceDE w:val="0"/>
              <w:autoSpaceDN w:val="0"/>
              <w:adjustRightInd w:val="0"/>
              <w:spacing w:line="480" w:lineRule="auto"/>
              <w:rPr>
                <w:b/>
                <w:sz w:val="22"/>
                <w:szCs w:val="22"/>
              </w:rPr>
            </w:pPr>
          </w:p>
        </w:tc>
        <w:tc>
          <w:tcPr>
            <w:tcW w:w="1080" w:type="dxa"/>
          </w:tcPr>
          <w:p w:rsidR="00400F28" w:rsidRPr="008573C5" w:rsidRDefault="00400F28" w:rsidP="00FC7BF6">
            <w:pPr>
              <w:autoSpaceDE w:val="0"/>
              <w:autoSpaceDN w:val="0"/>
              <w:adjustRightInd w:val="0"/>
              <w:spacing w:line="480" w:lineRule="auto"/>
              <w:rPr>
                <w:b/>
                <w:sz w:val="22"/>
                <w:szCs w:val="22"/>
              </w:rPr>
            </w:pPr>
            <w:r w:rsidRPr="008573C5">
              <w:rPr>
                <w:b/>
                <w:sz w:val="22"/>
                <w:szCs w:val="22"/>
              </w:rPr>
              <w:t>0.476</w:t>
            </w:r>
          </w:p>
        </w:tc>
        <w:tc>
          <w:tcPr>
            <w:tcW w:w="1080" w:type="dxa"/>
            <w:gridSpan w:val="3"/>
          </w:tcPr>
          <w:p w:rsidR="00400F28" w:rsidRPr="008573C5" w:rsidRDefault="00400F28" w:rsidP="00FC7BF6">
            <w:pPr>
              <w:autoSpaceDE w:val="0"/>
              <w:autoSpaceDN w:val="0"/>
              <w:adjustRightInd w:val="0"/>
              <w:spacing w:line="480" w:lineRule="auto"/>
              <w:rPr>
                <w:b/>
                <w:sz w:val="22"/>
                <w:szCs w:val="22"/>
              </w:rPr>
            </w:pPr>
          </w:p>
        </w:tc>
        <w:tc>
          <w:tcPr>
            <w:tcW w:w="1080" w:type="dxa"/>
            <w:gridSpan w:val="2"/>
          </w:tcPr>
          <w:p w:rsidR="00400F28" w:rsidRPr="008573C5" w:rsidRDefault="00400F28" w:rsidP="00FC7BF6">
            <w:pPr>
              <w:autoSpaceDE w:val="0"/>
              <w:autoSpaceDN w:val="0"/>
              <w:adjustRightInd w:val="0"/>
              <w:spacing w:line="480" w:lineRule="auto"/>
              <w:rPr>
                <w:b/>
                <w:sz w:val="22"/>
                <w:szCs w:val="22"/>
              </w:rPr>
            </w:pPr>
            <w:r w:rsidRPr="008573C5">
              <w:rPr>
                <w:b/>
                <w:sz w:val="22"/>
                <w:szCs w:val="22"/>
              </w:rPr>
              <w:t>0.234</w:t>
            </w:r>
          </w:p>
        </w:tc>
        <w:tc>
          <w:tcPr>
            <w:tcW w:w="900" w:type="dxa"/>
          </w:tcPr>
          <w:p w:rsidR="00400F28" w:rsidRPr="008573C5" w:rsidRDefault="00400F28" w:rsidP="00FC7BF6">
            <w:pPr>
              <w:autoSpaceDE w:val="0"/>
              <w:autoSpaceDN w:val="0"/>
              <w:adjustRightInd w:val="0"/>
              <w:spacing w:line="480" w:lineRule="auto"/>
              <w:rPr>
                <w:b/>
                <w:sz w:val="22"/>
                <w:szCs w:val="22"/>
              </w:rPr>
            </w:pPr>
          </w:p>
        </w:tc>
      </w:tr>
      <w:tr w:rsidR="00400F28" w:rsidRPr="008573C5" w:rsidTr="00400F28">
        <w:tc>
          <w:tcPr>
            <w:tcW w:w="1440" w:type="dxa"/>
          </w:tcPr>
          <w:p w:rsidR="00400F28" w:rsidRPr="008573C5" w:rsidRDefault="00400F28" w:rsidP="00FC7BF6">
            <w:pPr>
              <w:autoSpaceDE w:val="0"/>
              <w:autoSpaceDN w:val="0"/>
              <w:adjustRightInd w:val="0"/>
              <w:spacing w:line="480" w:lineRule="auto"/>
              <w:jc w:val="both"/>
              <w:rPr>
                <w:b/>
                <w:sz w:val="22"/>
                <w:szCs w:val="22"/>
              </w:rPr>
            </w:pPr>
            <w:r w:rsidRPr="008573C5">
              <w:rPr>
                <w:b/>
                <w:sz w:val="22"/>
                <w:szCs w:val="22"/>
              </w:rPr>
              <w:t>F</w:t>
            </w:r>
            <w:r w:rsidR="00B57843" w:rsidRPr="008573C5">
              <w:rPr>
                <w:b/>
                <w:sz w:val="22"/>
                <w:szCs w:val="22"/>
              </w:rPr>
              <w:t>- Statistics</w:t>
            </w:r>
          </w:p>
        </w:tc>
        <w:tc>
          <w:tcPr>
            <w:tcW w:w="1260" w:type="dxa"/>
          </w:tcPr>
          <w:p w:rsidR="00400F28" w:rsidRPr="008573C5" w:rsidRDefault="00400F28" w:rsidP="00FC7BF6">
            <w:pPr>
              <w:autoSpaceDE w:val="0"/>
              <w:autoSpaceDN w:val="0"/>
              <w:adjustRightInd w:val="0"/>
              <w:spacing w:line="480" w:lineRule="auto"/>
              <w:rPr>
                <w:b/>
                <w:sz w:val="22"/>
                <w:szCs w:val="22"/>
              </w:rPr>
            </w:pPr>
            <w:r w:rsidRPr="008573C5">
              <w:rPr>
                <w:b/>
                <w:sz w:val="22"/>
                <w:szCs w:val="22"/>
              </w:rPr>
              <w:t>10.120</w:t>
            </w:r>
          </w:p>
        </w:tc>
        <w:tc>
          <w:tcPr>
            <w:tcW w:w="990" w:type="dxa"/>
          </w:tcPr>
          <w:p w:rsidR="00400F28" w:rsidRPr="008573C5" w:rsidRDefault="00400F28" w:rsidP="00FC7BF6">
            <w:pPr>
              <w:autoSpaceDE w:val="0"/>
              <w:autoSpaceDN w:val="0"/>
              <w:adjustRightInd w:val="0"/>
              <w:spacing w:line="480" w:lineRule="auto"/>
              <w:rPr>
                <w:b/>
                <w:sz w:val="22"/>
                <w:szCs w:val="22"/>
              </w:rPr>
            </w:pPr>
          </w:p>
        </w:tc>
        <w:tc>
          <w:tcPr>
            <w:tcW w:w="1440" w:type="dxa"/>
            <w:gridSpan w:val="2"/>
          </w:tcPr>
          <w:p w:rsidR="00400F28" w:rsidRPr="008573C5" w:rsidRDefault="00400F28" w:rsidP="00FC7BF6">
            <w:pPr>
              <w:autoSpaceDE w:val="0"/>
              <w:autoSpaceDN w:val="0"/>
              <w:adjustRightInd w:val="0"/>
              <w:spacing w:line="480" w:lineRule="auto"/>
              <w:rPr>
                <w:b/>
                <w:sz w:val="22"/>
                <w:szCs w:val="22"/>
              </w:rPr>
            </w:pPr>
            <w:r w:rsidRPr="008573C5">
              <w:rPr>
                <w:b/>
                <w:sz w:val="22"/>
                <w:szCs w:val="22"/>
              </w:rPr>
              <w:t>9.924</w:t>
            </w:r>
          </w:p>
        </w:tc>
        <w:tc>
          <w:tcPr>
            <w:tcW w:w="900" w:type="dxa"/>
          </w:tcPr>
          <w:p w:rsidR="00400F28" w:rsidRPr="008573C5" w:rsidRDefault="00400F28" w:rsidP="00FC7BF6">
            <w:pPr>
              <w:autoSpaceDE w:val="0"/>
              <w:autoSpaceDN w:val="0"/>
              <w:adjustRightInd w:val="0"/>
              <w:spacing w:line="480" w:lineRule="auto"/>
              <w:rPr>
                <w:b/>
                <w:sz w:val="22"/>
                <w:szCs w:val="22"/>
              </w:rPr>
            </w:pPr>
          </w:p>
        </w:tc>
        <w:tc>
          <w:tcPr>
            <w:tcW w:w="1080" w:type="dxa"/>
          </w:tcPr>
          <w:p w:rsidR="00400F28" w:rsidRPr="008573C5" w:rsidRDefault="00400F28" w:rsidP="00FC7BF6">
            <w:pPr>
              <w:autoSpaceDE w:val="0"/>
              <w:autoSpaceDN w:val="0"/>
              <w:adjustRightInd w:val="0"/>
              <w:spacing w:line="480" w:lineRule="auto"/>
              <w:rPr>
                <w:b/>
                <w:sz w:val="22"/>
                <w:szCs w:val="22"/>
              </w:rPr>
            </w:pPr>
            <w:r w:rsidRPr="008573C5">
              <w:rPr>
                <w:b/>
                <w:sz w:val="22"/>
                <w:szCs w:val="22"/>
              </w:rPr>
              <w:t>9.959</w:t>
            </w:r>
          </w:p>
        </w:tc>
        <w:tc>
          <w:tcPr>
            <w:tcW w:w="1080" w:type="dxa"/>
            <w:gridSpan w:val="3"/>
          </w:tcPr>
          <w:p w:rsidR="00400F28" w:rsidRPr="008573C5" w:rsidRDefault="00400F28" w:rsidP="00FC7BF6">
            <w:pPr>
              <w:autoSpaceDE w:val="0"/>
              <w:autoSpaceDN w:val="0"/>
              <w:adjustRightInd w:val="0"/>
              <w:spacing w:line="480" w:lineRule="auto"/>
              <w:rPr>
                <w:b/>
                <w:sz w:val="22"/>
                <w:szCs w:val="22"/>
              </w:rPr>
            </w:pPr>
          </w:p>
        </w:tc>
        <w:tc>
          <w:tcPr>
            <w:tcW w:w="1080" w:type="dxa"/>
            <w:gridSpan w:val="2"/>
          </w:tcPr>
          <w:p w:rsidR="00400F28" w:rsidRPr="008573C5" w:rsidRDefault="00400F28" w:rsidP="00FC7BF6">
            <w:pPr>
              <w:autoSpaceDE w:val="0"/>
              <w:autoSpaceDN w:val="0"/>
              <w:adjustRightInd w:val="0"/>
              <w:spacing w:line="480" w:lineRule="auto"/>
              <w:rPr>
                <w:b/>
                <w:sz w:val="22"/>
                <w:szCs w:val="22"/>
              </w:rPr>
            </w:pPr>
            <w:r w:rsidRPr="008573C5">
              <w:rPr>
                <w:b/>
                <w:sz w:val="22"/>
                <w:szCs w:val="22"/>
              </w:rPr>
              <w:t>4.007</w:t>
            </w:r>
          </w:p>
        </w:tc>
        <w:tc>
          <w:tcPr>
            <w:tcW w:w="900" w:type="dxa"/>
          </w:tcPr>
          <w:p w:rsidR="00400F28" w:rsidRPr="008573C5" w:rsidRDefault="00400F28" w:rsidP="00FC7BF6">
            <w:pPr>
              <w:autoSpaceDE w:val="0"/>
              <w:autoSpaceDN w:val="0"/>
              <w:adjustRightInd w:val="0"/>
              <w:spacing w:line="480" w:lineRule="auto"/>
              <w:rPr>
                <w:b/>
                <w:sz w:val="22"/>
                <w:szCs w:val="22"/>
              </w:rPr>
            </w:pPr>
          </w:p>
        </w:tc>
      </w:tr>
      <w:tr w:rsidR="00400F28" w:rsidRPr="008573C5" w:rsidTr="00400F28">
        <w:tc>
          <w:tcPr>
            <w:tcW w:w="1440" w:type="dxa"/>
          </w:tcPr>
          <w:p w:rsidR="00400F28" w:rsidRPr="008573C5" w:rsidRDefault="00400F28" w:rsidP="00FC7BF6">
            <w:pPr>
              <w:autoSpaceDE w:val="0"/>
              <w:autoSpaceDN w:val="0"/>
              <w:adjustRightInd w:val="0"/>
              <w:spacing w:line="480" w:lineRule="auto"/>
              <w:jc w:val="both"/>
              <w:rPr>
                <w:b/>
                <w:sz w:val="22"/>
                <w:szCs w:val="22"/>
              </w:rPr>
            </w:pPr>
            <w:r w:rsidRPr="008573C5">
              <w:rPr>
                <w:b/>
                <w:sz w:val="22"/>
                <w:szCs w:val="22"/>
              </w:rPr>
              <w:t>Prob. (F)</w:t>
            </w:r>
          </w:p>
        </w:tc>
        <w:tc>
          <w:tcPr>
            <w:tcW w:w="1260" w:type="dxa"/>
          </w:tcPr>
          <w:p w:rsidR="00400F28" w:rsidRPr="008573C5" w:rsidRDefault="00400F28" w:rsidP="00FC7BF6">
            <w:pPr>
              <w:autoSpaceDE w:val="0"/>
              <w:autoSpaceDN w:val="0"/>
              <w:adjustRightInd w:val="0"/>
              <w:spacing w:line="480" w:lineRule="auto"/>
              <w:rPr>
                <w:b/>
                <w:sz w:val="22"/>
                <w:szCs w:val="22"/>
              </w:rPr>
            </w:pPr>
            <w:r w:rsidRPr="008573C5">
              <w:rPr>
                <w:b/>
                <w:sz w:val="22"/>
                <w:szCs w:val="22"/>
              </w:rPr>
              <w:t>0.000***</w:t>
            </w:r>
          </w:p>
        </w:tc>
        <w:tc>
          <w:tcPr>
            <w:tcW w:w="990" w:type="dxa"/>
          </w:tcPr>
          <w:p w:rsidR="00400F28" w:rsidRPr="008573C5" w:rsidRDefault="00400F28" w:rsidP="00FC7BF6">
            <w:pPr>
              <w:autoSpaceDE w:val="0"/>
              <w:autoSpaceDN w:val="0"/>
              <w:adjustRightInd w:val="0"/>
              <w:spacing w:line="480" w:lineRule="auto"/>
              <w:rPr>
                <w:b/>
                <w:sz w:val="22"/>
                <w:szCs w:val="22"/>
              </w:rPr>
            </w:pPr>
          </w:p>
        </w:tc>
        <w:tc>
          <w:tcPr>
            <w:tcW w:w="1440" w:type="dxa"/>
            <w:gridSpan w:val="2"/>
          </w:tcPr>
          <w:p w:rsidR="00400F28" w:rsidRPr="008573C5" w:rsidRDefault="00400F28" w:rsidP="00FC7BF6">
            <w:pPr>
              <w:autoSpaceDE w:val="0"/>
              <w:autoSpaceDN w:val="0"/>
              <w:adjustRightInd w:val="0"/>
              <w:spacing w:line="480" w:lineRule="auto"/>
              <w:rPr>
                <w:b/>
                <w:sz w:val="22"/>
                <w:szCs w:val="22"/>
              </w:rPr>
            </w:pPr>
            <w:r w:rsidRPr="008573C5">
              <w:rPr>
                <w:b/>
                <w:sz w:val="22"/>
                <w:szCs w:val="22"/>
              </w:rPr>
              <w:t>0.000***</w:t>
            </w:r>
          </w:p>
        </w:tc>
        <w:tc>
          <w:tcPr>
            <w:tcW w:w="900" w:type="dxa"/>
          </w:tcPr>
          <w:p w:rsidR="00400F28" w:rsidRPr="008573C5" w:rsidRDefault="00400F28" w:rsidP="00FC7BF6">
            <w:pPr>
              <w:autoSpaceDE w:val="0"/>
              <w:autoSpaceDN w:val="0"/>
              <w:adjustRightInd w:val="0"/>
              <w:spacing w:line="480" w:lineRule="auto"/>
              <w:rPr>
                <w:b/>
                <w:sz w:val="22"/>
                <w:szCs w:val="22"/>
              </w:rPr>
            </w:pPr>
          </w:p>
        </w:tc>
        <w:tc>
          <w:tcPr>
            <w:tcW w:w="1080" w:type="dxa"/>
          </w:tcPr>
          <w:p w:rsidR="00400F28" w:rsidRPr="008573C5" w:rsidRDefault="00400F28" w:rsidP="00FC7BF6">
            <w:pPr>
              <w:autoSpaceDE w:val="0"/>
              <w:autoSpaceDN w:val="0"/>
              <w:adjustRightInd w:val="0"/>
              <w:spacing w:line="480" w:lineRule="auto"/>
              <w:rPr>
                <w:b/>
                <w:sz w:val="22"/>
                <w:szCs w:val="22"/>
              </w:rPr>
            </w:pPr>
            <w:r w:rsidRPr="008573C5">
              <w:rPr>
                <w:b/>
                <w:sz w:val="22"/>
                <w:szCs w:val="22"/>
              </w:rPr>
              <w:t>0.000***</w:t>
            </w:r>
          </w:p>
        </w:tc>
        <w:tc>
          <w:tcPr>
            <w:tcW w:w="1080" w:type="dxa"/>
            <w:gridSpan w:val="3"/>
          </w:tcPr>
          <w:p w:rsidR="00400F28" w:rsidRPr="008573C5" w:rsidRDefault="00400F28" w:rsidP="00FC7BF6">
            <w:pPr>
              <w:autoSpaceDE w:val="0"/>
              <w:autoSpaceDN w:val="0"/>
              <w:adjustRightInd w:val="0"/>
              <w:spacing w:line="480" w:lineRule="auto"/>
              <w:rPr>
                <w:b/>
                <w:sz w:val="22"/>
                <w:szCs w:val="22"/>
              </w:rPr>
            </w:pPr>
          </w:p>
        </w:tc>
        <w:tc>
          <w:tcPr>
            <w:tcW w:w="1080" w:type="dxa"/>
            <w:gridSpan w:val="2"/>
          </w:tcPr>
          <w:p w:rsidR="00400F28" w:rsidRPr="008573C5" w:rsidRDefault="00400F28" w:rsidP="00FC7BF6">
            <w:pPr>
              <w:autoSpaceDE w:val="0"/>
              <w:autoSpaceDN w:val="0"/>
              <w:adjustRightInd w:val="0"/>
              <w:spacing w:line="480" w:lineRule="auto"/>
              <w:rPr>
                <w:b/>
                <w:sz w:val="22"/>
                <w:szCs w:val="22"/>
              </w:rPr>
            </w:pPr>
            <w:r w:rsidRPr="008573C5">
              <w:rPr>
                <w:b/>
                <w:sz w:val="22"/>
                <w:szCs w:val="22"/>
              </w:rPr>
              <w:t>0.001***</w:t>
            </w:r>
          </w:p>
        </w:tc>
        <w:tc>
          <w:tcPr>
            <w:tcW w:w="900" w:type="dxa"/>
          </w:tcPr>
          <w:p w:rsidR="00400F28" w:rsidRPr="008573C5" w:rsidRDefault="00400F28" w:rsidP="00FC7BF6">
            <w:pPr>
              <w:autoSpaceDE w:val="0"/>
              <w:autoSpaceDN w:val="0"/>
              <w:adjustRightInd w:val="0"/>
              <w:spacing w:line="480" w:lineRule="auto"/>
              <w:rPr>
                <w:b/>
                <w:sz w:val="22"/>
                <w:szCs w:val="22"/>
              </w:rPr>
            </w:pPr>
          </w:p>
        </w:tc>
      </w:tr>
    </w:tbl>
    <w:p w:rsidR="00A2620E" w:rsidRPr="008573C5" w:rsidRDefault="00A2620E" w:rsidP="00A2620E">
      <w:pPr>
        <w:rPr>
          <w:sz w:val="16"/>
          <w:szCs w:val="16"/>
        </w:rPr>
      </w:pPr>
    </w:p>
    <w:p w:rsidR="00A2620E" w:rsidRPr="008573C5" w:rsidRDefault="00A2620E" w:rsidP="00A2620E">
      <w:pPr>
        <w:rPr>
          <w:sz w:val="16"/>
          <w:szCs w:val="16"/>
        </w:rPr>
      </w:pPr>
      <w:r w:rsidRPr="008573C5">
        <w:rPr>
          <w:sz w:val="16"/>
          <w:szCs w:val="16"/>
        </w:rPr>
        <w:t xml:space="preserve">Note: </w:t>
      </w:r>
      <w:r w:rsidRPr="008573C5">
        <w:rPr>
          <w:sz w:val="16"/>
          <w:szCs w:val="16"/>
        </w:rPr>
        <w:tab/>
        <w:t>t-statistics are in the parentheses</w:t>
      </w:r>
    </w:p>
    <w:p w:rsidR="00A2620E" w:rsidRPr="008573C5" w:rsidRDefault="00A2620E" w:rsidP="00A2620E">
      <w:pPr>
        <w:ind w:firstLine="720"/>
        <w:rPr>
          <w:sz w:val="16"/>
          <w:szCs w:val="16"/>
        </w:rPr>
      </w:pPr>
      <w:r w:rsidRPr="008573C5">
        <w:rPr>
          <w:sz w:val="16"/>
          <w:szCs w:val="16"/>
        </w:rPr>
        <w:t>* ** significant at the 1% level</w:t>
      </w:r>
    </w:p>
    <w:p w:rsidR="00A2620E" w:rsidRPr="008573C5" w:rsidRDefault="00A2620E" w:rsidP="00A2620E">
      <w:pPr>
        <w:ind w:firstLine="720"/>
        <w:rPr>
          <w:sz w:val="16"/>
          <w:szCs w:val="16"/>
        </w:rPr>
      </w:pPr>
      <w:r w:rsidRPr="008573C5">
        <w:rPr>
          <w:sz w:val="16"/>
          <w:szCs w:val="16"/>
        </w:rPr>
        <w:t>** significant at the 5% level</w:t>
      </w:r>
    </w:p>
    <w:p w:rsidR="00A2620E" w:rsidRPr="008573C5" w:rsidRDefault="00A2620E" w:rsidP="00A2620E">
      <w:pPr>
        <w:ind w:firstLine="720"/>
        <w:rPr>
          <w:sz w:val="16"/>
          <w:szCs w:val="16"/>
        </w:rPr>
      </w:pPr>
      <w:r w:rsidRPr="008573C5">
        <w:rPr>
          <w:sz w:val="16"/>
          <w:szCs w:val="16"/>
        </w:rPr>
        <w:t>* significant at the 10% level</w:t>
      </w:r>
    </w:p>
    <w:p w:rsidR="00A2620E" w:rsidRPr="008573C5" w:rsidRDefault="00A2620E" w:rsidP="00FF5EDF">
      <w:pPr>
        <w:autoSpaceDE w:val="0"/>
        <w:autoSpaceDN w:val="0"/>
        <w:adjustRightInd w:val="0"/>
        <w:spacing w:line="480" w:lineRule="auto"/>
        <w:rPr>
          <w:b/>
        </w:rPr>
      </w:pPr>
    </w:p>
    <w:p w:rsidR="00BF4515" w:rsidRPr="008573C5" w:rsidRDefault="00BF4515" w:rsidP="00BF4515">
      <w:pPr>
        <w:autoSpaceDE w:val="0"/>
        <w:autoSpaceDN w:val="0"/>
        <w:adjustRightInd w:val="0"/>
        <w:jc w:val="center"/>
        <w:rPr>
          <w:rFonts w:eastAsia="Calibri"/>
          <w:b/>
          <w:bCs/>
        </w:rPr>
      </w:pPr>
      <w:r w:rsidRPr="008573C5">
        <w:rPr>
          <w:rFonts w:eastAsia="Calibri"/>
          <w:b/>
          <w:bCs/>
        </w:rPr>
        <w:t>Source: Field Study (2009)</w:t>
      </w:r>
    </w:p>
    <w:p w:rsidR="00BF4515" w:rsidRPr="008573C5" w:rsidRDefault="00BF4515" w:rsidP="00BF4515">
      <w:pPr>
        <w:autoSpaceDE w:val="0"/>
        <w:autoSpaceDN w:val="0"/>
        <w:adjustRightInd w:val="0"/>
        <w:spacing w:line="480" w:lineRule="auto"/>
        <w:jc w:val="center"/>
        <w:rPr>
          <w:b/>
        </w:rPr>
      </w:pPr>
    </w:p>
    <w:p w:rsidR="00FF5EDF" w:rsidRPr="008573C5" w:rsidRDefault="00FF5EDF" w:rsidP="00FF5EDF">
      <w:pPr>
        <w:autoSpaceDE w:val="0"/>
        <w:autoSpaceDN w:val="0"/>
        <w:adjustRightInd w:val="0"/>
        <w:spacing w:line="360" w:lineRule="auto"/>
        <w:jc w:val="both"/>
      </w:pPr>
    </w:p>
    <w:p w:rsidR="00FF5EDF" w:rsidRPr="008573C5" w:rsidRDefault="00FF5EDF" w:rsidP="00FF5EDF">
      <w:pPr>
        <w:tabs>
          <w:tab w:val="left" w:pos="7320"/>
        </w:tabs>
        <w:spacing w:before="240" w:line="360" w:lineRule="auto"/>
        <w:jc w:val="both"/>
      </w:pPr>
      <w:r w:rsidRPr="008573C5">
        <w:t xml:space="preserve">The result of the SAS disclosure index model, </w:t>
      </w:r>
      <w:r w:rsidR="003B58A3" w:rsidRPr="008573C5">
        <w:t>Equation</w:t>
      </w:r>
      <w:r w:rsidRPr="008573C5">
        <w:t xml:space="preserve"> A</w:t>
      </w:r>
      <w:r w:rsidRPr="008573C5">
        <w:rPr>
          <w:vertAlign w:val="subscript"/>
        </w:rPr>
        <w:t>2</w:t>
      </w:r>
      <w:r w:rsidRPr="008573C5">
        <w:t xml:space="preserve"> is presented in the second column of Table 4.2</w:t>
      </w:r>
      <w:r w:rsidR="00727C36" w:rsidRPr="008573C5">
        <w:t>0</w:t>
      </w:r>
      <w:r w:rsidRPr="008573C5">
        <w:t>. The overall model is significant with F</w:t>
      </w:r>
      <w:r w:rsidR="003F0B54" w:rsidRPr="008573C5">
        <w:t>- Statistics is</w:t>
      </w:r>
      <w:r w:rsidRPr="008573C5">
        <w:t xml:space="preserve"> equal to 9.924, and p less than 0.001. </w:t>
      </w:r>
      <w:r w:rsidR="003F0B54" w:rsidRPr="008573C5">
        <w:t xml:space="preserve">This </w:t>
      </w:r>
      <w:r w:rsidR="003F0B54" w:rsidRPr="008573C5">
        <w:rPr>
          <w:rFonts w:eastAsia="Calibri"/>
        </w:rPr>
        <w:t>reveals that the model is capable of explaining variability in disclosing information in the sampled annual reports.</w:t>
      </w:r>
      <w:r w:rsidRPr="008573C5">
        <w:t xml:space="preserve"> The t-statistics is positive for most of the independent variables with the exception of profitability and sector. The result reveal</w:t>
      </w:r>
      <w:r w:rsidR="00510A58" w:rsidRPr="008573C5">
        <w:t>s</w:t>
      </w:r>
      <w:r w:rsidRPr="008573C5">
        <w:t xml:space="preserve"> that the level of SAS mandatory disclosure varies positively and significantly with </w:t>
      </w:r>
      <w:r w:rsidR="004E7CB8" w:rsidRPr="008573C5">
        <w:t>auditor type (p &lt; 0.01)</w:t>
      </w:r>
      <w:r w:rsidR="00B57843" w:rsidRPr="008573C5">
        <w:t xml:space="preserve"> </w:t>
      </w:r>
      <w:r w:rsidRPr="008573C5">
        <w:t>indicating that Big audit firms in Nigeria are very conversant with the mandatory disclosures, which has aided the disclosures of the companies they audit. This result is consistent with (Ali et al,</w:t>
      </w:r>
      <w:r w:rsidR="0008658A" w:rsidRPr="008573C5">
        <w:t xml:space="preserve"> </w:t>
      </w:r>
      <w:r w:rsidRPr="008573C5">
        <w:t>2004:196), for the mandatory disclosures o</w:t>
      </w:r>
      <w:r w:rsidR="00D926BA" w:rsidRPr="008573C5">
        <w:t xml:space="preserve">f three South Asian countries, </w:t>
      </w:r>
      <w:r w:rsidRPr="008573C5">
        <w:t>and inconsistent with Owusu-Ansah</w:t>
      </w:r>
      <w:r w:rsidR="001D2FC3" w:rsidRPr="008573C5">
        <w:t xml:space="preserve"> </w:t>
      </w:r>
      <w:r w:rsidRPr="008573C5">
        <w:t>(2002:626) for the mandatory disclosures of Zimbabwe. multinationality and leverage is also statistically significant at p &lt; 0.01 and p &lt; 0.05 respectively. Other variables were not significant explanatory variables.</w:t>
      </w:r>
    </w:p>
    <w:p w:rsidR="00FF5EDF" w:rsidRPr="008573C5" w:rsidRDefault="00FF5EDF" w:rsidP="00FF5EDF">
      <w:pPr>
        <w:tabs>
          <w:tab w:val="left" w:pos="7320"/>
        </w:tabs>
        <w:spacing w:before="240" w:line="360" w:lineRule="auto"/>
        <w:jc w:val="both"/>
      </w:pPr>
      <w:r w:rsidRPr="008573C5">
        <w:t xml:space="preserve">The third </w:t>
      </w:r>
      <w:r w:rsidR="003B58A3" w:rsidRPr="008573C5">
        <w:t>equation</w:t>
      </w:r>
      <w:r w:rsidRPr="008573C5">
        <w:t>, A</w:t>
      </w:r>
      <w:r w:rsidRPr="008573C5">
        <w:rPr>
          <w:vertAlign w:val="subscript"/>
        </w:rPr>
        <w:t>3,</w:t>
      </w:r>
      <w:r w:rsidRPr="008573C5">
        <w:t xml:space="preserve"> us</w:t>
      </w:r>
      <w:r w:rsidR="003B58A3" w:rsidRPr="008573C5">
        <w:t>es</w:t>
      </w:r>
      <w:r w:rsidRPr="008573C5">
        <w:t xml:space="preserve"> IFRS disclosure index as its dependent variable</w:t>
      </w:r>
      <w:r w:rsidR="003F0B54" w:rsidRPr="008573C5">
        <w:t xml:space="preserve">. The result reveals a </w:t>
      </w:r>
      <w:r w:rsidR="003F0B54" w:rsidRPr="008573C5">
        <w:rPr>
          <w:rFonts w:eastAsia="Calibri"/>
        </w:rPr>
        <w:t>F statistics of 9.959 which indicates that the model employed to explain the variations in IFRS disclosures in company annual reports.</w:t>
      </w:r>
      <w:r w:rsidRPr="008573C5">
        <w:t xml:space="preserve"> The t-statistics of </w:t>
      </w:r>
      <w:r w:rsidR="003B58A3" w:rsidRPr="008573C5">
        <w:t>Equation</w:t>
      </w:r>
      <w:r w:rsidRPr="008573C5">
        <w:t xml:space="preserve"> A</w:t>
      </w:r>
      <w:r w:rsidRPr="008573C5">
        <w:rPr>
          <w:vertAlign w:val="subscript"/>
        </w:rPr>
        <w:t xml:space="preserve">3 </w:t>
      </w:r>
      <w:r w:rsidRPr="008573C5">
        <w:t xml:space="preserve">shows negative signs for profitability and listing age while the others have positive signs.  The result reveals that the level of IFRS disclosure varies positively and significantly with auditor type at p &lt; 0.01, this agrees with </w:t>
      </w:r>
      <w:r w:rsidR="00820DE2" w:rsidRPr="008573C5">
        <w:t>Equations</w:t>
      </w:r>
      <w:r w:rsidRPr="008573C5">
        <w:t xml:space="preserve"> A</w:t>
      </w:r>
      <w:r w:rsidRPr="008573C5">
        <w:rPr>
          <w:vertAlign w:val="subscript"/>
        </w:rPr>
        <w:t xml:space="preserve">1 </w:t>
      </w:r>
      <w:r w:rsidRPr="008573C5">
        <w:t>and A</w:t>
      </w:r>
      <w:r w:rsidRPr="008573C5">
        <w:rPr>
          <w:vertAlign w:val="subscript"/>
        </w:rPr>
        <w:t xml:space="preserve">2. </w:t>
      </w:r>
      <w:r w:rsidRPr="008573C5">
        <w:t xml:space="preserve">The result </w:t>
      </w:r>
      <w:r w:rsidR="003F0B54" w:rsidRPr="008573C5">
        <w:t xml:space="preserve">finds </w:t>
      </w:r>
      <w:r w:rsidRPr="008573C5">
        <w:t xml:space="preserve">company size </w:t>
      </w:r>
      <w:r w:rsidR="003F0B54" w:rsidRPr="008573C5">
        <w:t xml:space="preserve">to be also </w:t>
      </w:r>
      <w:r w:rsidRPr="008573C5">
        <w:t xml:space="preserve">significant, at 1% level, </w:t>
      </w:r>
      <w:r w:rsidR="003F0B54" w:rsidRPr="008573C5">
        <w:t xml:space="preserve">but with a coefficient of 0.000. In addition to </w:t>
      </w:r>
      <w:r w:rsidRPr="008573C5">
        <w:t xml:space="preserve">these two significant variables, it is found that company listing age is also significant but at p &lt; 0.05. Profitability, leverage and multinational parent have no impact on the IFRS disclosures. </w:t>
      </w:r>
    </w:p>
    <w:p w:rsidR="00FF5EDF" w:rsidRPr="008573C5" w:rsidRDefault="00820DE2" w:rsidP="00FF5EDF">
      <w:pPr>
        <w:tabs>
          <w:tab w:val="left" w:pos="7320"/>
        </w:tabs>
        <w:spacing w:before="240" w:line="360" w:lineRule="auto"/>
        <w:jc w:val="both"/>
        <w:rPr>
          <w:rFonts w:eastAsia="Calibri"/>
        </w:rPr>
      </w:pPr>
      <w:r w:rsidRPr="008573C5">
        <w:t>Equation</w:t>
      </w:r>
      <w:r w:rsidR="00FF5EDF" w:rsidRPr="008573C5">
        <w:t xml:space="preserve"> A</w:t>
      </w:r>
      <w:r w:rsidR="00FF5EDF" w:rsidRPr="008573C5">
        <w:rPr>
          <w:vertAlign w:val="subscript"/>
        </w:rPr>
        <w:t>4</w:t>
      </w:r>
      <w:r w:rsidR="00FF5EDF" w:rsidRPr="008573C5">
        <w:t xml:space="preserve"> in Table 4.2</w:t>
      </w:r>
      <w:r w:rsidR="00510A58" w:rsidRPr="008573C5">
        <w:t>0</w:t>
      </w:r>
      <w:r w:rsidR="00FF5EDF" w:rsidRPr="008573C5">
        <w:t xml:space="preserve"> presents the result of the OLS using voluntary disclosure index as dependent variable. The result show</w:t>
      </w:r>
      <w:r w:rsidR="00626AA4" w:rsidRPr="008573C5">
        <w:t>s</w:t>
      </w:r>
      <w:r w:rsidR="00FF5EDF" w:rsidRPr="008573C5">
        <w:t xml:space="preserve"> that the model has a lower significance than the previous three models with p = 0.001 and F at 4.007. </w:t>
      </w:r>
      <w:r w:rsidR="001D2FC3" w:rsidRPr="008573C5">
        <w:t>The F-s</w:t>
      </w:r>
      <w:r w:rsidR="00FE5395" w:rsidRPr="008573C5">
        <w:t>tatistics value is lower than those of equations A</w:t>
      </w:r>
      <w:r w:rsidR="00FE5395" w:rsidRPr="008573C5">
        <w:rPr>
          <w:vertAlign w:val="subscript"/>
        </w:rPr>
        <w:t>1</w:t>
      </w:r>
      <w:r w:rsidR="00FE5395" w:rsidRPr="008573C5">
        <w:t xml:space="preserve"> A</w:t>
      </w:r>
      <w:r w:rsidR="00FE5395" w:rsidRPr="008573C5">
        <w:rPr>
          <w:vertAlign w:val="subscript"/>
        </w:rPr>
        <w:t>2</w:t>
      </w:r>
      <w:r w:rsidR="00FE5395" w:rsidRPr="008573C5">
        <w:t xml:space="preserve"> A</w:t>
      </w:r>
      <w:r w:rsidR="00FE5395" w:rsidRPr="008573C5">
        <w:rPr>
          <w:vertAlign w:val="subscript"/>
        </w:rPr>
        <w:t xml:space="preserve">3, </w:t>
      </w:r>
      <w:r w:rsidR="00FE5395" w:rsidRPr="008573C5">
        <w:t xml:space="preserve">which indicates a lower model adequacy. </w:t>
      </w:r>
      <w:r w:rsidR="00FF5EDF" w:rsidRPr="008573C5">
        <w:t xml:space="preserve">The t-statistics signs show negative signs for </w:t>
      </w:r>
      <w:r w:rsidR="001D2FC3" w:rsidRPr="008573C5">
        <w:t>p</w:t>
      </w:r>
      <w:r w:rsidR="00FF5EDF" w:rsidRPr="008573C5">
        <w:t xml:space="preserve">rofitability, </w:t>
      </w:r>
      <w:r w:rsidR="001D2FC3" w:rsidRPr="008573C5">
        <w:t>l</w:t>
      </w:r>
      <w:r w:rsidR="00FF5EDF" w:rsidRPr="008573C5">
        <w:t xml:space="preserve">everage and </w:t>
      </w:r>
      <w:r w:rsidR="001D2FC3" w:rsidRPr="008573C5">
        <w:t>s</w:t>
      </w:r>
      <w:r w:rsidR="00FF5EDF" w:rsidRPr="008573C5">
        <w:t xml:space="preserve">ector while the others have positive signs.  The result reveals that voluntary disclosure associates significantly and negatively with Leverage </w:t>
      </w:r>
      <w:r w:rsidR="004E3B41" w:rsidRPr="008573C5">
        <w:t>(</w:t>
      </w:r>
      <w:r w:rsidR="00FF5EDF" w:rsidRPr="008573C5">
        <w:t xml:space="preserve">p &lt; 0.05). Multinationality has a lower positive significance at a 10% level.  </w:t>
      </w:r>
      <w:r w:rsidR="00FE5395" w:rsidRPr="008573C5">
        <w:t xml:space="preserve">Company size seems significant but with a zero coefficient which indicates a nil contribution. </w:t>
      </w:r>
      <w:r w:rsidR="00FF5EDF" w:rsidRPr="008573C5">
        <w:t xml:space="preserve">Non </w:t>
      </w:r>
      <w:r w:rsidR="00FF5EDF" w:rsidRPr="008573C5">
        <w:rPr>
          <w:rFonts w:eastAsia="Calibri"/>
        </w:rPr>
        <w:t>significant variables are profitability, leverage, listing age, auditor type and sector.</w:t>
      </w:r>
    </w:p>
    <w:p w:rsidR="00487783" w:rsidRPr="008573C5" w:rsidRDefault="00487783" w:rsidP="00487783">
      <w:pPr>
        <w:autoSpaceDE w:val="0"/>
        <w:autoSpaceDN w:val="0"/>
        <w:adjustRightInd w:val="0"/>
        <w:rPr>
          <w:rFonts w:ascii="System" w:hAnsi="System" w:cs="System"/>
          <w:b/>
          <w:bCs/>
          <w:sz w:val="20"/>
          <w:szCs w:val="20"/>
        </w:rPr>
      </w:pPr>
    </w:p>
    <w:p w:rsidR="002E11C4" w:rsidRPr="008573C5" w:rsidRDefault="009F6FF3" w:rsidP="00595093">
      <w:pPr>
        <w:spacing w:before="100" w:beforeAutospacing="1" w:after="100" w:afterAutospacing="1" w:line="480" w:lineRule="auto"/>
        <w:rPr>
          <w:b/>
        </w:rPr>
      </w:pPr>
      <w:r w:rsidRPr="008573C5">
        <w:rPr>
          <w:b/>
        </w:rPr>
        <w:t>4</w:t>
      </w:r>
      <w:r w:rsidR="000E0B9C" w:rsidRPr="008573C5">
        <w:rPr>
          <w:b/>
        </w:rPr>
        <w:t>.</w:t>
      </w:r>
      <w:r w:rsidR="006E04D2" w:rsidRPr="008573C5">
        <w:rPr>
          <w:b/>
        </w:rPr>
        <w:t>2</w:t>
      </w:r>
      <w:r w:rsidR="000E0B9C" w:rsidRPr="008573C5">
        <w:rPr>
          <w:b/>
        </w:rPr>
        <w:t>.3.2</w:t>
      </w:r>
      <w:r w:rsidR="002E11C4" w:rsidRPr="008573C5">
        <w:rPr>
          <w:b/>
        </w:rPr>
        <w:tab/>
        <w:t xml:space="preserve">Regression Result (Model </w:t>
      </w:r>
      <w:r w:rsidR="00DF5CCC" w:rsidRPr="008573C5">
        <w:rPr>
          <w:b/>
        </w:rPr>
        <w:t>2</w:t>
      </w:r>
      <w:r w:rsidR="002E11C4" w:rsidRPr="008573C5">
        <w:rPr>
          <w:b/>
        </w:rPr>
        <w:t xml:space="preserve">) using </w:t>
      </w:r>
      <w:r w:rsidR="00CE16AC" w:rsidRPr="008573C5">
        <w:rPr>
          <w:b/>
        </w:rPr>
        <w:t>R</w:t>
      </w:r>
      <w:r w:rsidR="002E11C4" w:rsidRPr="008573C5">
        <w:rPr>
          <w:b/>
        </w:rPr>
        <w:t>anked OLS</w:t>
      </w:r>
    </w:p>
    <w:p w:rsidR="00805C20" w:rsidRPr="008573C5" w:rsidRDefault="00805C20" w:rsidP="00805C20">
      <w:pPr>
        <w:autoSpaceDE w:val="0"/>
        <w:autoSpaceDN w:val="0"/>
        <w:adjustRightInd w:val="0"/>
        <w:spacing w:line="360" w:lineRule="auto"/>
        <w:jc w:val="both"/>
      </w:pPr>
      <w:r w:rsidRPr="008573C5">
        <w:rPr>
          <w:rFonts w:eastAsia="Calibri"/>
        </w:rPr>
        <w:t>Model 1 above using ranked regression</w:t>
      </w:r>
      <w:r w:rsidR="00554B4B">
        <w:rPr>
          <w:rFonts w:eastAsia="Calibri"/>
        </w:rPr>
        <w:t xml:space="preserve"> is re-estimated</w:t>
      </w:r>
      <w:r w:rsidRPr="008573C5">
        <w:rPr>
          <w:rFonts w:eastAsia="Calibri"/>
        </w:rPr>
        <w:t xml:space="preserve">. </w:t>
      </w:r>
      <w:r w:rsidRPr="008573C5">
        <w:t>The result of the ranked regression model is obtained in Table 4.21, equations A</w:t>
      </w:r>
      <w:r w:rsidRPr="008573C5">
        <w:rPr>
          <w:vertAlign w:val="subscript"/>
        </w:rPr>
        <w:t xml:space="preserve">5 </w:t>
      </w:r>
      <w:r w:rsidRPr="008573C5">
        <w:t>(dependent variable is rank of ODI)</w:t>
      </w:r>
      <w:r w:rsidRPr="008573C5">
        <w:rPr>
          <w:vertAlign w:val="subscript"/>
        </w:rPr>
        <w:t xml:space="preserve"> </w:t>
      </w:r>
      <w:r w:rsidRPr="008573C5">
        <w:t>A</w:t>
      </w:r>
      <w:r w:rsidRPr="008573C5">
        <w:rPr>
          <w:vertAlign w:val="subscript"/>
        </w:rPr>
        <w:t>6,</w:t>
      </w:r>
      <w:r w:rsidRPr="008573C5">
        <w:t xml:space="preserve"> (dependent variable is rank of DISAS)</w:t>
      </w:r>
      <w:r w:rsidRPr="008573C5">
        <w:rPr>
          <w:vertAlign w:val="subscript"/>
        </w:rPr>
        <w:t xml:space="preserve"> </w:t>
      </w:r>
      <w:r w:rsidRPr="008573C5">
        <w:t>A</w:t>
      </w:r>
      <w:r w:rsidRPr="008573C5">
        <w:rPr>
          <w:vertAlign w:val="subscript"/>
        </w:rPr>
        <w:t xml:space="preserve">7 </w:t>
      </w:r>
      <w:r w:rsidRPr="008573C5">
        <w:t>(dependent variable is rank of DIFRS)</w:t>
      </w:r>
      <w:r w:rsidRPr="008573C5">
        <w:rPr>
          <w:vertAlign w:val="subscript"/>
        </w:rPr>
        <w:t xml:space="preserve">, </w:t>
      </w:r>
      <w:r w:rsidRPr="008573C5">
        <w:t>and A</w:t>
      </w:r>
      <w:r w:rsidR="004E3B41" w:rsidRPr="008573C5">
        <w:t xml:space="preserve"> </w:t>
      </w:r>
      <w:r w:rsidRPr="008573C5">
        <w:rPr>
          <w:vertAlign w:val="subscript"/>
        </w:rPr>
        <w:t>8</w:t>
      </w:r>
      <w:r w:rsidRPr="008573C5">
        <w:t>(dependent variable is rank of DIVol)</w:t>
      </w:r>
      <w:r w:rsidRPr="008573C5">
        <w:rPr>
          <w:vertAlign w:val="subscript"/>
        </w:rPr>
        <w:t>.</w:t>
      </w:r>
      <w:r w:rsidRPr="008573C5">
        <w:t xml:space="preserve"> The conventional diagnostic tests for each independent variable reveals VIFs as follows: rank of size 1.665, rank of profitability 1.286, rank of leverage 1.262, rank of age  1.338, sector 2.118, auditor type 1.380 and rank of multinational parent 1.628. The VIF is below 2 for all the variables. Tolerance for each independent variable is between 0.601 and 0.792, which are all above 0.2. The VIF and tolerance diagnosis signify that there is no threat of multicollinerity. Durbin-Watson for </w:t>
      </w:r>
      <w:r w:rsidR="004E3B41" w:rsidRPr="008573C5">
        <w:t>Equation A</w:t>
      </w:r>
      <w:r w:rsidR="004E3B41" w:rsidRPr="008573C5">
        <w:rPr>
          <w:vertAlign w:val="subscript"/>
        </w:rPr>
        <w:t>5</w:t>
      </w:r>
      <w:r w:rsidRPr="008573C5">
        <w:t xml:space="preserve"> is 1.743, for </w:t>
      </w:r>
      <w:r w:rsidR="004E3B41" w:rsidRPr="008573C5">
        <w:t>Equation A</w:t>
      </w:r>
      <w:r w:rsidR="004E3B41" w:rsidRPr="008573C5">
        <w:rPr>
          <w:vertAlign w:val="subscript"/>
        </w:rPr>
        <w:t>6</w:t>
      </w:r>
      <w:r w:rsidRPr="008573C5">
        <w:rPr>
          <w:vertAlign w:val="subscript"/>
        </w:rPr>
        <w:t xml:space="preserve"> </w:t>
      </w:r>
      <w:r w:rsidRPr="008573C5">
        <w:t xml:space="preserve">is 2.368, for </w:t>
      </w:r>
      <w:r w:rsidR="004E3B41" w:rsidRPr="008573C5">
        <w:t>Equation A</w:t>
      </w:r>
      <w:r w:rsidR="004E3B41" w:rsidRPr="008573C5">
        <w:rPr>
          <w:vertAlign w:val="subscript"/>
        </w:rPr>
        <w:t>7</w:t>
      </w:r>
      <w:r w:rsidRPr="008573C5">
        <w:rPr>
          <w:vertAlign w:val="subscript"/>
        </w:rPr>
        <w:t>,</w:t>
      </w:r>
      <w:r w:rsidRPr="008573C5">
        <w:t xml:space="preserve"> is 1.992, and for </w:t>
      </w:r>
      <w:r w:rsidR="004E3B41" w:rsidRPr="008573C5">
        <w:t>Equation A</w:t>
      </w:r>
      <w:r w:rsidR="004E3B41" w:rsidRPr="008573C5">
        <w:rPr>
          <w:vertAlign w:val="subscript"/>
        </w:rPr>
        <w:t>8</w:t>
      </w:r>
      <w:r w:rsidRPr="008573C5">
        <w:t xml:space="preserve"> is 1.601.The Durbin-Watson and other diagonistic tests such as plots of residual do not suggest a departure from normality.</w:t>
      </w:r>
    </w:p>
    <w:p w:rsidR="00805C20" w:rsidRPr="008573C5" w:rsidRDefault="00805C20" w:rsidP="00805C20">
      <w:pPr>
        <w:tabs>
          <w:tab w:val="left" w:pos="7320"/>
        </w:tabs>
        <w:spacing w:before="240" w:line="360" w:lineRule="auto"/>
        <w:jc w:val="both"/>
      </w:pPr>
      <w:r w:rsidRPr="008573C5">
        <w:t>For Equation A</w:t>
      </w:r>
      <w:r w:rsidRPr="008573C5">
        <w:rPr>
          <w:vertAlign w:val="subscript"/>
        </w:rPr>
        <w:t>5,</w:t>
      </w:r>
      <w:r w:rsidRPr="008573C5">
        <w:t xml:space="preserve"> the overal</w:t>
      </w:r>
      <w:r w:rsidR="00FE5395" w:rsidRPr="008573C5">
        <w:t xml:space="preserve">l model is significant with F- Statistics </w:t>
      </w:r>
      <w:r w:rsidRPr="008573C5">
        <w:t xml:space="preserve">= 11.973 and p &lt; 0.001. The </w:t>
      </w:r>
      <w:r w:rsidR="00FE5395" w:rsidRPr="008573C5">
        <w:t xml:space="preserve">F- Statistics value </w:t>
      </w:r>
      <w:r w:rsidRPr="008573C5">
        <w:t>is higher and better than its unranked counterpart in Model 1, equation A</w:t>
      </w:r>
      <w:r w:rsidRPr="008573C5">
        <w:rPr>
          <w:vertAlign w:val="subscript"/>
        </w:rPr>
        <w:t>1</w:t>
      </w:r>
      <w:r w:rsidR="00FE5395" w:rsidRPr="008573C5">
        <w:rPr>
          <w:vertAlign w:val="subscript"/>
        </w:rPr>
        <w:t xml:space="preserve"> </w:t>
      </w:r>
      <w:r w:rsidR="00FE5395" w:rsidRPr="008573C5">
        <w:t>(</w:t>
      </w:r>
      <w:r w:rsidR="00FE5395" w:rsidRPr="008573C5">
        <w:rPr>
          <w:rFonts w:eastAsia="Calibri"/>
        </w:rPr>
        <w:t>F statistics =10.120)</w:t>
      </w:r>
      <w:r w:rsidRPr="008573C5">
        <w:rPr>
          <w:vertAlign w:val="subscript"/>
        </w:rPr>
        <w:t xml:space="preserve">. </w:t>
      </w:r>
      <w:r w:rsidR="00FE5395" w:rsidRPr="008573C5">
        <w:t xml:space="preserve">This </w:t>
      </w:r>
      <w:r w:rsidR="00FE5395" w:rsidRPr="008573C5">
        <w:rPr>
          <w:rFonts w:eastAsia="Calibri"/>
        </w:rPr>
        <w:t>reveals that the model is capable of explaining variability in disclosing information in the sampled annual reports.</w:t>
      </w:r>
    </w:p>
    <w:p w:rsidR="00E92C3E" w:rsidRPr="008573C5" w:rsidRDefault="00E92C3E" w:rsidP="00E92C3E">
      <w:pPr>
        <w:tabs>
          <w:tab w:val="left" w:pos="7320"/>
        </w:tabs>
        <w:spacing w:before="240" w:line="360" w:lineRule="auto"/>
        <w:jc w:val="both"/>
      </w:pPr>
      <w:r w:rsidRPr="008573C5">
        <w:t>The t-statistics is positive for size, profitability, listing age, auditor type and multinationality and negative for leverage and sector. The overall compliance level is found to relate significantly positively with company size (p &lt; 0.01), and auditor type (p &lt; 0.01). This result is very consistent with those reported in model A</w:t>
      </w:r>
      <w:r w:rsidRPr="008573C5">
        <w:rPr>
          <w:vertAlign w:val="subscript"/>
        </w:rPr>
        <w:t xml:space="preserve">1 </w:t>
      </w:r>
      <w:r w:rsidRPr="008573C5">
        <w:t>in Alternate 1 above.  The other five variables, profitability, leverage, listing age, sector and multinationality are not statistically significant.</w:t>
      </w:r>
    </w:p>
    <w:p w:rsidR="009664A4" w:rsidRPr="008573C5" w:rsidRDefault="009664A4" w:rsidP="00AE6C6E">
      <w:pPr>
        <w:tabs>
          <w:tab w:val="left" w:pos="7320"/>
        </w:tabs>
        <w:spacing w:before="240" w:line="360" w:lineRule="auto"/>
        <w:jc w:val="both"/>
        <w:rPr>
          <w:b/>
          <w:sz w:val="28"/>
          <w:szCs w:val="28"/>
        </w:rPr>
      </w:pPr>
    </w:p>
    <w:p w:rsidR="009664A4" w:rsidRPr="008573C5" w:rsidRDefault="009664A4" w:rsidP="00AE6C6E">
      <w:pPr>
        <w:tabs>
          <w:tab w:val="left" w:pos="7320"/>
        </w:tabs>
        <w:spacing w:before="240" w:line="360" w:lineRule="auto"/>
        <w:jc w:val="both"/>
        <w:rPr>
          <w:b/>
          <w:sz w:val="28"/>
          <w:szCs w:val="28"/>
        </w:rPr>
      </w:pPr>
    </w:p>
    <w:p w:rsidR="009664A4" w:rsidRPr="008573C5" w:rsidRDefault="009664A4" w:rsidP="00AE6C6E">
      <w:pPr>
        <w:tabs>
          <w:tab w:val="left" w:pos="7320"/>
        </w:tabs>
        <w:spacing w:before="240" w:line="360" w:lineRule="auto"/>
        <w:jc w:val="both"/>
        <w:rPr>
          <w:b/>
          <w:sz w:val="28"/>
          <w:szCs w:val="28"/>
        </w:rPr>
      </w:pPr>
    </w:p>
    <w:p w:rsidR="00AE6C6E" w:rsidRPr="008573C5" w:rsidRDefault="00E92C3E" w:rsidP="00AE6C6E">
      <w:pPr>
        <w:tabs>
          <w:tab w:val="left" w:pos="7320"/>
        </w:tabs>
        <w:spacing w:before="240" w:line="360" w:lineRule="auto"/>
        <w:jc w:val="both"/>
        <w:rPr>
          <w:sz w:val="28"/>
          <w:szCs w:val="28"/>
        </w:rPr>
      </w:pPr>
      <w:r>
        <w:rPr>
          <w:b/>
          <w:sz w:val="28"/>
          <w:szCs w:val="28"/>
        </w:rPr>
        <w:t>T</w:t>
      </w:r>
      <w:r w:rsidR="00AE6C6E" w:rsidRPr="008573C5">
        <w:rPr>
          <w:b/>
          <w:sz w:val="28"/>
          <w:szCs w:val="28"/>
        </w:rPr>
        <w:t xml:space="preserve">able 4.21: Regression Result (Model 2) using Ranked OLS </w:t>
      </w:r>
    </w:p>
    <w:p w:rsidR="00AE6C6E" w:rsidRPr="008573C5" w:rsidRDefault="00AE6C6E" w:rsidP="00AE6C6E">
      <w:pPr>
        <w:autoSpaceDE w:val="0"/>
        <w:autoSpaceDN w:val="0"/>
        <w:adjustRightInd w:val="0"/>
        <w:spacing w:line="480" w:lineRule="auto"/>
        <w:rPr>
          <w:sz w:val="28"/>
          <w:szCs w:val="28"/>
        </w:rPr>
      </w:pPr>
    </w:p>
    <w:tbl>
      <w:tblPr>
        <w:tblW w:w="1035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1170"/>
        <w:gridCol w:w="1080"/>
        <w:gridCol w:w="1080"/>
        <w:gridCol w:w="990"/>
        <w:gridCol w:w="1170"/>
        <w:gridCol w:w="990"/>
        <w:gridCol w:w="1080"/>
        <w:gridCol w:w="1080"/>
      </w:tblGrid>
      <w:tr w:rsidR="00AE6C6E" w:rsidRPr="008573C5" w:rsidTr="00E038A6">
        <w:tc>
          <w:tcPr>
            <w:tcW w:w="1710" w:type="dxa"/>
            <w:vMerge w:val="restart"/>
          </w:tcPr>
          <w:p w:rsidR="00AE6C6E" w:rsidRPr="008573C5" w:rsidRDefault="00AE6C6E" w:rsidP="00A325A0">
            <w:pPr>
              <w:autoSpaceDE w:val="0"/>
              <w:autoSpaceDN w:val="0"/>
              <w:adjustRightInd w:val="0"/>
              <w:spacing w:line="480" w:lineRule="auto"/>
              <w:rPr>
                <w:b/>
                <w:sz w:val="22"/>
                <w:szCs w:val="22"/>
              </w:rPr>
            </w:pPr>
            <w:r w:rsidRPr="008573C5">
              <w:rPr>
                <w:b/>
                <w:sz w:val="22"/>
                <w:szCs w:val="22"/>
              </w:rPr>
              <w:t>Independent</w:t>
            </w:r>
          </w:p>
          <w:p w:rsidR="00AE6C6E" w:rsidRPr="008573C5" w:rsidRDefault="00AE6C6E" w:rsidP="00A325A0">
            <w:pPr>
              <w:autoSpaceDE w:val="0"/>
              <w:autoSpaceDN w:val="0"/>
              <w:adjustRightInd w:val="0"/>
              <w:spacing w:line="480" w:lineRule="auto"/>
              <w:rPr>
                <w:b/>
                <w:sz w:val="22"/>
                <w:szCs w:val="22"/>
              </w:rPr>
            </w:pPr>
            <w:r w:rsidRPr="008573C5">
              <w:rPr>
                <w:b/>
                <w:sz w:val="22"/>
                <w:szCs w:val="22"/>
              </w:rPr>
              <w:t>Variables</w:t>
            </w:r>
          </w:p>
        </w:tc>
        <w:tc>
          <w:tcPr>
            <w:tcW w:w="8640" w:type="dxa"/>
            <w:gridSpan w:val="8"/>
          </w:tcPr>
          <w:p w:rsidR="00AE6C6E" w:rsidRPr="008573C5" w:rsidRDefault="00AE6C6E" w:rsidP="00A325A0">
            <w:pPr>
              <w:autoSpaceDE w:val="0"/>
              <w:autoSpaceDN w:val="0"/>
              <w:adjustRightInd w:val="0"/>
              <w:spacing w:line="480" w:lineRule="auto"/>
              <w:jc w:val="center"/>
              <w:rPr>
                <w:b/>
                <w:sz w:val="22"/>
                <w:szCs w:val="22"/>
              </w:rPr>
            </w:pPr>
            <w:r w:rsidRPr="008573C5">
              <w:rPr>
                <w:b/>
                <w:sz w:val="22"/>
                <w:szCs w:val="22"/>
              </w:rPr>
              <w:t>Coefficients and t-statistics</w:t>
            </w:r>
          </w:p>
        </w:tc>
      </w:tr>
      <w:tr w:rsidR="00AE6C6E" w:rsidRPr="008573C5" w:rsidTr="00E038A6">
        <w:tc>
          <w:tcPr>
            <w:tcW w:w="1710" w:type="dxa"/>
            <w:vMerge/>
          </w:tcPr>
          <w:p w:rsidR="00AE6C6E" w:rsidRPr="008573C5" w:rsidRDefault="00AE6C6E" w:rsidP="00A325A0">
            <w:pPr>
              <w:autoSpaceDE w:val="0"/>
              <w:autoSpaceDN w:val="0"/>
              <w:adjustRightInd w:val="0"/>
              <w:spacing w:line="480" w:lineRule="auto"/>
              <w:rPr>
                <w:b/>
                <w:sz w:val="22"/>
                <w:szCs w:val="22"/>
              </w:rPr>
            </w:pPr>
          </w:p>
        </w:tc>
        <w:tc>
          <w:tcPr>
            <w:tcW w:w="2250" w:type="dxa"/>
            <w:gridSpan w:val="2"/>
          </w:tcPr>
          <w:p w:rsidR="00AE6C6E" w:rsidRPr="008573C5" w:rsidRDefault="00AE6C6E" w:rsidP="00A325A0">
            <w:pPr>
              <w:autoSpaceDE w:val="0"/>
              <w:autoSpaceDN w:val="0"/>
              <w:adjustRightInd w:val="0"/>
              <w:spacing w:line="480" w:lineRule="auto"/>
              <w:rPr>
                <w:b/>
                <w:sz w:val="22"/>
                <w:szCs w:val="22"/>
              </w:rPr>
            </w:pPr>
            <w:r w:rsidRPr="008573C5">
              <w:rPr>
                <w:b/>
                <w:sz w:val="22"/>
                <w:szCs w:val="22"/>
              </w:rPr>
              <w:t>Equation A</w:t>
            </w:r>
            <w:r w:rsidRPr="008573C5">
              <w:rPr>
                <w:b/>
                <w:sz w:val="22"/>
                <w:szCs w:val="22"/>
                <w:vertAlign w:val="subscript"/>
              </w:rPr>
              <w:t>5</w:t>
            </w:r>
          </w:p>
        </w:tc>
        <w:tc>
          <w:tcPr>
            <w:tcW w:w="2070" w:type="dxa"/>
            <w:gridSpan w:val="2"/>
          </w:tcPr>
          <w:p w:rsidR="00AE6C6E" w:rsidRPr="008573C5" w:rsidRDefault="00AE6C6E" w:rsidP="00A325A0">
            <w:pPr>
              <w:autoSpaceDE w:val="0"/>
              <w:autoSpaceDN w:val="0"/>
              <w:adjustRightInd w:val="0"/>
              <w:spacing w:line="480" w:lineRule="auto"/>
              <w:rPr>
                <w:b/>
                <w:sz w:val="22"/>
                <w:szCs w:val="22"/>
              </w:rPr>
            </w:pPr>
            <w:r w:rsidRPr="008573C5">
              <w:rPr>
                <w:b/>
                <w:sz w:val="22"/>
                <w:szCs w:val="22"/>
              </w:rPr>
              <w:t>Equation  A</w:t>
            </w:r>
            <w:r w:rsidRPr="008573C5">
              <w:rPr>
                <w:b/>
                <w:sz w:val="22"/>
                <w:szCs w:val="22"/>
                <w:vertAlign w:val="subscript"/>
              </w:rPr>
              <w:t>6</w:t>
            </w:r>
          </w:p>
        </w:tc>
        <w:tc>
          <w:tcPr>
            <w:tcW w:w="2160" w:type="dxa"/>
            <w:gridSpan w:val="2"/>
          </w:tcPr>
          <w:p w:rsidR="00AE6C6E" w:rsidRPr="008573C5" w:rsidRDefault="00AE6C6E" w:rsidP="00A325A0">
            <w:pPr>
              <w:autoSpaceDE w:val="0"/>
              <w:autoSpaceDN w:val="0"/>
              <w:adjustRightInd w:val="0"/>
              <w:spacing w:line="480" w:lineRule="auto"/>
              <w:rPr>
                <w:b/>
                <w:sz w:val="22"/>
                <w:szCs w:val="22"/>
              </w:rPr>
            </w:pPr>
            <w:r w:rsidRPr="008573C5">
              <w:rPr>
                <w:b/>
                <w:sz w:val="22"/>
                <w:szCs w:val="22"/>
              </w:rPr>
              <w:t>Equation A</w:t>
            </w:r>
            <w:r w:rsidRPr="008573C5">
              <w:rPr>
                <w:b/>
                <w:sz w:val="22"/>
                <w:szCs w:val="22"/>
                <w:vertAlign w:val="subscript"/>
              </w:rPr>
              <w:t>7</w:t>
            </w:r>
          </w:p>
        </w:tc>
        <w:tc>
          <w:tcPr>
            <w:tcW w:w="2160" w:type="dxa"/>
            <w:gridSpan w:val="2"/>
          </w:tcPr>
          <w:p w:rsidR="00AE6C6E" w:rsidRPr="008573C5" w:rsidRDefault="00AE6C6E" w:rsidP="00A325A0">
            <w:pPr>
              <w:autoSpaceDE w:val="0"/>
              <w:autoSpaceDN w:val="0"/>
              <w:adjustRightInd w:val="0"/>
              <w:spacing w:line="480" w:lineRule="auto"/>
              <w:rPr>
                <w:b/>
                <w:sz w:val="22"/>
                <w:szCs w:val="22"/>
              </w:rPr>
            </w:pPr>
            <w:r w:rsidRPr="008573C5">
              <w:rPr>
                <w:b/>
                <w:sz w:val="22"/>
                <w:szCs w:val="22"/>
              </w:rPr>
              <w:t>Equation  A</w:t>
            </w:r>
            <w:r w:rsidRPr="008573C5">
              <w:rPr>
                <w:b/>
                <w:sz w:val="22"/>
                <w:szCs w:val="22"/>
                <w:vertAlign w:val="subscript"/>
              </w:rPr>
              <w:t>8</w:t>
            </w:r>
          </w:p>
        </w:tc>
      </w:tr>
      <w:tr w:rsidR="00E038A6" w:rsidRPr="008573C5" w:rsidTr="00E038A6">
        <w:trPr>
          <w:trHeight w:val="332"/>
        </w:trPr>
        <w:tc>
          <w:tcPr>
            <w:tcW w:w="1710" w:type="dxa"/>
          </w:tcPr>
          <w:p w:rsidR="00E038A6" w:rsidRPr="008573C5" w:rsidRDefault="00E038A6" w:rsidP="00A325A0">
            <w:pPr>
              <w:autoSpaceDE w:val="0"/>
              <w:autoSpaceDN w:val="0"/>
              <w:adjustRightInd w:val="0"/>
              <w:spacing w:line="480" w:lineRule="auto"/>
              <w:rPr>
                <w:sz w:val="22"/>
                <w:szCs w:val="22"/>
              </w:rPr>
            </w:pPr>
          </w:p>
        </w:tc>
        <w:tc>
          <w:tcPr>
            <w:tcW w:w="1170" w:type="dxa"/>
          </w:tcPr>
          <w:p w:rsidR="00E038A6" w:rsidRPr="008573C5" w:rsidRDefault="00E038A6" w:rsidP="00A325A0">
            <w:pPr>
              <w:autoSpaceDE w:val="0"/>
              <w:autoSpaceDN w:val="0"/>
              <w:adjustRightInd w:val="0"/>
              <w:spacing w:line="480" w:lineRule="auto"/>
              <w:rPr>
                <w:sz w:val="22"/>
                <w:szCs w:val="22"/>
              </w:rPr>
            </w:pPr>
            <w:r w:rsidRPr="008573C5">
              <w:rPr>
                <w:sz w:val="22"/>
                <w:szCs w:val="22"/>
              </w:rPr>
              <w:t>Coeff.</w:t>
            </w:r>
          </w:p>
        </w:tc>
        <w:tc>
          <w:tcPr>
            <w:tcW w:w="1080" w:type="dxa"/>
          </w:tcPr>
          <w:p w:rsidR="00E038A6" w:rsidRPr="008573C5" w:rsidRDefault="00E038A6" w:rsidP="00A325A0">
            <w:pPr>
              <w:autoSpaceDE w:val="0"/>
              <w:autoSpaceDN w:val="0"/>
              <w:adjustRightInd w:val="0"/>
              <w:spacing w:line="480" w:lineRule="auto"/>
              <w:rPr>
                <w:sz w:val="22"/>
                <w:szCs w:val="22"/>
              </w:rPr>
            </w:pPr>
            <w:r w:rsidRPr="008573C5">
              <w:rPr>
                <w:sz w:val="22"/>
                <w:szCs w:val="22"/>
              </w:rPr>
              <w:t>t- statistics</w:t>
            </w:r>
          </w:p>
        </w:tc>
        <w:tc>
          <w:tcPr>
            <w:tcW w:w="1080" w:type="dxa"/>
          </w:tcPr>
          <w:p w:rsidR="00E038A6" w:rsidRPr="008573C5" w:rsidRDefault="00E038A6" w:rsidP="00A325A0">
            <w:pPr>
              <w:autoSpaceDE w:val="0"/>
              <w:autoSpaceDN w:val="0"/>
              <w:adjustRightInd w:val="0"/>
              <w:spacing w:line="480" w:lineRule="auto"/>
              <w:rPr>
                <w:sz w:val="22"/>
                <w:szCs w:val="22"/>
              </w:rPr>
            </w:pPr>
            <w:r w:rsidRPr="008573C5">
              <w:rPr>
                <w:sz w:val="22"/>
                <w:szCs w:val="22"/>
              </w:rPr>
              <w:t>Coeff.</w:t>
            </w:r>
          </w:p>
        </w:tc>
        <w:tc>
          <w:tcPr>
            <w:tcW w:w="990" w:type="dxa"/>
          </w:tcPr>
          <w:p w:rsidR="00E038A6" w:rsidRPr="008573C5" w:rsidRDefault="00E038A6" w:rsidP="00AA7197">
            <w:pPr>
              <w:autoSpaceDE w:val="0"/>
              <w:autoSpaceDN w:val="0"/>
              <w:adjustRightInd w:val="0"/>
              <w:spacing w:line="480" w:lineRule="auto"/>
              <w:rPr>
                <w:sz w:val="22"/>
                <w:szCs w:val="22"/>
              </w:rPr>
            </w:pPr>
            <w:r w:rsidRPr="008573C5">
              <w:rPr>
                <w:sz w:val="22"/>
                <w:szCs w:val="22"/>
              </w:rPr>
              <w:t xml:space="preserve">t -statistics </w:t>
            </w:r>
          </w:p>
        </w:tc>
        <w:tc>
          <w:tcPr>
            <w:tcW w:w="1170" w:type="dxa"/>
          </w:tcPr>
          <w:p w:rsidR="00E038A6" w:rsidRPr="008573C5" w:rsidRDefault="00E038A6" w:rsidP="00A325A0">
            <w:pPr>
              <w:autoSpaceDE w:val="0"/>
              <w:autoSpaceDN w:val="0"/>
              <w:adjustRightInd w:val="0"/>
              <w:spacing w:line="480" w:lineRule="auto"/>
              <w:rPr>
                <w:sz w:val="22"/>
                <w:szCs w:val="22"/>
              </w:rPr>
            </w:pPr>
            <w:r w:rsidRPr="008573C5">
              <w:rPr>
                <w:sz w:val="22"/>
                <w:szCs w:val="22"/>
              </w:rPr>
              <w:t>Coeff.</w:t>
            </w:r>
          </w:p>
        </w:tc>
        <w:tc>
          <w:tcPr>
            <w:tcW w:w="990" w:type="dxa"/>
          </w:tcPr>
          <w:p w:rsidR="00E038A6" w:rsidRPr="008573C5" w:rsidRDefault="00E038A6" w:rsidP="00AA7197">
            <w:pPr>
              <w:autoSpaceDE w:val="0"/>
              <w:autoSpaceDN w:val="0"/>
              <w:adjustRightInd w:val="0"/>
              <w:spacing w:line="480" w:lineRule="auto"/>
              <w:rPr>
                <w:sz w:val="22"/>
                <w:szCs w:val="22"/>
              </w:rPr>
            </w:pPr>
            <w:r w:rsidRPr="008573C5">
              <w:rPr>
                <w:sz w:val="22"/>
                <w:szCs w:val="22"/>
              </w:rPr>
              <w:t xml:space="preserve">t -statistics </w:t>
            </w:r>
          </w:p>
        </w:tc>
        <w:tc>
          <w:tcPr>
            <w:tcW w:w="1080" w:type="dxa"/>
          </w:tcPr>
          <w:p w:rsidR="00E038A6" w:rsidRPr="008573C5" w:rsidRDefault="00E038A6" w:rsidP="00A325A0">
            <w:pPr>
              <w:autoSpaceDE w:val="0"/>
              <w:autoSpaceDN w:val="0"/>
              <w:adjustRightInd w:val="0"/>
              <w:spacing w:line="480" w:lineRule="auto"/>
              <w:rPr>
                <w:sz w:val="22"/>
                <w:szCs w:val="22"/>
              </w:rPr>
            </w:pPr>
            <w:r w:rsidRPr="008573C5">
              <w:rPr>
                <w:sz w:val="22"/>
                <w:szCs w:val="22"/>
              </w:rPr>
              <w:t>Coeff.</w:t>
            </w:r>
          </w:p>
        </w:tc>
        <w:tc>
          <w:tcPr>
            <w:tcW w:w="1080" w:type="dxa"/>
          </w:tcPr>
          <w:p w:rsidR="00E038A6" w:rsidRPr="008573C5" w:rsidRDefault="00E038A6" w:rsidP="00AA7197">
            <w:pPr>
              <w:autoSpaceDE w:val="0"/>
              <w:autoSpaceDN w:val="0"/>
              <w:adjustRightInd w:val="0"/>
              <w:spacing w:line="480" w:lineRule="auto"/>
              <w:rPr>
                <w:sz w:val="22"/>
                <w:szCs w:val="22"/>
              </w:rPr>
            </w:pPr>
            <w:r w:rsidRPr="008573C5">
              <w:rPr>
                <w:sz w:val="22"/>
                <w:szCs w:val="22"/>
              </w:rPr>
              <w:t xml:space="preserve">t -statistics </w:t>
            </w:r>
          </w:p>
        </w:tc>
      </w:tr>
      <w:tr w:rsidR="00E038A6" w:rsidRPr="008573C5" w:rsidTr="00E038A6">
        <w:trPr>
          <w:trHeight w:val="4554"/>
        </w:trPr>
        <w:tc>
          <w:tcPr>
            <w:tcW w:w="1710" w:type="dxa"/>
          </w:tcPr>
          <w:p w:rsidR="00E038A6" w:rsidRPr="008573C5" w:rsidRDefault="00E038A6" w:rsidP="00A325A0">
            <w:pPr>
              <w:autoSpaceDE w:val="0"/>
              <w:autoSpaceDN w:val="0"/>
              <w:adjustRightInd w:val="0"/>
              <w:spacing w:line="480" w:lineRule="auto"/>
              <w:rPr>
                <w:sz w:val="22"/>
                <w:szCs w:val="22"/>
              </w:rPr>
            </w:pPr>
            <w:r w:rsidRPr="008573C5">
              <w:rPr>
                <w:sz w:val="22"/>
                <w:szCs w:val="22"/>
              </w:rPr>
              <w:t>Size (Factor)</w:t>
            </w:r>
          </w:p>
          <w:p w:rsidR="00E038A6" w:rsidRPr="008573C5" w:rsidRDefault="00E038A6" w:rsidP="00A325A0">
            <w:pPr>
              <w:autoSpaceDE w:val="0"/>
              <w:autoSpaceDN w:val="0"/>
              <w:adjustRightInd w:val="0"/>
              <w:spacing w:line="480" w:lineRule="auto"/>
              <w:rPr>
                <w:sz w:val="22"/>
                <w:szCs w:val="22"/>
              </w:rPr>
            </w:pPr>
            <w:r w:rsidRPr="008573C5">
              <w:rPr>
                <w:sz w:val="22"/>
                <w:szCs w:val="22"/>
              </w:rPr>
              <w:t>Profitability</w:t>
            </w:r>
          </w:p>
          <w:p w:rsidR="00E038A6" w:rsidRPr="008573C5" w:rsidRDefault="00E038A6" w:rsidP="00A325A0">
            <w:pPr>
              <w:autoSpaceDE w:val="0"/>
              <w:autoSpaceDN w:val="0"/>
              <w:adjustRightInd w:val="0"/>
              <w:spacing w:line="480" w:lineRule="auto"/>
              <w:rPr>
                <w:sz w:val="22"/>
                <w:szCs w:val="22"/>
              </w:rPr>
            </w:pPr>
            <w:r w:rsidRPr="008573C5">
              <w:rPr>
                <w:sz w:val="22"/>
                <w:szCs w:val="22"/>
              </w:rPr>
              <w:t>Leverage</w:t>
            </w:r>
          </w:p>
          <w:p w:rsidR="00E038A6" w:rsidRPr="008573C5" w:rsidRDefault="00E038A6" w:rsidP="00A325A0">
            <w:pPr>
              <w:autoSpaceDE w:val="0"/>
              <w:autoSpaceDN w:val="0"/>
              <w:adjustRightInd w:val="0"/>
              <w:spacing w:line="480" w:lineRule="auto"/>
              <w:rPr>
                <w:sz w:val="22"/>
                <w:szCs w:val="22"/>
              </w:rPr>
            </w:pPr>
            <w:r w:rsidRPr="008573C5">
              <w:rPr>
                <w:sz w:val="22"/>
                <w:szCs w:val="22"/>
              </w:rPr>
              <w:t>Age</w:t>
            </w:r>
          </w:p>
          <w:p w:rsidR="00E038A6" w:rsidRPr="008573C5" w:rsidRDefault="00E038A6" w:rsidP="00A325A0">
            <w:pPr>
              <w:autoSpaceDE w:val="0"/>
              <w:autoSpaceDN w:val="0"/>
              <w:adjustRightInd w:val="0"/>
              <w:spacing w:line="480" w:lineRule="auto"/>
              <w:rPr>
                <w:sz w:val="22"/>
                <w:szCs w:val="22"/>
              </w:rPr>
            </w:pPr>
            <w:r w:rsidRPr="008573C5">
              <w:rPr>
                <w:sz w:val="22"/>
                <w:szCs w:val="22"/>
              </w:rPr>
              <w:t>Multinational</w:t>
            </w:r>
          </w:p>
          <w:p w:rsidR="00E038A6" w:rsidRPr="008573C5" w:rsidRDefault="00E038A6" w:rsidP="00A325A0">
            <w:pPr>
              <w:autoSpaceDE w:val="0"/>
              <w:autoSpaceDN w:val="0"/>
              <w:adjustRightInd w:val="0"/>
              <w:spacing w:line="480" w:lineRule="auto"/>
              <w:rPr>
                <w:sz w:val="22"/>
                <w:szCs w:val="22"/>
              </w:rPr>
            </w:pPr>
            <w:r w:rsidRPr="008573C5">
              <w:rPr>
                <w:sz w:val="22"/>
                <w:szCs w:val="22"/>
              </w:rPr>
              <w:t>Sector</w:t>
            </w:r>
          </w:p>
          <w:p w:rsidR="00E038A6" w:rsidRPr="008573C5" w:rsidRDefault="00E038A6" w:rsidP="00A325A0">
            <w:pPr>
              <w:autoSpaceDE w:val="0"/>
              <w:autoSpaceDN w:val="0"/>
              <w:adjustRightInd w:val="0"/>
              <w:spacing w:line="480" w:lineRule="auto"/>
              <w:rPr>
                <w:sz w:val="22"/>
                <w:szCs w:val="22"/>
              </w:rPr>
            </w:pPr>
            <w:r w:rsidRPr="008573C5">
              <w:rPr>
                <w:sz w:val="22"/>
                <w:szCs w:val="22"/>
              </w:rPr>
              <w:t xml:space="preserve">Auditor </w:t>
            </w:r>
          </w:p>
          <w:p w:rsidR="00E038A6" w:rsidRPr="008573C5" w:rsidRDefault="00E038A6" w:rsidP="00A325A0">
            <w:pPr>
              <w:autoSpaceDE w:val="0"/>
              <w:autoSpaceDN w:val="0"/>
              <w:adjustRightInd w:val="0"/>
              <w:spacing w:line="480" w:lineRule="auto"/>
              <w:rPr>
                <w:sz w:val="22"/>
                <w:szCs w:val="22"/>
              </w:rPr>
            </w:pPr>
            <w:r w:rsidRPr="008573C5">
              <w:rPr>
                <w:sz w:val="22"/>
                <w:szCs w:val="22"/>
              </w:rPr>
              <w:t>Constant</w:t>
            </w:r>
          </w:p>
        </w:tc>
        <w:tc>
          <w:tcPr>
            <w:tcW w:w="1170" w:type="dxa"/>
          </w:tcPr>
          <w:p w:rsidR="00E038A6" w:rsidRPr="008573C5" w:rsidRDefault="00E038A6" w:rsidP="00A325A0">
            <w:pPr>
              <w:autoSpaceDE w:val="0"/>
              <w:autoSpaceDN w:val="0"/>
              <w:adjustRightInd w:val="0"/>
              <w:spacing w:line="480" w:lineRule="auto"/>
              <w:rPr>
                <w:sz w:val="22"/>
                <w:szCs w:val="22"/>
              </w:rPr>
            </w:pPr>
            <w:r w:rsidRPr="008573C5">
              <w:rPr>
                <w:sz w:val="22"/>
                <w:szCs w:val="22"/>
              </w:rPr>
              <w:t>0.584***</w:t>
            </w:r>
          </w:p>
          <w:p w:rsidR="00E038A6" w:rsidRPr="008573C5" w:rsidRDefault="00E038A6" w:rsidP="00A325A0">
            <w:pPr>
              <w:autoSpaceDE w:val="0"/>
              <w:autoSpaceDN w:val="0"/>
              <w:adjustRightInd w:val="0"/>
              <w:spacing w:line="480" w:lineRule="auto"/>
              <w:rPr>
                <w:sz w:val="22"/>
                <w:szCs w:val="22"/>
              </w:rPr>
            </w:pPr>
            <w:r w:rsidRPr="008573C5">
              <w:rPr>
                <w:sz w:val="22"/>
                <w:szCs w:val="22"/>
              </w:rPr>
              <w:t>0.023</w:t>
            </w:r>
          </w:p>
          <w:p w:rsidR="00E038A6" w:rsidRPr="008573C5" w:rsidRDefault="00E038A6" w:rsidP="00A325A0">
            <w:pPr>
              <w:autoSpaceDE w:val="0"/>
              <w:autoSpaceDN w:val="0"/>
              <w:adjustRightInd w:val="0"/>
              <w:spacing w:line="480" w:lineRule="auto"/>
              <w:rPr>
                <w:sz w:val="22"/>
                <w:szCs w:val="22"/>
              </w:rPr>
            </w:pPr>
            <w:r w:rsidRPr="008573C5">
              <w:rPr>
                <w:sz w:val="22"/>
                <w:szCs w:val="22"/>
              </w:rPr>
              <w:t>-0.098</w:t>
            </w:r>
          </w:p>
          <w:p w:rsidR="00E038A6" w:rsidRPr="008573C5" w:rsidRDefault="00E038A6" w:rsidP="00A325A0">
            <w:pPr>
              <w:autoSpaceDE w:val="0"/>
              <w:autoSpaceDN w:val="0"/>
              <w:adjustRightInd w:val="0"/>
              <w:spacing w:line="480" w:lineRule="auto"/>
              <w:rPr>
                <w:sz w:val="22"/>
                <w:szCs w:val="22"/>
              </w:rPr>
            </w:pPr>
            <w:r w:rsidRPr="008573C5">
              <w:rPr>
                <w:sz w:val="22"/>
                <w:szCs w:val="22"/>
              </w:rPr>
              <w:t>0.082</w:t>
            </w:r>
          </w:p>
          <w:p w:rsidR="00E038A6" w:rsidRPr="008573C5" w:rsidRDefault="00E038A6" w:rsidP="00A325A0">
            <w:pPr>
              <w:autoSpaceDE w:val="0"/>
              <w:autoSpaceDN w:val="0"/>
              <w:adjustRightInd w:val="0"/>
              <w:spacing w:line="480" w:lineRule="auto"/>
              <w:rPr>
                <w:sz w:val="22"/>
                <w:szCs w:val="22"/>
              </w:rPr>
            </w:pPr>
            <w:r w:rsidRPr="008573C5">
              <w:rPr>
                <w:sz w:val="22"/>
                <w:szCs w:val="22"/>
              </w:rPr>
              <w:t>0.099</w:t>
            </w:r>
          </w:p>
          <w:p w:rsidR="00E038A6" w:rsidRPr="008573C5" w:rsidRDefault="00E038A6" w:rsidP="00A325A0">
            <w:pPr>
              <w:autoSpaceDE w:val="0"/>
              <w:autoSpaceDN w:val="0"/>
              <w:adjustRightInd w:val="0"/>
              <w:spacing w:line="480" w:lineRule="auto"/>
              <w:rPr>
                <w:sz w:val="22"/>
                <w:szCs w:val="22"/>
              </w:rPr>
            </w:pPr>
            <w:r w:rsidRPr="008573C5">
              <w:rPr>
                <w:sz w:val="22"/>
                <w:szCs w:val="22"/>
              </w:rPr>
              <w:t>-0.391</w:t>
            </w:r>
          </w:p>
          <w:p w:rsidR="00E038A6" w:rsidRPr="008573C5" w:rsidRDefault="00E038A6" w:rsidP="00A325A0">
            <w:pPr>
              <w:autoSpaceDE w:val="0"/>
              <w:autoSpaceDN w:val="0"/>
              <w:adjustRightInd w:val="0"/>
              <w:spacing w:line="480" w:lineRule="auto"/>
              <w:rPr>
                <w:sz w:val="22"/>
                <w:szCs w:val="22"/>
              </w:rPr>
            </w:pPr>
            <w:r w:rsidRPr="008573C5">
              <w:rPr>
                <w:sz w:val="22"/>
                <w:szCs w:val="22"/>
              </w:rPr>
              <w:t>23.438***</w:t>
            </w:r>
          </w:p>
          <w:p w:rsidR="00E038A6" w:rsidRPr="008573C5" w:rsidRDefault="00E038A6" w:rsidP="00A325A0">
            <w:pPr>
              <w:autoSpaceDE w:val="0"/>
              <w:autoSpaceDN w:val="0"/>
              <w:adjustRightInd w:val="0"/>
              <w:spacing w:line="480" w:lineRule="auto"/>
              <w:rPr>
                <w:sz w:val="22"/>
                <w:szCs w:val="22"/>
              </w:rPr>
            </w:pPr>
            <w:r w:rsidRPr="008573C5">
              <w:rPr>
                <w:sz w:val="22"/>
                <w:szCs w:val="22"/>
              </w:rPr>
              <w:t>6.643</w:t>
            </w:r>
          </w:p>
        </w:tc>
        <w:tc>
          <w:tcPr>
            <w:tcW w:w="1080" w:type="dxa"/>
          </w:tcPr>
          <w:p w:rsidR="00E038A6" w:rsidRPr="008573C5" w:rsidRDefault="00E038A6" w:rsidP="00A325A0">
            <w:pPr>
              <w:autoSpaceDE w:val="0"/>
              <w:autoSpaceDN w:val="0"/>
              <w:adjustRightInd w:val="0"/>
              <w:spacing w:line="480" w:lineRule="auto"/>
              <w:rPr>
                <w:sz w:val="22"/>
                <w:szCs w:val="22"/>
              </w:rPr>
            </w:pPr>
            <w:r w:rsidRPr="008573C5">
              <w:rPr>
                <w:sz w:val="22"/>
                <w:szCs w:val="22"/>
              </w:rPr>
              <w:t>(4.787)</w:t>
            </w:r>
          </w:p>
          <w:p w:rsidR="00E038A6" w:rsidRPr="008573C5" w:rsidRDefault="00E038A6" w:rsidP="00A325A0">
            <w:pPr>
              <w:autoSpaceDE w:val="0"/>
              <w:autoSpaceDN w:val="0"/>
              <w:adjustRightInd w:val="0"/>
              <w:spacing w:line="480" w:lineRule="auto"/>
              <w:rPr>
                <w:sz w:val="22"/>
                <w:szCs w:val="22"/>
              </w:rPr>
            </w:pPr>
            <w:r w:rsidRPr="008573C5">
              <w:rPr>
                <w:sz w:val="22"/>
                <w:szCs w:val="22"/>
              </w:rPr>
              <w:t>(0.296)</w:t>
            </w:r>
          </w:p>
          <w:p w:rsidR="00E038A6" w:rsidRPr="008573C5" w:rsidRDefault="00E038A6" w:rsidP="00A325A0">
            <w:pPr>
              <w:autoSpaceDE w:val="0"/>
              <w:autoSpaceDN w:val="0"/>
              <w:adjustRightInd w:val="0"/>
              <w:spacing w:line="480" w:lineRule="auto"/>
              <w:rPr>
                <w:sz w:val="22"/>
                <w:szCs w:val="22"/>
              </w:rPr>
            </w:pPr>
            <w:r w:rsidRPr="008573C5">
              <w:rPr>
                <w:sz w:val="22"/>
                <w:szCs w:val="22"/>
              </w:rPr>
              <w:t>(1.127)</w:t>
            </w:r>
          </w:p>
          <w:p w:rsidR="00E038A6" w:rsidRPr="008573C5" w:rsidRDefault="00E038A6" w:rsidP="00A325A0">
            <w:pPr>
              <w:autoSpaceDE w:val="0"/>
              <w:autoSpaceDN w:val="0"/>
              <w:adjustRightInd w:val="0"/>
              <w:spacing w:line="480" w:lineRule="auto"/>
              <w:rPr>
                <w:sz w:val="22"/>
                <w:szCs w:val="22"/>
              </w:rPr>
            </w:pPr>
            <w:r w:rsidRPr="008573C5">
              <w:rPr>
                <w:sz w:val="22"/>
                <w:szCs w:val="22"/>
              </w:rPr>
              <w:t>(0.914)</w:t>
            </w:r>
          </w:p>
          <w:p w:rsidR="00E038A6" w:rsidRPr="008573C5" w:rsidRDefault="00E038A6" w:rsidP="00A325A0">
            <w:pPr>
              <w:autoSpaceDE w:val="0"/>
              <w:autoSpaceDN w:val="0"/>
              <w:adjustRightInd w:val="0"/>
              <w:spacing w:line="480" w:lineRule="auto"/>
              <w:rPr>
                <w:sz w:val="22"/>
                <w:szCs w:val="22"/>
              </w:rPr>
            </w:pPr>
            <w:r w:rsidRPr="008573C5">
              <w:rPr>
                <w:sz w:val="22"/>
                <w:szCs w:val="22"/>
              </w:rPr>
              <w:t>(0.924)</w:t>
            </w:r>
          </w:p>
          <w:p w:rsidR="00E038A6" w:rsidRPr="008573C5" w:rsidRDefault="00E038A6" w:rsidP="00A325A0">
            <w:pPr>
              <w:autoSpaceDE w:val="0"/>
              <w:autoSpaceDN w:val="0"/>
              <w:adjustRightInd w:val="0"/>
              <w:spacing w:line="480" w:lineRule="auto"/>
              <w:rPr>
                <w:sz w:val="22"/>
                <w:szCs w:val="22"/>
              </w:rPr>
            </w:pPr>
            <w:r w:rsidRPr="008573C5">
              <w:rPr>
                <w:sz w:val="22"/>
                <w:szCs w:val="22"/>
              </w:rPr>
              <w:t>(0.064)</w:t>
            </w:r>
          </w:p>
          <w:p w:rsidR="00E038A6" w:rsidRPr="008573C5" w:rsidRDefault="00E038A6" w:rsidP="00A325A0">
            <w:pPr>
              <w:autoSpaceDE w:val="0"/>
              <w:autoSpaceDN w:val="0"/>
              <w:adjustRightInd w:val="0"/>
              <w:spacing w:line="480" w:lineRule="auto"/>
              <w:rPr>
                <w:sz w:val="22"/>
                <w:szCs w:val="22"/>
              </w:rPr>
            </w:pPr>
            <w:r w:rsidRPr="008573C5">
              <w:rPr>
                <w:sz w:val="22"/>
                <w:szCs w:val="22"/>
              </w:rPr>
              <w:t>(4.223)</w:t>
            </w:r>
          </w:p>
          <w:p w:rsidR="00E038A6" w:rsidRPr="008573C5" w:rsidRDefault="00E038A6" w:rsidP="00A325A0">
            <w:pPr>
              <w:autoSpaceDE w:val="0"/>
              <w:autoSpaceDN w:val="0"/>
              <w:adjustRightInd w:val="0"/>
              <w:spacing w:line="480" w:lineRule="auto"/>
              <w:rPr>
                <w:sz w:val="22"/>
                <w:szCs w:val="22"/>
              </w:rPr>
            </w:pPr>
            <w:r w:rsidRPr="008573C5">
              <w:rPr>
                <w:sz w:val="22"/>
                <w:szCs w:val="22"/>
              </w:rPr>
              <w:t>(0.595)</w:t>
            </w:r>
          </w:p>
        </w:tc>
        <w:tc>
          <w:tcPr>
            <w:tcW w:w="1080" w:type="dxa"/>
          </w:tcPr>
          <w:p w:rsidR="00E038A6" w:rsidRPr="008573C5" w:rsidRDefault="00E038A6" w:rsidP="00A325A0">
            <w:pPr>
              <w:autoSpaceDE w:val="0"/>
              <w:autoSpaceDN w:val="0"/>
              <w:adjustRightInd w:val="0"/>
              <w:spacing w:line="480" w:lineRule="auto"/>
              <w:rPr>
                <w:sz w:val="22"/>
                <w:szCs w:val="22"/>
              </w:rPr>
            </w:pPr>
            <w:r w:rsidRPr="008573C5">
              <w:rPr>
                <w:sz w:val="22"/>
                <w:szCs w:val="22"/>
              </w:rPr>
              <w:t>0.236*</w:t>
            </w:r>
          </w:p>
          <w:p w:rsidR="00E038A6" w:rsidRPr="008573C5" w:rsidRDefault="00E038A6" w:rsidP="00A325A0">
            <w:pPr>
              <w:autoSpaceDE w:val="0"/>
              <w:autoSpaceDN w:val="0"/>
              <w:adjustRightInd w:val="0"/>
              <w:spacing w:line="480" w:lineRule="auto"/>
              <w:rPr>
                <w:sz w:val="22"/>
                <w:szCs w:val="22"/>
              </w:rPr>
            </w:pPr>
            <w:r w:rsidRPr="008573C5">
              <w:rPr>
                <w:sz w:val="22"/>
                <w:szCs w:val="22"/>
              </w:rPr>
              <w:t>-0.073</w:t>
            </w:r>
          </w:p>
          <w:p w:rsidR="00E038A6" w:rsidRPr="008573C5" w:rsidRDefault="00E038A6" w:rsidP="00A325A0">
            <w:pPr>
              <w:autoSpaceDE w:val="0"/>
              <w:autoSpaceDN w:val="0"/>
              <w:adjustRightInd w:val="0"/>
              <w:spacing w:line="480" w:lineRule="auto"/>
              <w:rPr>
                <w:sz w:val="22"/>
                <w:szCs w:val="22"/>
              </w:rPr>
            </w:pPr>
            <w:r w:rsidRPr="008573C5">
              <w:rPr>
                <w:sz w:val="22"/>
                <w:szCs w:val="22"/>
              </w:rPr>
              <w:t>0.201**</w:t>
            </w:r>
          </w:p>
          <w:p w:rsidR="00E038A6" w:rsidRPr="008573C5" w:rsidRDefault="00E038A6" w:rsidP="00A325A0">
            <w:pPr>
              <w:autoSpaceDE w:val="0"/>
              <w:autoSpaceDN w:val="0"/>
              <w:adjustRightInd w:val="0"/>
              <w:spacing w:line="480" w:lineRule="auto"/>
              <w:rPr>
                <w:sz w:val="22"/>
                <w:szCs w:val="22"/>
              </w:rPr>
            </w:pPr>
            <w:r w:rsidRPr="008573C5">
              <w:rPr>
                <w:sz w:val="22"/>
                <w:szCs w:val="22"/>
              </w:rPr>
              <w:t>0.093</w:t>
            </w:r>
          </w:p>
          <w:p w:rsidR="00E038A6" w:rsidRPr="008573C5" w:rsidRDefault="00E038A6" w:rsidP="00A325A0">
            <w:pPr>
              <w:autoSpaceDE w:val="0"/>
              <w:autoSpaceDN w:val="0"/>
              <w:adjustRightInd w:val="0"/>
              <w:spacing w:line="480" w:lineRule="auto"/>
              <w:rPr>
                <w:sz w:val="22"/>
                <w:szCs w:val="22"/>
              </w:rPr>
            </w:pPr>
            <w:r w:rsidRPr="008573C5">
              <w:rPr>
                <w:sz w:val="22"/>
                <w:szCs w:val="22"/>
              </w:rPr>
              <w:t>0.277**</w:t>
            </w:r>
          </w:p>
          <w:p w:rsidR="00E038A6" w:rsidRPr="008573C5" w:rsidRDefault="00E038A6" w:rsidP="00A325A0">
            <w:pPr>
              <w:autoSpaceDE w:val="0"/>
              <w:autoSpaceDN w:val="0"/>
              <w:adjustRightInd w:val="0"/>
              <w:spacing w:line="480" w:lineRule="auto"/>
              <w:rPr>
                <w:sz w:val="22"/>
                <w:szCs w:val="22"/>
              </w:rPr>
            </w:pPr>
            <w:r w:rsidRPr="008573C5">
              <w:rPr>
                <w:sz w:val="22"/>
                <w:szCs w:val="22"/>
              </w:rPr>
              <w:t>-6.192</w:t>
            </w:r>
          </w:p>
          <w:p w:rsidR="00E038A6" w:rsidRPr="008573C5" w:rsidRDefault="00E038A6" w:rsidP="00A325A0">
            <w:pPr>
              <w:autoSpaceDE w:val="0"/>
              <w:autoSpaceDN w:val="0"/>
              <w:adjustRightInd w:val="0"/>
              <w:spacing w:line="480" w:lineRule="auto"/>
              <w:rPr>
                <w:sz w:val="22"/>
                <w:szCs w:val="22"/>
              </w:rPr>
            </w:pPr>
            <w:r w:rsidRPr="008573C5">
              <w:rPr>
                <w:sz w:val="22"/>
                <w:szCs w:val="22"/>
              </w:rPr>
              <w:t>25.9***</w:t>
            </w:r>
          </w:p>
          <w:p w:rsidR="00E038A6" w:rsidRPr="008573C5" w:rsidRDefault="00E038A6" w:rsidP="00A325A0">
            <w:pPr>
              <w:autoSpaceDE w:val="0"/>
              <w:autoSpaceDN w:val="0"/>
              <w:adjustRightInd w:val="0"/>
              <w:spacing w:line="480" w:lineRule="auto"/>
              <w:rPr>
                <w:sz w:val="22"/>
                <w:szCs w:val="22"/>
              </w:rPr>
            </w:pPr>
            <w:r w:rsidRPr="008573C5">
              <w:rPr>
                <w:sz w:val="22"/>
                <w:szCs w:val="22"/>
              </w:rPr>
              <w:t>7.287</w:t>
            </w:r>
          </w:p>
          <w:p w:rsidR="00E038A6" w:rsidRPr="008573C5" w:rsidRDefault="00E038A6" w:rsidP="00A325A0">
            <w:pPr>
              <w:autoSpaceDE w:val="0"/>
              <w:autoSpaceDN w:val="0"/>
              <w:adjustRightInd w:val="0"/>
              <w:spacing w:line="480" w:lineRule="auto"/>
              <w:rPr>
                <w:sz w:val="22"/>
                <w:szCs w:val="22"/>
              </w:rPr>
            </w:pPr>
          </w:p>
        </w:tc>
        <w:tc>
          <w:tcPr>
            <w:tcW w:w="990" w:type="dxa"/>
          </w:tcPr>
          <w:p w:rsidR="00E038A6" w:rsidRPr="008573C5" w:rsidRDefault="00E038A6" w:rsidP="00A325A0">
            <w:pPr>
              <w:autoSpaceDE w:val="0"/>
              <w:autoSpaceDN w:val="0"/>
              <w:adjustRightInd w:val="0"/>
              <w:spacing w:line="480" w:lineRule="auto"/>
              <w:rPr>
                <w:sz w:val="22"/>
                <w:szCs w:val="22"/>
              </w:rPr>
            </w:pPr>
            <w:r w:rsidRPr="008573C5">
              <w:rPr>
                <w:sz w:val="22"/>
                <w:szCs w:val="22"/>
              </w:rPr>
              <w:t>(1.712)</w:t>
            </w:r>
          </w:p>
          <w:p w:rsidR="00E038A6" w:rsidRPr="008573C5" w:rsidRDefault="00E038A6" w:rsidP="00A325A0">
            <w:pPr>
              <w:autoSpaceDE w:val="0"/>
              <w:autoSpaceDN w:val="0"/>
              <w:adjustRightInd w:val="0"/>
              <w:spacing w:line="480" w:lineRule="auto"/>
              <w:rPr>
                <w:sz w:val="22"/>
                <w:szCs w:val="22"/>
              </w:rPr>
            </w:pPr>
            <w:r w:rsidRPr="008573C5">
              <w:rPr>
                <w:sz w:val="22"/>
                <w:szCs w:val="22"/>
              </w:rPr>
              <w:t>(0.708)</w:t>
            </w:r>
          </w:p>
          <w:p w:rsidR="00E038A6" w:rsidRPr="008573C5" w:rsidRDefault="00E038A6" w:rsidP="00A325A0">
            <w:pPr>
              <w:autoSpaceDE w:val="0"/>
              <w:autoSpaceDN w:val="0"/>
              <w:adjustRightInd w:val="0"/>
              <w:spacing w:line="480" w:lineRule="auto"/>
              <w:rPr>
                <w:sz w:val="22"/>
                <w:szCs w:val="22"/>
              </w:rPr>
            </w:pPr>
            <w:r w:rsidRPr="008573C5">
              <w:rPr>
                <w:sz w:val="22"/>
                <w:szCs w:val="22"/>
              </w:rPr>
              <w:t>(2.036)</w:t>
            </w:r>
          </w:p>
          <w:p w:rsidR="00E038A6" w:rsidRPr="008573C5" w:rsidRDefault="00E038A6" w:rsidP="00A325A0">
            <w:pPr>
              <w:autoSpaceDE w:val="0"/>
              <w:autoSpaceDN w:val="0"/>
              <w:adjustRightInd w:val="0"/>
              <w:spacing w:line="480" w:lineRule="auto"/>
              <w:rPr>
                <w:sz w:val="22"/>
                <w:szCs w:val="22"/>
              </w:rPr>
            </w:pPr>
            <w:r w:rsidRPr="008573C5">
              <w:rPr>
                <w:sz w:val="22"/>
                <w:szCs w:val="22"/>
              </w:rPr>
              <w:t>(0.922)</w:t>
            </w:r>
          </w:p>
          <w:p w:rsidR="00E038A6" w:rsidRPr="008573C5" w:rsidRDefault="00E038A6" w:rsidP="00A325A0">
            <w:pPr>
              <w:autoSpaceDE w:val="0"/>
              <w:autoSpaceDN w:val="0"/>
              <w:adjustRightInd w:val="0"/>
              <w:spacing w:line="480" w:lineRule="auto"/>
              <w:rPr>
                <w:sz w:val="22"/>
                <w:szCs w:val="22"/>
              </w:rPr>
            </w:pPr>
            <w:r w:rsidRPr="008573C5">
              <w:rPr>
                <w:sz w:val="22"/>
                <w:szCs w:val="22"/>
              </w:rPr>
              <w:t>(2.284)</w:t>
            </w:r>
          </w:p>
          <w:p w:rsidR="00E038A6" w:rsidRPr="008573C5" w:rsidRDefault="00E038A6" w:rsidP="00A325A0">
            <w:pPr>
              <w:autoSpaceDE w:val="0"/>
              <w:autoSpaceDN w:val="0"/>
              <w:adjustRightInd w:val="0"/>
              <w:spacing w:line="480" w:lineRule="auto"/>
              <w:rPr>
                <w:sz w:val="22"/>
                <w:szCs w:val="22"/>
              </w:rPr>
            </w:pPr>
            <w:r w:rsidRPr="008573C5">
              <w:rPr>
                <w:sz w:val="22"/>
                <w:szCs w:val="22"/>
              </w:rPr>
              <w:t>(0.890)</w:t>
            </w:r>
          </w:p>
          <w:p w:rsidR="00E038A6" w:rsidRPr="008573C5" w:rsidRDefault="00E038A6" w:rsidP="00A325A0">
            <w:pPr>
              <w:autoSpaceDE w:val="0"/>
              <w:autoSpaceDN w:val="0"/>
              <w:adjustRightInd w:val="0"/>
              <w:spacing w:line="480" w:lineRule="auto"/>
              <w:rPr>
                <w:sz w:val="22"/>
                <w:szCs w:val="22"/>
              </w:rPr>
            </w:pPr>
            <w:r w:rsidRPr="008573C5">
              <w:rPr>
                <w:sz w:val="22"/>
                <w:szCs w:val="22"/>
              </w:rPr>
              <w:t>(4.126)</w:t>
            </w:r>
          </w:p>
          <w:p w:rsidR="00E038A6" w:rsidRPr="008573C5" w:rsidRDefault="00E038A6" w:rsidP="00A325A0">
            <w:pPr>
              <w:autoSpaceDE w:val="0"/>
              <w:autoSpaceDN w:val="0"/>
              <w:adjustRightInd w:val="0"/>
              <w:spacing w:line="480" w:lineRule="auto"/>
              <w:rPr>
                <w:sz w:val="22"/>
                <w:szCs w:val="22"/>
              </w:rPr>
            </w:pPr>
            <w:r w:rsidRPr="008573C5">
              <w:rPr>
                <w:sz w:val="22"/>
                <w:szCs w:val="22"/>
              </w:rPr>
              <w:t>(0.576)</w:t>
            </w:r>
          </w:p>
          <w:p w:rsidR="00E038A6" w:rsidRPr="008573C5" w:rsidRDefault="00E038A6" w:rsidP="00A325A0">
            <w:pPr>
              <w:autoSpaceDE w:val="0"/>
              <w:autoSpaceDN w:val="0"/>
              <w:adjustRightInd w:val="0"/>
              <w:spacing w:line="480" w:lineRule="auto"/>
              <w:rPr>
                <w:sz w:val="22"/>
                <w:szCs w:val="22"/>
              </w:rPr>
            </w:pPr>
          </w:p>
        </w:tc>
        <w:tc>
          <w:tcPr>
            <w:tcW w:w="1170" w:type="dxa"/>
          </w:tcPr>
          <w:p w:rsidR="00E038A6" w:rsidRPr="008573C5" w:rsidRDefault="00E038A6" w:rsidP="00A325A0">
            <w:pPr>
              <w:autoSpaceDE w:val="0"/>
              <w:autoSpaceDN w:val="0"/>
              <w:adjustRightInd w:val="0"/>
              <w:spacing w:line="480" w:lineRule="auto"/>
              <w:rPr>
                <w:sz w:val="22"/>
                <w:szCs w:val="22"/>
              </w:rPr>
            </w:pPr>
            <w:r w:rsidRPr="008573C5">
              <w:rPr>
                <w:sz w:val="22"/>
                <w:szCs w:val="22"/>
              </w:rPr>
              <w:t>0.646***</w:t>
            </w:r>
          </w:p>
          <w:p w:rsidR="00E038A6" w:rsidRPr="008573C5" w:rsidRDefault="00E038A6" w:rsidP="00A325A0">
            <w:pPr>
              <w:autoSpaceDE w:val="0"/>
              <w:autoSpaceDN w:val="0"/>
              <w:adjustRightInd w:val="0"/>
              <w:spacing w:line="480" w:lineRule="auto"/>
              <w:rPr>
                <w:sz w:val="22"/>
                <w:szCs w:val="22"/>
              </w:rPr>
            </w:pPr>
            <w:r w:rsidRPr="008573C5">
              <w:rPr>
                <w:sz w:val="22"/>
                <w:szCs w:val="22"/>
              </w:rPr>
              <w:t>-0.052</w:t>
            </w:r>
          </w:p>
          <w:p w:rsidR="00E038A6" w:rsidRPr="008573C5" w:rsidRDefault="00E038A6" w:rsidP="00A325A0">
            <w:pPr>
              <w:autoSpaceDE w:val="0"/>
              <w:autoSpaceDN w:val="0"/>
              <w:adjustRightInd w:val="0"/>
              <w:spacing w:line="480" w:lineRule="auto"/>
              <w:rPr>
                <w:sz w:val="22"/>
                <w:szCs w:val="22"/>
              </w:rPr>
            </w:pPr>
            <w:r w:rsidRPr="008573C5">
              <w:rPr>
                <w:sz w:val="22"/>
                <w:szCs w:val="22"/>
              </w:rPr>
              <w:t>0.119</w:t>
            </w:r>
          </w:p>
          <w:p w:rsidR="00E038A6" w:rsidRPr="008573C5" w:rsidRDefault="00E038A6" w:rsidP="00A325A0">
            <w:pPr>
              <w:autoSpaceDE w:val="0"/>
              <w:autoSpaceDN w:val="0"/>
              <w:adjustRightInd w:val="0"/>
              <w:spacing w:line="480" w:lineRule="auto"/>
              <w:rPr>
                <w:sz w:val="22"/>
                <w:szCs w:val="22"/>
              </w:rPr>
            </w:pPr>
            <w:r w:rsidRPr="008573C5">
              <w:rPr>
                <w:sz w:val="22"/>
                <w:szCs w:val="22"/>
              </w:rPr>
              <w:t>-0.103</w:t>
            </w:r>
          </w:p>
          <w:p w:rsidR="00E038A6" w:rsidRPr="008573C5" w:rsidRDefault="00E038A6" w:rsidP="00A325A0">
            <w:pPr>
              <w:autoSpaceDE w:val="0"/>
              <w:autoSpaceDN w:val="0"/>
              <w:adjustRightInd w:val="0"/>
              <w:spacing w:line="480" w:lineRule="auto"/>
              <w:rPr>
                <w:sz w:val="22"/>
                <w:szCs w:val="22"/>
              </w:rPr>
            </w:pPr>
            <w:r w:rsidRPr="008573C5">
              <w:rPr>
                <w:sz w:val="22"/>
                <w:szCs w:val="22"/>
              </w:rPr>
              <w:t>-0.047</w:t>
            </w:r>
          </w:p>
          <w:p w:rsidR="00E038A6" w:rsidRPr="008573C5" w:rsidRDefault="00E038A6" w:rsidP="00A325A0">
            <w:pPr>
              <w:autoSpaceDE w:val="0"/>
              <w:autoSpaceDN w:val="0"/>
              <w:adjustRightInd w:val="0"/>
              <w:spacing w:line="480" w:lineRule="auto"/>
              <w:rPr>
                <w:sz w:val="22"/>
                <w:szCs w:val="22"/>
              </w:rPr>
            </w:pPr>
            <w:r w:rsidRPr="008573C5">
              <w:rPr>
                <w:sz w:val="22"/>
                <w:szCs w:val="22"/>
              </w:rPr>
              <w:t>6.289</w:t>
            </w:r>
          </w:p>
          <w:p w:rsidR="00E038A6" w:rsidRPr="008573C5" w:rsidRDefault="00E038A6" w:rsidP="00A325A0">
            <w:pPr>
              <w:autoSpaceDE w:val="0"/>
              <w:autoSpaceDN w:val="0"/>
              <w:adjustRightInd w:val="0"/>
              <w:spacing w:line="480" w:lineRule="auto"/>
              <w:rPr>
                <w:sz w:val="22"/>
                <w:szCs w:val="22"/>
              </w:rPr>
            </w:pPr>
            <w:r w:rsidRPr="008573C5">
              <w:rPr>
                <w:sz w:val="22"/>
                <w:szCs w:val="22"/>
              </w:rPr>
              <w:t>20.599***</w:t>
            </w:r>
            <w:r w:rsidRPr="008573C5">
              <w:rPr>
                <w:sz w:val="22"/>
                <w:szCs w:val="22"/>
              </w:rPr>
              <w:cr/>
              <w:t xml:space="preserve"> 3.055</w:t>
            </w:r>
          </w:p>
          <w:p w:rsidR="00E038A6" w:rsidRPr="008573C5" w:rsidRDefault="00E038A6" w:rsidP="00A325A0">
            <w:pPr>
              <w:autoSpaceDE w:val="0"/>
              <w:autoSpaceDN w:val="0"/>
              <w:adjustRightInd w:val="0"/>
              <w:spacing w:line="480" w:lineRule="auto"/>
              <w:rPr>
                <w:sz w:val="22"/>
                <w:szCs w:val="22"/>
              </w:rPr>
            </w:pPr>
          </w:p>
        </w:tc>
        <w:tc>
          <w:tcPr>
            <w:tcW w:w="990" w:type="dxa"/>
          </w:tcPr>
          <w:p w:rsidR="00E038A6" w:rsidRPr="008573C5" w:rsidRDefault="00E038A6" w:rsidP="00A325A0">
            <w:pPr>
              <w:autoSpaceDE w:val="0"/>
              <w:autoSpaceDN w:val="0"/>
              <w:adjustRightInd w:val="0"/>
              <w:spacing w:line="480" w:lineRule="auto"/>
              <w:rPr>
                <w:sz w:val="22"/>
                <w:szCs w:val="22"/>
              </w:rPr>
            </w:pPr>
            <w:r w:rsidRPr="008573C5">
              <w:rPr>
                <w:sz w:val="22"/>
                <w:szCs w:val="22"/>
              </w:rPr>
              <w:t>(5.583)</w:t>
            </w:r>
          </w:p>
          <w:p w:rsidR="00E038A6" w:rsidRPr="008573C5" w:rsidRDefault="00E038A6" w:rsidP="00A325A0">
            <w:pPr>
              <w:autoSpaceDE w:val="0"/>
              <w:autoSpaceDN w:val="0"/>
              <w:adjustRightInd w:val="0"/>
              <w:spacing w:line="480" w:lineRule="auto"/>
              <w:rPr>
                <w:sz w:val="22"/>
                <w:szCs w:val="22"/>
              </w:rPr>
            </w:pPr>
            <w:r w:rsidRPr="008573C5">
              <w:rPr>
                <w:sz w:val="22"/>
                <w:szCs w:val="22"/>
              </w:rPr>
              <w:t>(0.599)</w:t>
            </w:r>
          </w:p>
          <w:p w:rsidR="00E038A6" w:rsidRPr="008573C5" w:rsidRDefault="00E038A6" w:rsidP="00A325A0">
            <w:pPr>
              <w:autoSpaceDE w:val="0"/>
              <w:autoSpaceDN w:val="0"/>
              <w:adjustRightInd w:val="0"/>
              <w:spacing w:line="480" w:lineRule="auto"/>
              <w:rPr>
                <w:sz w:val="22"/>
                <w:szCs w:val="22"/>
              </w:rPr>
            </w:pPr>
            <w:r w:rsidRPr="008573C5">
              <w:rPr>
                <w:sz w:val="22"/>
                <w:szCs w:val="22"/>
              </w:rPr>
              <w:t>(1.438)</w:t>
            </w:r>
          </w:p>
          <w:p w:rsidR="00E038A6" w:rsidRPr="008573C5" w:rsidRDefault="00E038A6" w:rsidP="00A325A0">
            <w:pPr>
              <w:autoSpaceDE w:val="0"/>
              <w:autoSpaceDN w:val="0"/>
              <w:adjustRightInd w:val="0"/>
              <w:spacing w:line="480" w:lineRule="auto"/>
              <w:rPr>
                <w:sz w:val="22"/>
                <w:szCs w:val="22"/>
              </w:rPr>
            </w:pPr>
            <w:r w:rsidRPr="008573C5">
              <w:rPr>
                <w:sz w:val="22"/>
                <w:szCs w:val="22"/>
              </w:rPr>
              <w:t>(1.211)</w:t>
            </w:r>
          </w:p>
          <w:p w:rsidR="00E038A6" w:rsidRPr="008573C5" w:rsidRDefault="00E038A6" w:rsidP="00A325A0">
            <w:pPr>
              <w:autoSpaceDE w:val="0"/>
              <w:autoSpaceDN w:val="0"/>
              <w:adjustRightInd w:val="0"/>
              <w:spacing w:line="480" w:lineRule="auto"/>
              <w:rPr>
                <w:sz w:val="22"/>
                <w:szCs w:val="22"/>
              </w:rPr>
            </w:pPr>
            <w:r w:rsidRPr="008573C5">
              <w:rPr>
                <w:sz w:val="22"/>
                <w:szCs w:val="22"/>
              </w:rPr>
              <w:t>(0.466)</w:t>
            </w:r>
          </w:p>
          <w:p w:rsidR="00E038A6" w:rsidRPr="008573C5" w:rsidRDefault="00E038A6" w:rsidP="00A325A0">
            <w:pPr>
              <w:autoSpaceDE w:val="0"/>
              <w:autoSpaceDN w:val="0"/>
              <w:adjustRightInd w:val="0"/>
              <w:spacing w:line="480" w:lineRule="auto"/>
              <w:rPr>
                <w:sz w:val="22"/>
                <w:szCs w:val="22"/>
              </w:rPr>
            </w:pPr>
            <w:r w:rsidRPr="008573C5">
              <w:rPr>
                <w:sz w:val="22"/>
                <w:szCs w:val="22"/>
              </w:rPr>
              <w:t>(1.078)</w:t>
            </w:r>
          </w:p>
          <w:p w:rsidR="00E038A6" w:rsidRPr="008573C5" w:rsidRDefault="00E038A6" w:rsidP="00A325A0">
            <w:pPr>
              <w:autoSpaceDE w:val="0"/>
              <w:autoSpaceDN w:val="0"/>
              <w:adjustRightInd w:val="0"/>
              <w:spacing w:line="480" w:lineRule="auto"/>
              <w:rPr>
                <w:sz w:val="22"/>
                <w:szCs w:val="22"/>
              </w:rPr>
            </w:pPr>
            <w:r w:rsidRPr="008573C5">
              <w:rPr>
                <w:sz w:val="22"/>
                <w:szCs w:val="22"/>
              </w:rPr>
              <w:t>(3.912)</w:t>
            </w:r>
          </w:p>
          <w:p w:rsidR="00E038A6" w:rsidRPr="008573C5" w:rsidRDefault="00E038A6" w:rsidP="00487783">
            <w:pPr>
              <w:autoSpaceDE w:val="0"/>
              <w:autoSpaceDN w:val="0"/>
              <w:adjustRightInd w:val="0"/>
              <w:spacing w:line="480" w:lineRule="auto"/>
              <w:rPr>
                <w:sz w:val="22"/>
                <w:szCs w:val="22"/>
              </w:rPr>
            </w:pPr>
            <w:r w:rsidRPr="008573C5">
              <w:rPr>
                <w:sz w:val="22"/>
                <w:szCs w:val="22"/>
              </w:rPr>
              <w:t>(0.288)</w:t>
            </w:r>
          </w:p>
        </w:tc>
        <w:tc>
          <w:tcPr>
            <w:tcW w:w="1080" w:type="dxa"/>
          </w:tcPr>
          <w:p w:rsidR="00E038A6" w:rsidRPr="008573C5" w:rsidRDefault="00E038A6" w:rsidP="00A325A0">
            <w:pPr>
              <w:autoSpaceDE w:val="0"/>
              <w:autoSpaceDN w:val="0"/>
              <w:adjustRightInd w:val="0"/>
              <w:spacing w:line="480" w:lineRule="auto"/>
              <w:rPr>
                <w:sz w:val="22"/>
                <w:szCs w:val="22"/>
              </w:rPr>
            </w:pPr>
            <w:r w:rsidRPr="008573C5">
              <w:rPr>
                <w:sz w:val="22"/>
                <w:szCs w:val="22"/>
              </w:rPr>
              <w:t>0.278*</w:t>
            </w:r>
          </w:p>
          <w:p w:rsidR="00E038A6" w:rsidRPr="008573C5" w:rsidRDefault="00E038A6" w:rsidP="00A325A0">
            <w:pPr>
              <w:autoSpaceDE w:val="0"/>
              <w:autoSpaceDN w:val="0"/>
              <w:adjustRightInd w:val="0"/>
              <w:spacing w:line="480" w:lineRule="auto"/>
              <w:rPr>
                <w:sz w:val="22"/>
                <w:szCs w:val="22"/>
              </w:rPr>
            </w:pPr>
            <w:r w:rsidRPr="008573C5">
              <w:rPr>
                <w:sz w:val="22"/>
                <w:szCs w:val="22"/>
              </w:rPr>
              <w:t>0.104</w:t>
            </w:r>
          </w:p>
          <w:p w:rsidR="00E038A6" w:rsidRPr="008573C5" w:rsidRDefault="00E038A6" w:rsidP="00A325A0">
            <w:pPr>
              <w:autoSpaceDE w:val="0"/>
              <w:autoSpaceDN w:val="0"/>
              <w:adjustRightInd w:val="0"/>
              <w:spacing w:line="480" w:lineRule="auto"/>
              <w:rPr>
                <w:sz w:val="22"/>
                <w:szCs w:val="22"/>
              </w:rPr>
            </w:pPr>
            <w:r w:rsidRPr="008573C5">
              <w:rPr>
                <w:sz w:val="22"/>
                <w:szCs w:val="22"/>
              </w:rPr>
              <w:t>-0.305**</w:t>
            </w:r>
          </w:p>
          <w:p w:rsidR="00E038A6" w:rsidRPr="008573C5" w:rsidRDefault="00E038A6" w:rsidP="00A325A0">
            <w:pPr>
              <w:autoSpaceDE w:val="0"/>
              <w:autoSpaceDN w:val="0"/>
              <w:adjustRightInd w:val="0"/>
              <w:spacing w:line="480" w:lineRule="auto"/>
              <w:rPr>
                <w:sz w:val="22"/>
                <w:szCs w:val="22"/>
              </w:rPr>
            </w:pPr>
            <w:r w:rsidRPr="008573C5">
              <w:rPr>
                <w:sz w:val="22"/>
                <w:szCs w:val="22"/>
              </w:rPr>
              <w:t>0.255**</w:t>
            </w:r>
          </w:p>
          <w:p w:rsidR="00E038A6" w:rsidRPr="008573C5" w:rsidRDefault="00E038A6" w:rsidP="00A325A0">
            <w:pPr>
              <w:autoSpaceDE w:val="0"/>
              <w:autoSpaceDN w:val="0"/>
              <w:adjustRightInd w:val="0"/>
              <w:spacing w:line="480" w:lineRule="auto"/>
              <w:rPr>
                <w:sz w:val="22"/>
                <w:szCs w:val="22"/>
              </w:rPr>
            </w:pPr>
            <w:r w:rsidRPr="008573C5">
              <w:rPr>
                <w:sz w:val="22"/>
                <w:szCs w:val="22"/>
              </w:rPr>
              <w:t>0.222</w:t>
            </w:r>
          </w:p>
          <w:p w:rsidR="00E038A6" w:rsidRPr="008573C5" w:rsidRDefault="00E038A6" w:rsidP="00A325A0">
            <w:pPr>
              <w:autoSpaceDE w:val="0"/>
              <w:autoSpaceDN w:val="0"/>
              <w:adjustRightInd w:val="0"/>
              <w:spacing w:line="480" w:lineRule="auto"/>
              <w:rPr>
                <w:sz w:val="22"/>
                <w:szCs w:val="22"/>
              </w:rPr>
            </w:pPr>
            <w:r w:rsidRPr="008573C5">
              <w:rPr>
                <w:sz w:val="22"/>
                <w:szCs w:val="22"/>
              </w:rPr>
              <w:t>-11.097</w:t>
            </w:r>
          </w:p>
          <w:p w:rsidR="00E038A6" w:rsidRPr="008573C5" w:rsidRDefault="00E038A6" w:rsidP="00A325A0">
            <w:pPr>
              <w:autoSpaceDE w:val="0"/>
              <w:autoSpaceDN w:val="0"/>
              <w:adjustRightInd w:val="0"/>
              <w:spacing w:line="480" w:lineRule="auto"/>
              <w:rPr>
                <w:sz w:val="22"/>
                <w:szCs w:val="22"/>
              </w:rPr>
            </w:pPr>
            <w:r w:rsidRPr="008573C5">
              <w:rPr>
                <w:sz w:val="22"/>
                <w:szCs w:val="22"/>
              </w:rPr>
              <w:t>15.009*</w:t>
            </w:r>
            <w:r w:rsidRPr="008573C5">
              <w:rPr>
                <w:sz w:val="22"/>
                <w:szCs w:val="22"/>
              </w:rPr>
              <w:cr/>
              <w:t xml:space="preserve"> 34.3**</w:t>
            </w:r>
          </w:p>
          <w:p w:rsidR="00E038A6" w:rsidRPr="008573C5" w:rsidRDefault="00E038A6" w:rsidP="00A325A0">
            <w:pPr>
              <w:autoSpaceDE w:val="0"/>
              <w:autoSpaceDN w:val="0"/>
              <w:adjustRightInd w:val="0"/>
              <w:spacing w:line="480" w:lineRule="auto"/>
              <w:rPr>
                <w:sz w:val="22"/>
                <w:szCs w:val="22"/>
              </w:rPr>
            </w:pPr>
          </w:p>
        </w:tc>
        <w:tc>
          <w:tcPr>
            <w:tcW w:w="1080" w:type="dxa"/>
          </w:tcPr>
          <w:p w:rsidR="00E038A6" w:rsidRPr="008573C5" w:rsidRDefault="00E038A6" w:rsidP="00A325A0">
            <w:pPr>
              <w:autoSpaceDE w:val="0"/>
              <w:autoSpaceDN w:val="0"/>
              <w:adjustRightInd w:val="0"/>
              <w:spacing w:line="480" w:lineRule="auto"/>
              <w:rPr>
                <w:sz w:val="22"/>
                <w:szCs w:val="22"/>
              </w:rPr>
            </w:pPr>
            <w:r w:rsidRPr="008573C5">
              <w:rPr>
                <w:sz w:val="22"/>
                <w:szCs w:val="22"/>
              </w:rPr>
              <w:t>(1.684)</w:t>
            </w:r>
          </w:p>
          <w:p w:rsidR="00E038A6" w:rsidRPr="008573C5" w:rsidRDefault="00E038A6" w:rsidP="00A325A0">
            <w:pPr>
              <w:autoSpaceDE w:val="0"/>
              <w:autoSpaceDN w:val="0"/>
              <w:adjustRightInd w:val="0"/>
              <w:spacing w:line="480" w:lineRule="auto"/>
              <w:rPr>
                <w:sz w:val="22"/>
                <w:szCs w:val="22"/>
              </w:rPr>
            </w:pPr>
            <w:r w:rsidRPr="008573C5">
              <w:rPr>
                <w:sz w:val="22"/>
                <w:szCs w:val="22"/>
              </w:rPr>
              <w:t>(0.841)</w:t>
            </w:r>
          </w:p>
          <w:p w:rsidR="00E038A6" w:rsidRPr="008573C5" w:rsidRDefault="00E038A6" w:rsidP="00A325A0">
            <w:pPr>
              <w:autoSpaceDE w:val="0"/>
              <w:autoSpaceDN w:val="0"/>
              <w:adjustRightInd w:val="0"/>
              <w:spacing w:line="480" w:lineRule="auto"/>
              <w:rPr>
                <w:sz w:val="22"/>
                <w:szCs w:val="22"/>
              </w:rPr>
            </w:pPr>
            <w:r w:rsidRPr="008573C5">
              <w:rPr>
                <w:sz w:val="22"/>
                <w:szCs w:val="22"/>
              </w:rPr>
              <w:t>(2.573)</w:t>
            </w:r>
          </w:p>
          <w:p w:rsidR="00E038A6" w:rsidRPr="008573C5" w:rsidRDefault="00E038A6" w:rsidP="00A325A0">
            <w:pPr>
              <w:autoSpaceDE w:val="0"/>
              <w:autoSpaceDN w:val="0"/>
              <w:adjustRightInd w:val="0"/>
              <w:spacing w:line="480" w:lineRule="auto"/>
              <w:rPr>
                <w:sz w:val="22"/>
                <w:szCs w:val="22"/>
              </w:rPr>
            </w:pPr>
            <w:r w:rsidRPr="008573C5">
              <w:rPr>
                <w:sz w:val="22"/>
                <w:szCs w:val="22"/>
              </w:rPr>
              <w:t>(2.106)</w:t>
            </w:r>
          </w:p>
          <w:p w:rsidR="00E038A6" w:rsidRPr="008573C5" w:rsidRDefault="00E038A6" w:rsidP="00A325A0">
            <w:pPr>
              <w:autoSpaceDE w:val="0"/>
              <w:autoSpaceDN w:val="0"/>
              <w:adjustRightInd w:val="0"/>
              <w:spacing w:line="480" w:lineRule="auto"/>
              <w:rPr>
                <w:sz w:val="22"/>
                <w:szCs w:val="22"/>
              </w:rPr>
            </w:pPr>
            <w:r w:rsidRPr="008573C5">
              <w:rPr>
                <w:sz w:val="22"/>
                <w:szCs w:val="22"/>
              </w:rPr>
              <w:t>(1.526)</w:t>
            </w:r>
          </w:p>
          <w:p w:rsidR="00E038A6" w:rsidRPr="008573C5" w:rsidRDefault="00E038A6" w:rsidP="00A325A0">
            <w:pPr>
              <w:autoSpaceDE w:val="0"/>
              <w:autoSpaceDN w:val="0"/>
              <w:adjustRightInd w:val="0"/>
              <w:spacing w:line="480" w:lineRule="auto"/>
              <w:rPr>
                <w:sz w:val="22"/>
                <w:szCs w:val="22"/>
              </w:rPr>
            </w:pPr>
            <w:r w:rsidRPr="008573C5">
              <w:rPr>
                <w:sz w:val="22"/>
                <w:szCs w:val="22"/>
              </w:rPr>
              <w:t>(1.332)</w:t>
            </w:r>
          </w:p>
          <w:p w:rsidR="00E038A6" w:rsidRPr="008573C5" w:rsidRDefault="00E038A6" w:rsidP="00A325A0">
            <w:pPr>
              <w:autoSpaceDE w:val="0"/>
              <w:autoSpaceDN w:val="0"/>
              <w:adjustRightInd w:val="0"/>
              <w:spacing w:line="480" w:lineRule="auto"/>
              <w:rPr>
                <w:sz w:val="22"/>
                <w:szCs w:val="22"/>
              </w:rPr>
            </w:pPr>
            <w:r w:rsidRPr="008573C5">
              <w:rPr>
                <w:sz w:val="22"/>
                <w:szCs w:val="22"/>
              </w:rPr>
              <w:t>(1.995)</w:t>
            </w:r>
          </w:p>
          <w:p w:rsidR="00E038A6" w:rsidRPr="008573C5" w:rsidRDefault="00E038A6" w:rsidP="00F77912">
            <w:pPr>
              <w:autoSpaceDE w:val="0"/>
              <w:autoSpaceDN w:val="0"/>
              <w:adjustRightInd w:val="0"/>
              <w:spacing w:line="480" w:lineRule="auto"/>
              <w:rPr>
                <w:sz w:val="22"/>
                <w:szCs w:val="22"/>
              </w:rPr>
            </w:pPr>
            <w:r w:rsidRPr="008573C5">
              <w:rPr>
                <w:sz w:val="22"/>
                <w:szCs w:val="22"/>
              </w:rPr>
              <w:t>(2.266)</w:t>
            </w:r>
          </w:p>
        </w:tc>
      </w:tr>
      <w:tr w:rsidR="00E038A6" w:rsidRPr="008573C5" w:rsidTr="00E038A6">
        <w:tc>
          <w:tcPr>
            <w:tcW w:w="171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Number of cases</w:t>
            </w:r>
          </w:p>
        </w:tc>
        <w:tc>
          <w:tcPr>
            <w:tcW w:w="117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70</w:t>
            </w:r>
          </w:p>
        </w:tc>
        <w:tc>
          <w:tcPr>
            <w:tcW w:w="1080" w:type="dxa"/>
          </w:tcPr>
          <w:p w:rsidR="00E038A6" w:rsidRPr="008573C5" w:rsidRDefault="00E038A6" w:rsidP="00A325A0">
            <w:pPr>
              <w:autoSpaceDE w:val="0"/>
              <w:autoSpaceDN w:val="0"/>
              <w:adjustRightInd w:val="0"/>
              <w:spacing w:line="480" w:lineRule="auto"/>
              <w:rPr>
                <w:b/>
                <w:sz w:val="22"/>
                <w:szCs w:val="22"/>
              </w:rPr>
            </w:pPr>
          </w:p>
        </w:tc>
        <w:tc>
          <w:tcPr>
            <w:tcW w:w="108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70</w:t>
            </w:r>
          </w:p>
        </w:tc>
        <w:tc>
          <w:tcPr>
            <w:tcW w:w="990" w:type="dxa"/>
          </w:tcPr>
          <w:p w:rsidR="00E038A6" w:rsidRPr="008573C5" w:rsidRDefault="00E038A6" w:rsidP="00A325A0">
            <w:pPr>
              <w:autoSpaceDE w:val="0"/>
              <w:autoSpaceDN w:val="0"/>
              <w:adjustRightInd w:val="0"/>
              <w:spacing w:line="480" w:lineRule="auto"/>
              <w:rPr>
                <w:b/>
                <w:sz w:val="22"/>
                <w:szCs w:val="22"/>
              </w:rPr>
            </w:pPr>
          </w:p>
        </w:tc>
        <w:tc>
          <w:tcPr>
            <w:tcW w:w="117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70</w:t>
            </w:r>
          </w:p>
        </w:tc>
        <w:tc>
          <w:tcPr>
            <w:tcW w:w="990" w:type="dxa"/>
          </w:tcPr>
          <w:p w:rsidR="00E038A6" w:rsidRPr="008573C5" w:rsidRDefault="00E038A6" w:rsidP="00A325A0">
            <w:pPr>
              <w:autoSpaceDE w:val="0"/>
              <w:autoSpaceDN w:val="0"/>
              <w:adjustRightInd w:val="0"/>
              <w:spacing w:line="480" w:lineRule="auto"/>
              <w:rPr>
                <w:b/>
                <w:sz w:val="22"/>
                <w:szCs w:val="22"/>
              </w:rPr>
            </w:pPr>
          </w:p>
        </w:tc>
        <w:tc>
          <w:tcPr>
            <w:tcW w:w="108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70</w:t>
            </w:r>
          </w:p>
        </w:tc>
        <w:tc>
          <w:tcPr>
            <w:tcW w:w="1080" w:type="dxa"/>
          </w:tcPr>
          <w:p w:rsidR="00E038A6" w:rsidRPr="008573C5" w:rsidRDefault="00E038A6" w:rsidP="00A325A0">
            <w:pPr>
              <w:autoSpaceDE w:val="0"/>
              <w:autoSpaceDN w:val="0"/>
              <w:adjustRightInd w:val="0"/>
              <w:spacing w:line="480" w:lineRule="auto"/>
              <w:rPr>
                <w:b/>
                <w:sz w:val="22"/>
                <w:szCs w:val="22"/>
              </w:rPr>
            </w:pPr>
          </w:p>
        </w:tc>
      </w:tr>
      <w:tr w:rsidR="00E038A6" w:rsidRPr="008573C5" w:rsidTr="00E038A6">
        <w:tc>
          <w:tcPr>
            <w:tcW w:w="1710" w:type="dxa"/>
          </w:tcPr>
          <w:p w:rsidR="00E038A6" w:rsidRPr="008573C5" w:rsidRDefault="00E038A6" w:rsidP="00A325A0">
            <w:pPr>
              <w:autoSpaceDE w:val="0"/>
              <w:autoSpaceDN w:val="0"/>
              <w:adjustRightInd w:val="0"/>
              <w:spacing w:line="480" w:lineRule="auto"/>
              <w:jc w:val="both"/>
              <w:rPr>
                <w:b/>
                <w:sz w:val="22"/>
                <w:szCs w:val="22"/>
                <w:vertAlign w:val="superscript"/>
              </w:rPr>
            </w:pPr>
            <w:r w:rsidRPr="008573C5">
              <w:rPr>
                <w:b/>
                <w:sz w:val="22"/>
                <w:szCs w:val="22"/>
              </w:rPr>
              <w:t>R</w:t>
            </w:r>
            <w:r w:rsidRPr="008573C5">
              <w:rPr>
                <w:b/>
                <w:sz w:val="22"/>
                <w:szCs w:val="22"/>
                <w:vertAlign w:val="superscript"/>
              </w:rPr>
              <w:t>2</w:t>
            </w:r>
          </w:p>
        </w:tc>
        <w:tc>
          <w:tcPr>
            <w:tcW w:w="117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0.575</w:t>
            </w:r>
          </w:p>
        </w:tc>
        <w:tc>
          <w:tcPr>
            <w:tcW w:w="1080" w:type="dxa"/>
          </w:tcPr>
          <w:p w:rsidR="00E038A6" w:rsidRPr="008573C5" w:rsidRDefault="00E038A6" w:rsidP="00A325A0">
            <w:pPr>
              <w:autoSpaceDE w:val="0"/>
              <w:autoSpaceDN w:val="0"/>
              <w:adjustRightInd w:val="0"/>
              <w:spacing w:line="480" w:lineRule="auto"/>
              <w:rPr>
                <w:b/>
                <w:sz w:val="22"/>
                <w:szCs w:val="22"/>
              </w:rPr>
            </w:pPr>
          </w:p>
        </w:tc>
        <w:tc>
          <w:tcPr>
            <w:tcW w:w="108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0.508</w:t>
            </w:r>
          </w:p>
        </w:tc>
        <w:tc>
          <w:tcPr>
            <w:tcW w:w="990" w:type="dxa"/>
          </w:tcPr>
          <w:p w:rsidR="00E038A6" w:rsidRPr="008573C5" w:rsidRDefault="00E038A6" w:rsidP="00A325A0">
            <w:pPr>
              <w:autoSpaceDE w:val="0"/>
              <w:autoSpaceDN w:val="0"/>
              <w:adjustRightInd w:val="0"/>
              <w:spacing w:line="480" w:lineRule="auto"/>
              <w:rPr>
                <w:b/>
                <w:sz w:val="22"/>
                <w:szCs w:val="22"/>
              </w:rPr>
            </w:pPr>
          </w:p>
        </w:tc>
        <w:tc>
          <w:tcPr>
            <w:tcW w:w="117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0.619</w:t>
            </w:r>
          </w:p>
        </w:tc>
        <w:tc>
          <w:tcPr>
            <w:tcW w:w="990" w:type="dxa"/>
          </w:tcPr>
          <w:p w:rsidR="00E038A6" w:rsidRPr="008573C5" w:rsidRDefault="00E038A6" w:rsidP="00A325A0">
            <w:pPr>
              <w:autoSpaceDE w:val="0"/>
              <w:autoSpaceDN w:val="0"/>
              <w:adjustRightInd w:val="0"/>
              <w:spacing w:line="480" w:lineRule="auto"/>
              <w:rPr>
                <w:b/>
                <w:sz w:val="22"/>
                <w:szCs w:val="22"/>
              </w:rPr>
            </w:pPr>
          </w:p>
        </w:tc>
        <w:tc>
          <w:tcPr>
            <w:tcW w:w="108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0.310</w:t>
            </w:r>
          </w:p>
        </w:tc>
        <w:tc>
          <w:tcPr>
            <w:tcW w:w="1080" w:type="dxa"/>
          </w:tcPr>
          <w:p w:rsidR="00E038A6" w:rsidRPr="008573C5" w:rsidRDefault="00E038A6" w:rsidP="00A325A0">
            <w:pPr>
              <w:autoSpaceDE w:val="0"/>
              <w:autoSpaceDN w:val="0"/>
              <w:adjustRightInd w:val="0"/>
              <w:spacing w:line="480" w:lineRule="auto"/>
              <w:rPr>
                <w:b/>
                <w:sz w:val="22"/>
                <w:szCs w:val="22"/>
              </w:rPr>
            </w:pPr>
          </w:p>
        </w:tc>
      </w:tr>
      <w:tr w:rsidR="00E038A6" w:rsidRPr="008573C5" w:rsidTr="00E038A6">
        <w:trPr>
          <w:trHeight w:val="70"/>
        </w:trPr>
        <w:tc>
          <w:tcPr>
            <w:tcW w:w="1710" w:type="dxa"/>
          </w:tcPr>
          <w:p w:rsidR="00E038A6" w:rsidRPr="008573C5" w:rsidRDefault="00E038A6" w:rsidP="00A325A0">
            <w:pPr>
              <w:autoSpaceDE w:val="0"/>
              <w:autoSpaceDN w:val="0"/>
              <w:adjustRightInd w:val="0"/>
              <w:spacing w:line="480" w:lineRule="auto"/>
              <w:jc w:val="both"/>
              <w:rPr>
                <w:b/>
                <w:sz w:val="22"/>
                <w:szCs w:val="22"/>
                <w:vertAlign w:val="superscript"/>
              </w:rPr>
            </w:pPr>
            <w:r w:rsidRPr="008573C5">
              <w:rPr>
                <w:b/>
                <w:sz w:val="22"/>
                <w:szCs w:val="22"/>
              </w:rPr>
              <w:t>Adjusted R</w:t>
            </w:r>
            <w:r w:rsidRPr="008573C5">
              <w:rPr>
                <w:b/>
                <w:sz w:val="22"/>
                <w:szCs w:val="22"/>
                <w:vertAlign w:val="superscript"/>
              </w:rPr>
              <w:t>2</w:t>
            </w:r>
          </w:p>
        </w:tc>
        <w:tc>
          <w:tcPr>
            <w:tcW w:w="117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0.527</w:t>
            </w:r>
          </w:p>
        </w:tc>
        <w:tc>
          <w:tcPr>
            <w:tcW w:w="1080" w:type="dxa"/>
          </w:tcPr>
          <w:p w:rsidR="00E038A6" w:rsidRPr="008573C5" w:rsidRDefault="00E038A6" w:rsidP="00A325A0">
            <w:pPr>
              <w:autoSpaceDE w:val="0"/>
              <w:autoSpaceDN w:val="0"/>
              <w:adjustRightInd w:val="0"/>
              <w:spacing w:line="480" w:lineRule="auto"/>
              <w:rPr>
                <w:b/>
                <w:sz w:val="22"/>
                <w:szCs w:val="22"/>
              </w:rPr>
            </w:pPr>
          </w:p>
        </w:tc>
        <w:tc>
          <w:tcPr>
            <w:tcW w:w="108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0.452</w:t>
            </w:r>
          </w:p>
        </w:tc>
        <w:tc>
          <w:tcPr>
            <w:tcW w:w="990" w:type="dxa"/>
          </w:tcPr>
          <w:p w:rsidR="00E038A6" w:rsidRPr="008573C5" w:rsidRDefault="00E038A6" w:rsidP="00A325A0">
            <w:pPr>
              <w:autoSpaceDE w:val="0"/>
              <w:autoSpaceDN w:val="0"/>
              <w:adjustRightInd w:val="0"/>
              <w:spacing w:line="480" w:lineRule="auto"/>
              <w:rPr>
                <w:b/>
                <w:sz w:val="22"/>
                <w:szCs w:val="22"/>
              </w:rPr>
            </w:pPr>
          </w:p>
        </w:tc>
        <w:tc>
          <w:tcPr>
            <w:tcW w:w="117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0.576</w:t>
            </w:r>
          </w:p>
        </w:tc>
        <w:tc>
          <w:tcPr>
            <w:tcW w:w="990" w:type="dxa"/>
          </w:tcPr>
          <w:p w:rsidR="00E038A6" w:rsidRPr="008573C5" w:rsidRDefault="00E038A6" w:rsidP="00A325A0">
            <w:pPr>
              <w:autoSpaceDE w:val="0"/>
              <w:autoSpaceDN w:val="0"/>
              <w:adjustRightInd w:val="0"/>
              <w:spacing w:line="480" w:lineRule="auto"/>
              <w:rPr>
                <w:b/>
                <w:sz w:val="22"/>
                <w:szCs w:val="22"/>
              </w:rPr>
            </w:pPr>
          </w:p>
        </w:tc>
        <w:tc>
          <w:tcPr>
            <w:tcW w:w="108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0.232</w:t>
            </w:r>
          </w:p>
        </w:tc>
        <w:tc>
          <w:tcPr>
            <w:tcW w:w="1080" w:type="dxa"/>
          </w:tcPr>
          <w:p w:rsidR="00E038A6" w:rsidRPr="008573C5" w:rsidRDefault="00E038A6" w:rsidP="00A325A0">
            <w:pPr>
              <w:autoSpaceDE w:val="0"/>
              <w:autoSpaceDN w:val="0"/>
              <w:adjustRightInd w:val="0"/>
              <w:spacing w:line="480" w:lineRule="auto"/>
              <w:rPr>
                <w:b/>
                <w:sz w:val="22"/>
                <w:szCs w:val="22"/>
              </w:rPr>
            </w:pPr>
          </w:p>
        </w:tc>
      </w:tr>
      <w:tr w:rsidR="00E038A6" w:rsidRPr="008573C5" w:rsidTr="00E038A6">
        <w:tc>
          <w:tcPr>
            <w:tcW w:w="1710" w:type="dxa"/>
          </w:tcPr>
          <w:p w:rsidR="00E038A6" w:rsidRPr="008573C5" w:rsidRDefault="00B57843" w:rsidP="00A325A0">
            <w:pPr>
              <w:autoSpaceDE w:val="0"/>
              <w:autoSpaceDN w:val="0"/>
              <w:adjustRightInd w:val="0"/>
              <w:spacing w:line="480" w:lineRule="auto"/>
              <w:jc w:val="both"/>
              <w:rPr>
                <w:b/>
                <w:sz w:val="22"/>
                <w:szCs w:val="22"/>
              </w:rPr>
            </w:pPr>
            <w:r w:rsidRPr="008573C5">
              <w:rPr>
                <w:b/>
                <w:sz w:val="22"/>
                <w:szCs w:val="22"/>
              </w:rPr>
              <w:t>F- Statistics</w:t>
            </w:r>
          </w:p>
        </w:tc>
        <w:tc>
          <w:tcPr>
            <w:tcW w:w="117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11.973</w:t>
            </w:r>
          </w:p>
        </w:tc>
        <w:tc>
          <w:tcPr>
            <w:tcW w:w="1080" w:type="dxa"/>
          </w:tcPr>
          <w:p w:rsidR="00E038A6" w:rsidRPr="008573C5" w:rsidRDefault="00E038A6" w:rsidP="00A325A0">
            <w:pPr>
              <w:autoSpaceDE w:val="0"/>
              <w:autoSpaceDN w:val="0"/>
              <w:adjustRightInd w:val="0"/>
              <w:spacing w:line="480" w:lineRule="auto"/>
              <w:rPr>
                <w:b/>
                <w:sz w:val="22"/>
                <w:szCs w:val="22"/>
              </w:rPr>
            </w:pPr>
          </w:p>
        </w:tc>
        <w:tc>
          <w:tcPr>
            <w:tcW w:w="108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9.147</w:t>
            </w:r>
          </w:p>
        </w:tc>
        <w:tc>
          <w:tcPr>
            <w:tcW w:w="990" w:type="dxa"/>
          </w:tcPr>
          <w:p w:rsidR="00E038A6" w:rsidRPr="008573C5" w:rsidRDefault="00E038A6" w:rsidP="00A325A0">
            <w:pPr>
              <w:autoSpaceDE w:val="0"/>
              <w:autoSpaceDN w:val="0"/>
              <w:adjustRightInd w:val="0"/>
              <w:spacing w:line="480" w:lineRule="auto"/>
              <w:rPr>
                <w:b/>
                <w:sz w:val="22"/>
                <w:szCs w:val="22"/>
              </w:rPr>
            </w:pPr>
          </w:p>
        </w:tc>
        <w:tc>
          <w:tcPr>
            <w:tcW w:w="117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14.408</w:t>
            </w:r>
          </w:p>
        </w:tc>
        <w:tc>
          <w:tcPr>
            <w:tcW w:w="990" w:type="dxa"/>
          </w:tcPr>
          <w:p w:rsidR="00E038A6" w:rsidRPr="008573C5" w:rsidRDefault="00E038A6" w:rsidP="00A325A0">
            <w:pPr>
              <w:autoSpaceDE w:val="0"/>
              <w:autoSpaceDN w:val="0"/>
              <w:adjustRightInd w:val="0"/>
              <w:spacing w:line="480" w:lineRule="auto"/>
              <w:rPr>
                <w:b/>
                <w:sz w:val="22"/>
                <w:szCs w:val="22"/>
              </w:rPr>
            </w:pPr>
          </w:p>
        </w:tc>
        <w:tc>
          <w:tcPr>
            <w:tcW w:w="108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3.972</w:t>
            </w:r>
          </w:p>
        </w:tc>
        <w:tc>
          <w:tcPr>
            <w:tcW w:w="1080" w:type="dxa"/>
          </w:tcPr>
          <w:p w:rsidR="00E038A6" w:rsidRPr="008573C5" w:rsidRDefault="00E038A6" w:rsidP="00A325A0">
            <w:pPr>
              <w:autoSpaceDE w:val="0"/>
              <w:autoSpaceDN w:val="0"/>
              <w:adjustRightInd w:val="0"/>
              <w:spacing w:line="480" w:lineRule="auto"/>
              <w:rPr>
                <w:b/>
                <w:sz w:val="22"/>
                <w:szCs w:val="22"/>
              </w:rPr>
            </w:pPr>
          </w:p>
        </w:tc>
      </w:tr>
      <w:tr w:rsidR="00E038A6" w:rsidRPr="008573C5" w:rsidTr="00E038A6">
        <w:tc>
          <w:tcPr>
            <w:tcW w:w="1710" w:type="dxa"/>
          </w:tcPr>
          <w:p w:rsidR="00E038A6" w:rsidRPr="008573C5" w:rsidRDefault="00E038A6" w:rsidP="00A325A0">
            <w:pPr>
              <w:autoSpaceDE w:val="0"/>
              <w:autoSpaceDN w:val="0"/>
              <w:adjustRightInd w:val="0"/>
              <w:spacing w:line="480" w:lineRule="auto"/>
              <w:jc w:val="both"/>
              <w:rPr>
                <w:b/>
                <w:sz w:val="22"/>
                <w:szCs w:val="22"/>
              </w:rPr>
            </w:pPr>
            <w:r w:rsidRPr="008573C5">
              <w:rPr>
                <w:b/>
                <w:sz w:val="22"/>
                <w:szCs w:val="22"/>
              </w:rPr>
              <w:t>Prob. (F)</w:t>
            </w:r>
          </w:p>
        </w:tc>
        <w:tc>
          <w:tcPr>
            <w:tcW w:w="117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0.000***</w:t>
            </w:r>
          </w:p>
        </w:tc>
        <w:tc>
          <w:tcPr>
            <w:tcW w:w="1080" w:type="dxa"/>
          </w:tcPr>
          <w:p w:rsidR="00E038A6" w:rsidRPr="008573C5" w:rsidRDefault="00E038A6" w:rsidP="00A325A0">
            <w:pPr>
              <w:autoSpaceDE w:val="0"/>
              <w:autoSpaceDN w:val="0"/>
              <w:adjustRightInd w:val="0"/>
              <w:spacing w:line="480" w:lineRule="auto"/>
              <w:rPr>
                <w:b/>
                <w:sz w:val="22"/>
                <w:szCs w:val="22"/>
              </w:rPr>
            </w:pPr>
          </w:p>
        </w:tc>
        <w:tc>
          <w:tcPr>
            <w:tcW w:w="108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0.000***</w:t>
            </w:r>
          </w:p>
        </w:tc>
        <w:tc>
          <w:tcPr>
            <w:tcW w:w="990" w:type="dxa"/>
          </w:tcPr>
          <w:p w:rsidR="00E038A6" w:rsidRPr="008573C5" w:rsidRDefault="00E038A6" w:rsidP="00A325A0">
            <w:pPr>
              <w:autoSpaceDE w:val="0"/>
              <w:autoSpaceDN w:val="0"/>
              <w:adjustRightInd w:val="0"/>
              <w:spacing w:line="480" w:lineRule="auto"/>
              <w:rPr>
                <w:b/>
                <w:sz w:val="22"/>
                <w:szCs w:val="22"/>
              </w:rPr>
            </w:pPr>
          </w:p>
        </w:tc>
        <w:tc>
          <w:tcPr>
            <w:tcW w:w="117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0.000***</w:t>
            </w:r>
          </w:p>
        </w:tc>
        <w:tc>
          <w:tcPr>
            <w:tcW w:w="990" w:type="dxa"/>
          </w:tcPr>
          <w:p w:rsidR="00E038A6" w:rsidRPr="008573C5" w:rsidRDefault="00E038A6" w:rsidP="00A325A0">
            <w:pPr>
              <w:autoSpaceDE w:val="0"/>
              <w:autoSpaceDN w:val="0"/>
              <w:adjustRightInd w:val="0"/>
              <w:spacing w:line="480" w:lineRule="auto"/>
              <w:rPr>
                <w:b/>
                <w:sz w:val="22"/>
                <w:szCs w:val="22"/>
              </w:rPr>
            </w:pPr>
          </w:p>
        </w:tc>
        <w:tc>
          <w:tcPr>
            <w:tcW w:w="1080" w:type="dxa"/>
          </w:tcPr>
          <w:p w:rsidR="00E038A6" w:rsidRPr="008573C5" w:rsidRDefault="00E038A6" w:rsidP="00A325A0">
            <w:pPr>
              <w:autoSpaceDE w:val="0"/>
              <w:autoSpaceDN w:val="0"/>
              <w:adjustRightInd w:val="0"/>
              <w:spacing w:line="480" w:lineRule="auto"/>
              <w:rPr>
                <w:b/>
                <w:sz w:val="22"/>
                <w:szCs w:val="22"/>
              </w:rPr>
            </w:pPr>
            <w:r w:rsidRPr="008573C5">
              <w:rPr>
                <w:b/>
                <w:sz w:val="22"/>
                <w:szCs w:val="22"/>
              </w:rPr>
              <w:t>0.001***</w:t>
            </w:r>
          </w:p>
        </w:tc>
        <w:tc>
          <w:tcPr>
            <w:tcW w:w="1080" w:type="dxa"/>
          </w:tcPr>
          <w:p w:rsidR="00E038A6" w:rsidRPr="008573C5" w:rsidRDefault="00E038A6" w:rsidP="00A325A0">
            <w:pPr>
              <w:autoSpaceDE w:val="0"/>
              <w:autoSpaceDN w:val="0"/>
              <w:adjustRightInd w:val="0"/>
              <w:spacing w:line="480" w:lineRule="auto"/>
              <w:rPr>
                <w:b/>
                <w:sz w:val="22"/>
                <w:szCs w:val="22"/>
              </w:rPr>
            </w:pPr>
          </w:p>
        </w:tc>
      </w:tr>
    </w:tbl>
    <w:p w:rsidR="00AE6C6E" w:rsidRPr="008573C5" w:rsidRDefault="00AE6C6E" w:rsidP="00AE6C6E">
      <w:pPr>
        <w:rPr>
          <w:sz w:val="16"/>
          <w:szCs w:val="16"/>
        </w:rPr>
      </w:pPr>
    </w:p>
    <w:p w:rsidR="00AE6C6E" w:rsidRPr="008573C5" w:rsidRDefault="00AE6C6E" w:rsidP="00AE6C6E">
      <w:pPr>
        <w:rPr>
          <w:sz w:val="16"/>
          <w:szCs w:val="16"/>
        </w:rPr>
      </w:pPr>
      <w:r w:rsidRPr="008573C5">
        <w:rPr>
          <w:sz w:val="16"/>
          <w:szCs w:val="16"/>
        </w:rPr>
        <w:t xml:space="preserve">Note: </w:t>
      </w:r>
      <w:r w:rsidRPr="008573C5">
        <w:rPr>
          <w:sz w:val="16"/>
          <w:szCs w:val="16"/>
        </w:rPr>
        <w:tab/>
        <w:t>t-statistics are in the parentheses</w:t>
      </w:r>
    </w:p>
    <w:p w:rsidR="00AE6C6E" w:rsidRPr="008573C5" w:rsidRDefault="00AE6C6E" w:rsidP="00AE6C6E">
      <w:pPr>
        <w:ind w:firstLine="720"/>
        <w:rPr>
          <w:sz w:val="16"/>
          <w:szCs w:val="16"/>
        </w:rPr>
      </w:pPr>
      <w:r w:rsidRPr="008573C5">
        <w:rPr>
          <w:sz w:val="16"/>
          <w:szCs w:val="16"/>
        </w:rPr>
        <w:t>* ** significant at the 1% level</w:t>
      </w:r>
    </w:p>
    <w:p w:rsidR="00AE6C6E" w:rsidRPr="008573C5" w:rsidRDefault="00AE6C6E" w:rsidP="00AE6C6E">
      <w:pPr>
        <w:ind w:firstLine="720"/>
        <w:rPr>
          <w:sz w:val="16"/>
          <w:szCs w:val="16"/>
        </w:rPr>
      </w:pPr>
      <w:r w:rsidRPr="008573C5">
        <w:rPr>
          <w:sz w:val="16"/>
          <w:szCs w:val="16"/>
        </w:rPr>
        <w:t>** significant at the 5% level</w:t>
      </w:r>
    </w:p>
    <w:p w:rsidR="00AE6C6E" w:rsidRPr="008573C5" w:rsidRDefault="00AE6C6E" w:rsidP="00AE6C6E">
      <w:pPr>
        <w:ind w:firstLine="720"/>
        <w:rPr>
          <w:sz w:val="16"/>
          <w:szCs w:val="16"/>
        </w:rPr>
      </w:pPr>
      <w:r w:rsidRPr="008573C5">
        <w:rPr>
          <w:sz w:val="16"/>
          <w:szCs w:val="16"/>
        </w:rPr>
        <w:t>* significant at the 10% level</w:t>
      </w:r>
    </w:p>
    <w:p w:rsidR="00BF4515" w:rsidRPr="008573C5" w:rsidRDefault="00BF4515" w:rsidP="00BF4515">
      <w:pPr>
        <w:autoSpaceDE w:val="0"/>
        <w:autoSpaceDN w:val="0"/>
        <w:adjustRightInd w:val="0"/>
        <w:jc w:val="center"/>
        <w:rPr>
          <w:rFonts w:eastAsia="Calibri"/>
          <w:b/>
          <w:bCs/>
        </w:rPr>
      </w:pPr>
      <w:r w:rsidRPr="008573C5">
        <w:rPr>
          <w:rFonts w:eastAsia="Calibri"/>
          <w:b/>
          <w:bCs/>
        </w:rPr>
        <w:t>Source: Field Study (2009)</w:t>
      </w:r>
    </w:p>
    <w:p w:rsidR="00BF4515" w:rsidRPr="008573C5" w:rsidRDefault="00BF4515" w:rsidP="00BF4515">
      <w:pPr>
        <w:autoSpaceDE w:val="0"/>
        <w:autoSpaceDN w:val="0"/>
        <w:adjustRightInd w:val="0"/>
        <w:spacing w:line="480" w:lineRule="auto"/>
        <w:jc w:val="center"/>
        <w:rPr>
          <w:b/>
        </w:rPr>
      </w:pPr>
    </w:p>
    <w:p w:rsidR="00FF5EDF" w:rsidRPr="008573C5" w:rsidRDefault="00FF5EDF" w:rsidP="00FF5EDF">
      <w:pPr>
        <w:tabs>
          <w:tab w:val="left" w:pos="7320"/>
        </w:tabs>
        <w:spacing w:before="240" w:line="360" w:lineRule="auto"/>
        <w:jc w:val="both"/>
      </w:pPr>
      <w:r w:rsidRPr="008573C5">
        <w:t xml:space="preserve">The result of the second </w:t>
      </w:r>
      <w:r w:rsidR="00A24413" w:rsidRPr="008573C5">
        <w:t>equation</w:t>
      </w:r>
      <w:r w:rsidRPr="008573C5">
        <w:t xml:space="preserve">, </w:t>
      </w:r>
      <w:r w:rsidR="00A24413" w:rsidRPr="008573C5">
        <w:t>E</w:t>
      </w:r>
      <w:r w:rsidR="00BE6F21" w:rsidRPr="008573C5">
        <w:t>qua</w:t>
      </w:r>
      <w:r w:rsidR="00A24413" w:rsidRPr="008573C5">
        <w:t>tion</w:t>
      </w:r>
      <w:r w:rsidRPr="008573C5">
        <w:t xml:space="preserve"> </w:t>
      </w:r>
      <w:r w:rsidR="00BE6F21" w:rsidRPr="008573C5">
        <w:t>A</w:t>
      </w:r>
      <w:r w:rsidR="00BE6F21" w:rsidRPr="008573C5">
        <w:rPr>
          <w:vertAlign w:val="subscript"/>
        </w:rPr>
        <w:t>6</w:t>
      </w:r>
      <w:r w:rsidR="00807701" w:rsidRPr="008573C5">
        <w:t xml:space="preserve"> is presented in Table 4.21</w:t>
      </w:r>
      <w:r w:rsidRPr="008573C5">
        <w:t xml:space="preserve"> above. The ANOVA result for the model shows that the model is significant with p &lt; 0.001 (F = 9.147).  </w:t>
      </w:r>
      <w:r w:rsidR="0008315D" w:rsidRPr="008573C5">
        <w:t xml:space="preserve">This </w:t>
      </w:r>
      <w:r w:rsidR="0008315D" w:rsidRPr="008573C5">
        <w:rPr>
          <w:rFonts w:eastAsia="Calibri"/>
        </w:rPr>
        <w:t xml:space="preserve">reveals that the model is adequate in explaining variability in disclosing SAS information in the sampled annual reports. </w:t>
      </w:r>
      <w:r w:rsidRPr="008573C5">
        <w:t xml:space="preserve">The t-statistics reveals a positive sign for most of the independent variables with the exception of profitability and sector. This result agrees with its unranked counterpart of </w:t>
      </w:r>
      <w:r w:rsidR="00BE6F21" w:rsidRPr="008573C5">
        <w:t>equation</w:t>
      </w:r>
      <w:r w:rsidRPr="008573C5">
        <w:t xml:space="preserve"> A</w:t>
      </w:r>
      <w:r w:rsidRPr="008573C5">
        <w:rPr>
          <w:vertAlign w:val="subscript"/>
        </w:rPr>
        <w:t>2</w:t>
      </w:r>
      <w:r w:rsidRPr="008573C5">
        <w:t xml:space="preserve"> in </w:t>
      </w:r>
      <w:r w:rsidR="00BE6F21" w:rsidRPr="008573C5">
        <w:t>Model</w:t>
      </w:r>
      <w:r w:rsidRPr="008573C5">
        <w:t xml:space="preserve"> 1. The result also reveals that the level of SAS mandatory disclosure</w:t>
      </w:r>
      <w:r w:rsidR="005512F1" w:rsidRPr="008573C5">
        <w:t xml:space="preserve"> </w:t>
      </w:r>
      <w:r w:rsidRPr="008573C5">
        <w:t>varies positively and significantly with auditor type, multinationality and leverage</w:t>
      </w:r>
      <w:r w:rsidR="005512F1" w:rsidRPr="008573C5">
        <w:t>,</w:t>
      </w:r>
      <w:r w:rsidRPr="008573C5">
        <w:t xml:space="preserve"> a result consistent with </w:t>
      </w:r>
      <w:r w:rsidR="00BE6F21" w:rsidRPr="008573C5">
        <w:t>Equation</w:t>
      </w:r>
      <w:r w:rsidRPr="008573C5">
        <w:t xml:space="preserve"> A</w:t>
      </w:r>
      <w:r w:rsidRPr="008573C5">
        <w:rPr>
          <w:vertAlign w:val="subscript"/>
        </w:rPr>
        <w:t xml:space="preserve">2. </w:t>
      </w:r>
      <w:r w:rsidRPr="008573C5">
        <w:t xml:space="preserve"> The area of departure is that in addition, </w:t>
      </w:r>
      <w:r w:rsidR="00BE6F21" w:rsidRPr="008573C5">
        <w:t>Equation</w:t>
      </w:r>
      <w:r w:rsidRPr="008573C5">
        <w:t xml:space="preserve"> </w:t>
      </w:r>
      <w:r w:rsidR="00BE6F21" w:rsidRPr="008573C5">
        <w:t>A</w:t>
      </w:r>
      <w:r w:rsidR="00BE6F21" w:rsidRPr="008573C5">
        <w:rPr>
          <w:vertAlign w:val="subscript"/>
        </w:rPr>
        <w:t>6</w:t>
      </w:r>
      <w:r w:rsidRPr="008573C5">
        <w:t xml:space="preserve"> has size ( p &lt; 0.10) as a significant variable. In </w:t>
      </w:r>
      <w:r w:rsidR="00BE6F21" w:rsidRPr="008573C5">
        <w:t>Equation</w:t>
      </w:r>
      <w:r w:rsidRPr="008573C5">
        <w:t xml:space="preserve"> </w:t>
      </w:r>
      <w:r w:rsidR="00BE6F21" w:rsidRPr="008573C5">
        <w:t>A</w:t>
      </w:r>
      <w:r w:rsidR="00BE6F21" w:rsidRPr="008573C5">
        <w:rPr>
          <w:vertAlign w:val="subscript"/>
        </w:rPr>
        <w:t>6</w:t>
      </w:r>
      <w:r w:rsidRPr="008573C5">
        <w:t>, profitability, listing age and sector are not significant explanatory variables.</w:t>
      </w:r>
    </w:p>
    <w:p w:rsidR="00FF5EDF" w:rsidRPr="008573C5" w:rsidRDefault="00BE6F21" w:rsidP="00FF5EDF">
      <w:pPr>
        <w:tabs>
          <w:tab w:val="left" w:pos="7320"/>
        </w:tabs>
        <w:spacing w:before="240" w:line="360" w:lineRule="auto"/>
        <w:jc w:val="both"/>
        <w:rPr>
          <w:rFonts w:eastAsia="Calibri"/>
        </w:rPr>
      </w:pPr>
      <w:r w:rsidRPr="008573C5">
        <w:t>Equation</w:t>
      </w:r>
      <w:r w:rsidR="00FF5EDF" w:rsidRPr="008573C5">
        <w:t xml:space="preserve">, </w:t>
      </w:r>
      <w:r w:rsidRPr="008573C5">
        <w:t>A</w:t>
      </w:r>
      <w:r w:rsidRPr="008573C5">
        <w:rPr>
          <w:vertAlign w:val="subscript"/>
        </w:rPr>
        <w:t>7</w:t>
      </w:r>
      <w:r w:rsidR="00FF5EDF" w:rsidRPr="008573C5">
        <w:rPr>
          <w:vertAlign w:val="subscript"/>
        </w:rPr>
        <w:t>,</w:t>
      </w:r>
      <w:r w:rsidR="00FF5EDF" w:rsidRPr="008573C5">
        <w:t xml:space="preserve"> uses the ranked IFRS disclosure index as its independent variable (Table 4.2</w:t>
      </w:r>
      <w:r w:rsidR="00D53D5D">
        <w:t>1</w:t>
      </w:r>
      <w:r w:rsidR="00FF5EDF" w:rsidRPr="008573C5">
        <w:t xml:space="preserve">). </w:t>
      </w:r>
      <w:r w:rsidR="00FF5EDF" w:rsidRPr="008573C5">
        <w:rPr>
          <w:rFonts w:eastAsia="Calibri"/>
        </w:rPr>
        <w:t>The F</w:t>
      </w:r>
      <w:r w:rsidR="005512F1" w:rsidRPr="008573C5">
        <w:rPr>
          <w:rFonts w:eastAsia="Calibri"/>
        </w:rPr>
        <w:t>-</w:t>
      </w:r>
      <w:r w:rsidR="00FF5EDF" w:rsidRPr="008573C5">
        <w:rPr>
          <w:rFonts w:eastAsia="Calibri"/>
        </w:rPr>
        <w:t xml:space="preserve">statistic indicates that the model employed to explain the variations in IFRS disclosure in annual report of Nigerian companies is significant at p &lt; 0.001. The t statistics portrays positive relationships for all the independent variables except for profitability. The results also show that size and auditor type are significant at 1% level in explaining IFRS disclosures. This means companies that are larger in size and companies audited by the Big four audit firms are likely to disclose more information. Other variables were not found to be as significant a predictor of compliance with IFRS disclosure as expected. </w:t>
      </w:r>
    </w:p>
    <w:p w:rsidR="00FF5EDF" w:rsidRPr="008573C5" w:rsidRDefault="00FF5EDF" w:rsidP="00FF5EDF">
      <w:pPr>
        <w:autoSpaceDE w:val="0"/>
        <w:autoSpaceDN w:val="0"/>
        <w:adjustRightInd w:val="0"/>
        <w:rPr>
          <w:rFonts w:ascii="AdvTT5843c571" w:eastAsia="Calibri" w:hAnsi="AdvTT5843c571" w:cs="AdvTT5843c571"/>
          <w:sz w:val="20"/>
          <w:szCs w:val="20"/>
        </w:rPr>
      </w:pPr>
    </w:p>
    <w:p w:rsidR="00FF5EDF" w:rsidRPr="008573C5" w:rsidRDefault="00BE6F21" w:rsidP="00FF5EDF">
      <w:pPr>
        <w:tabs>
          <w:tab w:val="left" w:pos="7320"/>
        </w:tabs>
        <w:spacing w:before="240" w:line="360" w:lineRule="auto"/>
        <w:jc w:val="both"/>
        <w:rPr>
          <w:rFonts w:eastAsia="Calibri"/>
        </w:rPr>
      </w:pPr>
      <w:r w:rsidRPr="008573C5">
        <w:t>Equation</w:t>
      </w:r>
      <w:r w:rsidR="00FF5EDF" w:rsidRPr="008573C5">
        <w:t xml:space="preserve"> </w:t>
      </w:r>
      <w:r w:rsidRPr="008573C5">
        <w:t>A</w:t>
      </w:r>
      <w:r w:rsidRPr="008573C5">
        <w:rPr>
          <w:vertAlign w:val="subscript"/>
        </w:rPr>
        <w:t>8</w:t>
      </w:r>
      <w:r w:rsidR="00FF5EDF" w:rsidRPr="008573C5">
        <w:t xml:space="preserve"> in Table 4.2</w:t>
      </w:r>
      <w:r w:rsidR="00807701" w:rsidRPr="008573C5">
        <w:t>1</w:t>
      </w:r>
      <w:r w:rsidR="00FF5EDF" w:rsidRPr="008573C5">
        <w:t xml:space="preserve"> presents the result of the OLS using ranked voluntary disclosure index as dependent variable. The result show</w:t>
      </w:r>
      <w:r w:rsidR="00807701" w:rsidRPr="008573C5">
        <w:t>s</w:t>
      </w:r>
      <w:r w:rsidR="00FF5EDF" w:rsidRPr="008573C5">
        <w:t xml:space="preserve"> that the </w:t>
      </w:r>
      <w:r w:rsidRPr="008573C5">
        <w:t>equation</w:t>
      </w:r>
      <w:r w:rsidR="00FF5EDF" w:rsidRPr="008573C5">
        <w:t xml:space="preserve"> has a lower significance than the previous three </w:t>
      </w:r>
      <w:r w:rsidRPr="008573C5">
        <w:t>equations</w:t>
      </w:r>
      <w:r w:rsidR="00FF5EDF" w:rsidRPr="008573C5">
        <w:t xml:space="preserve"> with p = 0.001</w:t>
      </w:r>
      <w:r w:rsidR="0008315D" w:rsidRPr="008573C5">
        <w:t xml:space="preserve"> and F-</w:t>
      </w:r>
      <w:r w:rsidR="005512F1" w:rsidRPr="008573C5">
        <w:t>s</w:t>
      </w:r>
      <w:r w:rsidR="0008315D" w:rsidRPr="008573C5">
        <w:t xml:space="preserve">tatistics </w:t>
      </w:r>
      <w:r w:rsidR="00FF5EDF" w:rsidRPr="008573C5">
        <w:t>at 3.972. The coefficient of determination R</w:t>
      </w:r>
      <w:r w:rsidR="00FF5EDF" w:rsidRPr="008573C5">
        <w:rPr>
          <w:vertAlign w:val="superscript"/>
        </w:rPr>
        <w:t>2</w:t>
      </w:r>
      <w:r w:rsidR="00FF5EDF" w:rsidRPr="008573C5">
        <w:t xml:space="preserve"> showed a low fit of 0.310 and with an adjusted R</w:t>
      </w:r>
      <w:r w:rsidR="00FF5EDF" w:rsidRPr="008573C5">
        <w:rPr>
          <w:vertAlign w:val="superscript"/>
        </w:rPr>
        <w:t>2</w:t>
      </w:r>
      <w:r w:rsidR="00FF5EDF" w:rsidRPr="008573C5">
        <w:t xml:space="preserve"> of 0.232. The t-statistics </w:t>
      </w:r>
      <w:r w:rsidR="00FF5EDF" w:rsidRPr="008573C5">
        <w:rPr>
          <w:rFonts w:eastAsia="Calibri"/>
        </w:rPr>
        <w:t xml:space="preserve">of leverage and sector indicates a negative effect, while the other variables are positive. The results show that some variables are significant in explaining voluntary </w:t>
      </w:r>
      <w:r w:rsidR="005512F1" w:rsidRPr="008573C5">
        <w:rPr>
          <w:rFonts w:eastAsia="Calibri"/>
        </w:rPr>
        <w:t>disclosures;</w:t>
      </w:r>
      <w:r w:rsidR="00FF5EDF" w:rsidRPr="008573C5">
        <w:rPr>
          <w:rFonts w:eastAsia="Calibri"/>
        </w:rPr>
        <w:t xml:space="preserve"> these are size, leverage, listing age and auditor type at p &lt; 0.05 and p &lt; 0.10. Variables such as p</w:t>
      </w:r>
      <w:r w:rsidR="00FF5EDF" w:rsidRPr="008573C5">
        <w:t>rofitability, sector and multinationality have no impact on voluntary disclosures.</w:t>
      </w:r>
    </w:p>
    <w:p w:rsidR="00805C20" w:rsidRPr="008573C5" w:rsidRDefault="00805C20" w:rsidP="006C52F0">
      <w:pPr>
        <w:autoSpaceDE w:val="0"/>
        <w:autoSpaceDN w:val="0"/>
        <w:adjustRightInd w:val="0"/>
        <w:spacing w:line="480" w:lineRule="auto"/>
        <w:rPr>
          <w:b/>
        </w:rPr>
      </w:pPr>
    </w:p>
    <w:p w:rsidR="00E92C3E" w:rsidRDefault="00E92C3E" w:rsidP="00716EE7">
      <w:pPr>
        <w:autoSpaceDE w:val="0"/>
        <w:autoSpaceDN w:val="0"/>
        <w:adjustRightInd w:val="0"/>
        <w:spacing w:line="360" w:lineRule="auto"/>
        <w:rPr>
          <w:b/>
        </w:rPr>
      </w:pPr>
    </w:p>
    <w:p w:rsidR="00E92C3E" w:rsidRDefault="00E92C3E" w:rsidP="00716EE7">
      <w:pPr>
        <w:autoSpaceDE w:val="0"/>
        <w:autoSpaceDN w:val="0"/>
        <w:adjustRightInd w:val="0"/>
        <w:spacing w:line="360" w:lineRule="auto"/>
        <w:rPr>
          <w:b/>
        </w:rPr>
      </w:pPr>
    </w:p>
    <w:p w:rsidR="00E92C3E" w:rsidRDefault="00E92C3E" w:rsidP="00716EE7">
      <w:pPr>
        <w:autoSpaceDE w:val="0"/>
        <w:autoSpaceDN w:val="0"/>
        <w:adjustRightInd w:val="0"/>
        <w:spacing w:line="360" w:lineRule="auto"/>
        <w:rPr>
          <w:b/>
        </w:rPr>
      </w:pPr>
    </w:p>
    <w:p w:rsidR="006C52F0" w:rsidRPr="008573C5" w:rsidRDefault="006C52F0" w:rsidP="00716EE7">
      <w:pPr>
        <w:autoSpaceDE w:val="0"/>
        <w:autoSpaceDN w:val="0"/>
        <w:adjustRightInd w:val="0"/>
        <w:spacing w:line="360" w:lineRule="auto"/>
        <w:rPr>
          <w:b/>
        </w:rPr>
      </w:pPr>
      <w:r w:rsidRPr="008573C5">
        <w:rPr>
          <w:b/>
        </w:rPr>
        <w:t>4.2.3.3</w:t>
      </w:r>
      <w:r w:rsidRPr="008573C5">
        <w:rPr>
          <w:b/>
        </w:rPr>
        <w:tab/>
        <w:t>Regression Result (Model 3) using Unranked OLS with Log Transformation of Total Assets</w:t>
      </w:r>
    </w:p>
    <w:p w:rsidR="00716EE7" w:rsidRPr="008573C5" w:rsidRDefault="00716EE7" w:rsidP="00867C8A">
      <w:pPr>
        <w:autoSpaceDE w:val="0"/>
        <w:autoSpaceDN w:val="0"/>
        <w:adjustRightInd w:val="0"/>
        <w:spacing w:line="360" w:lineRule="auto"/>
        <w:jc w:val="both"/>
        <w:rPr>
          <w:rFonts w:eastAsia="Calibri"/>
        </w:rPr>
      </w:pPr>
    </w:p>
    <w:p w:rsidR="00867C8A" w:rsidRPr="008573C5" w:rsidRDefault="00867C8A" w:rsidP="00867C8A">
      <w:pPr>
        <w:autoSpaceDE w:val="0"/>
        <w:autoSpaceDN w:val="0"/>
        <w:adjustRightInd w:val="0"/>
        <w:spacing w:line="360" w:lineRule="auto"/>
        <w:jc w:val="both"/>
      </w:pPr>
      <w:r w:rsidRPr="008573C5">
        <w:rPr>
          <w:rFonts w:eastAsia="Calibri"/>
        </w:rPr>
        <w:t xml:space="preserve">Regression analyses of Model1 </w:t>
      </w:r>
      <w:r w:rsidR="00E92C3E">
        <w:rPr>
          <w:rFonts w:eastAsia="Calibri"/>
        </w:rPr>
        <w:t>are</w:t>
      </w:r>
      <w:r w:rsidRPr="008573C5">
        <w:rPr>
          <w:rFonts w:eastAsia="Calibri"/>
        </w:rPr>
        <w:t xml:space="preserve"> re-run using log transformation of total assets as proxy for the company size. The results are documented in Table 4.22. Equations</w:t>
      </w:r>
      <w:r w:rsidRPr="008573C5">
        <w:t xml:space="preserve"> A</w:t>
      </w:r>
      <w:r w:rsidRPr="008573C5">
        <w:rPr>
          <w:vertAlign w:val="subscript"/>
        </w:rPr>
        <w:t xml:space="preserve">9, </w:t>
      </w:r>
      <w:r w:rsidRPr="008573C5">
        <w:t>A</w:t>
      </w:r>
      <w:r w:rsidRPr="008573C5">
        <w:rPr>
          <w:vertAlign w:val="subscript"/>
        </w:rPr>
        <w:t xml:space="preserve">10 </w:t>
      </w:r>
      <w:r w:rsidRPr="008573C5">
        <w:t>A</w:t>
      </w:r>
      <w:r w:rsidRPr="008573C5">
        <w:rPr>
          <w:vertAlign w:val="subscript"/>
        </w:rPr>
        <w:t xml:space="preserve">11 </w:t>
      </w:r>
      <w:r w:rsidRPr="008573C5">
        <w:t>A</w:t>
      </w:r>
      <w:r w:rsidRPr="008573C5">
        <w:rPr>
          <w:vertAlign w:val="subscript"/>
        </w:rPr>
        <w:t>12</w:t>
      </w:r>
      <w:r w:rsidR="00E92C3E">
        <w:t xml:space="preserve"> used</w:t>
      </w:r>
      <w:r w:rsidRPr="008573C5">
        <w:t xml:space="preserve"> ODI, SAS, IFRS and Voluntary indices as dependent variables re</w:t>
      </w:r>
      <w:r w:rsidR="00E92C3E">
        <w:t xml:space="preserve">spectively. The four models use </w:t>
      </w:r>
      <w:r w:rsidRPr="008573C5">
        <w:t>the same independent variables which are company size (log transformation of total assets), profitability, leverage, listing age, sector, auditor type, and multinational</w:t>
      </w:r>
      <w:r w:rsidR="005512F1" w:rsidRPr="008573C5">
        <w:t>ity</w:t>
      </w:r>
      <w:r w:rsidRPr="008573C5">
        <w:t>. The tota</w:t>
      </w:r>
      <w:r w:rsidR="00E92C3E">
        <w:t>l number of valid cases improve</w:t>
      </w:r>
      <w:r w:rsidRPr="008573C5">
        <w:t xml:space="preserve"> from 70</w:t>
      </w:r>
      <w:r w:rsidR="00716EE7" w:rsidRPr="008573C5">
        <w:t xml:space="preserve"> (Model </w:t>
      </w:r>
      <w:r w:rsidRPr="008573C5">
        <w:t>1 &amp; 2) to 86. The potential effect of collinearity on the regression was assessed using the tolerance level and VIF. Since tolerance level is above 0.2 (0.547, 0.915, 0.774, 0.737, 0.735, 0.454, 0.826) and VIF d</w:t>
      </w:r>
      <w:r w:rsidR="00E92C3E">
        <w:t>o</w:t>
      </w:r>
      <w:r w:rsidRPr="008573C5">
        <w:t xml:space="preserve"> not exceed 10 (1.830, 1.093, 1.293, 1.357, 1.361, 2.204, 1.210) it </w:t>
      </w:r>
      <w:r w:rsidR="00E92C3E">
        <w:t>i</w:t>
      </w:r>
      <w:r w:rsidRPr="008573C5">
        <w:t>s concluded that collinearity is not a challenge. The normal P-P plots of regression standardized residual showed the distribution was approximately normal. The Durbin-Watson is recorded to be 1.882, 2.058, 1.728 and 1.630 for each of the Equations A</w:t>
      </w:r>
      <w:r w:rsidRPr="008573C5">
        <w:rPr>
          <w:vertAlign w:val="subscript"/>
        </w:rPr>
        <w:t xml:space="preserve">9 </w:t>
      </w:r>
      <w:r w:rsidRPr="008573C5">
        <w:t>A</w:t>
      </w:r>
      <w:r w:rsidRPr="008573C5">
        <w:rPr>
          <w:vertAlign w:val="subscript"/>
        </w:rPr>
        <w:t xml:space="preserve">10 </w:t>
      </w:r>
      <w:r w:rsidRPr="008573C5">
        <w:t>A</w:t>
      </w:r>
      <w:r w:rsidRPr="008573C5">
        <w:rPr>
          <w:vertAlign w:val="subscript"/>
        </w:rPr>
        <w:t xml:space="preserve">11 </w:t>
      </w:r>
      <w:r w:rsidRPr="008573C5">
        <w:t>A</w:t>
      </w:r>
      <w:r w:rsidRPr="008573C5">
        <w:rPr>
          <w:vertAlign w:val="subscript"/>
        </w:rPr>
        <w:t>12</w:t>
      </w:r>
      <w:r w:rsidRPr="008573C5">
        <w:t xml:space="preserve"> </w:t>
      </w:r>
      <w:r w:rsidR="005512F1" w:rsidRPr="008573C5">
        <w:t>respectiv</w:t>
      </w:r>
      <w:r w:rsidR="00E92C3E">
        <w:t>ely. T</w:t>
      </w:r>
      <w:r w:rsidRPr="008573C5">
        <w:t>his figure shows there is no threat of independent errors for any of the models. Thus the diagnostic tests suggest the results are robust.</w:t>
      </w:r>
    </w:p>
    <w:p w:rsidR="00867C8A" w:rsidRPr="008573C5" w:rsidRDefault="00867C8A" w:rsidP="00867C8A">
      <w:pPr>
        <w:autoSpaceDE w:val="0"/>
        <w:autoSpaceDN w:val="0"/>
        <w:adjustRightInd w:val="0"/>
        <w:spacing w:line="360" w:lineRule="auto"/>
        <w:jc w:val="both"/>
      </w:pPr>
    </w:p>
    <w:p w:rsidR="00867C8A" w:rsidRPr="008573C5" w:rsidRDefault="00867C8A" w:rsidP="00867C8A">
      <w:pPr>
        <w:autoSpaceDE w:val="0"/>
        <w:autoSpaceDN w:val="0"/>
        <w:adjustRightInd w:val="0"/>
        <w:spacing w:line="360" w:lineRule="auto"/>
        <w:jc w:val="both"/>
        <w:rPr>
          <w:rFonts w:eastAsia="Calibri"/>
        </w:rPr>
      </w:pPr>
      <w:r w:rsidRPr="008573C5">
        <w:t>Equation A</w:t>
      </w:r>
      <w:r w:rsidRPr="008573C5">
        <w:rPr>
          <w:vertAlign w:val="subscript"/>
        </w:rPr>
        <w:t xml:space="preserve">9, </w:t>
      </w:r>
      <w:r w:rsidRPr="008573C5">
        <w:t>in Table 4.22 shows the regression result using the ODI as dependent variable. The</w:t>
      </w:r>
      <w:r w:rsidRPr="008573C5">
        <w:rPr>
          <w:rFonts w:eastAsia="Calibri"/>
        </w:rPr>
        <w:t xml:space="preserve"> F statistic indicates an overall fit with </w:t>
      </w:r>
      <w:r w:rsidR="005512F1" w:rsidRPr="008573C5">
        <w:rPr>
          <w:rFonts w:eastAsia="Calibri"/>
        </w:rPr>
        <w:t xml:space="preserve">a value equal to </w:t>
      </w:r>
      <w:r w:rsidRPr="008573C5">
        <w:rPr>
          <w:rFonts w:eastAsia="Calibri"/>
        </w:rPr>
        <w:t xml:space="preserve">17.894, significant at p &lt; 0.001. </w:t>
      </w:r>
      <w:r w:rsidR="00082FCC" w:rsidRPr="008573C5">
        <w:t>The F statistics indicates that the model employed to explain the variations in mandatory and voluntary disclosure in company annual reports is significant.</w:t>
      </w:r>
      <w:r w:rsidRPr="008573C5">
        <w:t xml:space="preserve"> The t-statistics shows a positive co-efficient for six out of the seven variables, only leverage is negative. The log of total assets, as the measure of size, is positively significant with a t value of 6.449 (p &lt; 0.01). In the same vein, auditor type also shows a significant (p &lt; 0.01) and positive relationship with overall disclosure index. However</w:t>
      </w:r>
      <w:r w:rsidR="00082FCC" w:rsidRPr="008573C5">
        <w:t>,</w:t>
      </w:r>
      <w:r w:rsidR="00E92C3E">
        <w:t xml:space="preserve"> all the other variables a</w:t>
      </w:r>
      <w:r w:rsidRPr="008573C5">
        <w:t>re statistically insignificant.</w:t>
      </w:r>
    </w:p>
    <w:p w:rsidR="00867C8A" w:rsidRPr="008573C5" w:rsidRDefault="00867C8A" w:rsidP="00867C8A">
      <w:pPr>
        <w:autoSpaceDE w:val="0"/>
        <w:autoSpaceDN w:val="0"/>
        <w:adjustRightInd w:val="0"/>
        <w:rPr>
          <w:rFonts w:ascii="AdvTT5843c571" w:eastAsia="Calibri" w:hAnsi="AdvTT5843c571" w:cs="AdvTT5843c571"/>
          <w:sz w:val="22"/>
          <w:szCs w:val="22"/>
        </w:rPr>
      </w:pPr>
    </w:p>
    <w:p w:rsidR="00867C8A" w:rsidRPr="008573C5" w:rsidRDefault="00867C8A" w:rsidP="006C52F0">
      <w:pPr>
        <w:autoSpaceDE w:val="0"/>
        <w:autoSpaceDN w:val="0"/>
        <w:adjustRightInd w:val="0"/>
        <w:spacing w:line="480" w:lineRule="auto"/>
        <w:rPr>
          <w:b/>
        </w:rPr>
      </w:pPr>
    </w:p>
    <w:p w:rsidR="009664A4" w:rsidRPr="008573C5" w:rsidRDefault="009664A4" w:rsidP="00716EE7">
      <w:pPr>
        <w:autoSpaceDE w:val="0"/>
        <w:autoSpaceDN w:val="0"/>
        <w:adjustRightInd w:val="0"/>
        <w:jc w:val="center"/>
        <w:rPr>
          <w:b/>
          <w:sz w:val="28"/>
          <w:szCs w:val="28"/>
        </w:rPr>
      </w:pPr>
    </w:p>
    <w:p w:rsidR="009664A4" w:rsidRPr="008573C5" w:rsidRDefault="009664A4" w:rsidP="00716EE7">
      <w:pPr>
        <w:autoSpaceDE w:val="0"/>
        <w:autoSpaceDN w:val="0"/>
        <w:adjustRightInd w:val="0"/>
        <w:jc w:val="center"/>
        <w:rPr>
          <w:b/>
          <w:sz w:val="28"/>
          <w:szCs w:val="28"/>
        </w:rPr>
      </w:pPr>
    </w:p>
    <w:p w:rsidR="009664A4" w:rsidRPr="008573C5" w:rsidRDefault="009664A4" w:rsidP="00716EE7">
      <w:pPr>
        <w:autoSpaceDE w:val="0"/>
        <w:autoSpaceDN w:val="0"/>
        <w:adjustRightInd w:val="0"/>
        <w:jc w:val="center"/>
        <w:rPr>
          <w:b/>
          <w:sz w:val="28"/>
          <w:szCs w:val="28"/>
        </w:rPr>
      </w:pPr>
    </w:p>
    <w:p w:rsidR="009664A4" w:rsidRPr="008573C5" w:rsidRDefault="009664A4" w:rsidP="00716EE7">
      <w:pPr>
        <w:autoSpaceDE w:val="0"/>
        <w:autoSpaceDN w:val="0"/>
        <w:adjustRightInd w:val="0"/>
        <w:jc w:val="center"/>
        <w:rPr>
          <w:b/>
          <w:sz w:val="28"/>
          <w:szCs w:val="28"/>
        </w:rPr>
      </w:pPr>
    </w:p>
    <w:p w:rsidR="009664A4" w:rsidRPr="008573C5" w:rsidRDefault="009664A4" w:rsidP="00716EE7">
      <w:pPr>
        <w:autoSpaceDE w:val="0"/>
        <w:autoSpaceDN w:val="0"/>
        <w:adjustRightInd w:val="0"/>
        <w:jc w:val="center"/>
        <w:rPr>
          <w:b/>
          <w:sz w:val="28"/>
          <w:szCs w:val="28"/>
        </w:rPr>
      </w:pPr>
    </w:p>
    <w:p w:rsidR="009664A4" w:rsidRPr="008573C5" w:rsidRDefault="009664A4" w:rsidP="00716EE7">
      <w:pPr>
        <w:autoSpaceDE w:val="0"/>
        <w:autoSpaceDN w:val="0"/>
        <w:adjustRightInd w:val="0"/>
        <w:jc w:val="center"/>
        <w:rPr>
          <w:b/>
          <w:sz w:val="28"/>
          <w:szCs w:val="28"/>
        </w:rPr>
      </w:pPr>
    </w:p>
    <w:p w:rsidR="006C52F0" w:rsidRPr="008573C5" w:rsidRDefault="006C52F0" w:rsidP="00716EE7">
      <w:pPr>
        <w:autoSpaceDE w:val="0"/>
        <w:autoSpaceDN w:val="0"/>
        <w:adjustRightInd w:val="0"/>
        <w:jc w:val="center"/>
        <w:rPr>
          <w:b/>
          <w:sz w:val="28"/>
          <w:szCs w:val="28"/>
        </w:rPr>
      </w:pPr>
      <w:r w:rsidRPr="008573C5">
        <w:rPr>
          <w:b/>
          <w:sz w:val="28"/>
          <w:szCs w:val="28"/>
        </w:rPr>
        <w:t>Table 4.22: Regression Result ( Model 3) using OLS with Log Transformation of Total Assets</w:t>
      </w:r>
    </w:p>
    <w:p w:rsidR="00716EE7" w:rsidRPr="008573C5" w:rsidRDefault="00716EE7" w:rsidP="00716EE7">
      <w:pPr>
        <w:autoSpaceDE w:val="0"/>
        <w:autoSpaceDN w:val="0"/>
        <w:adjustRightInd w:val="0"/>
        <w:jc w:val="center"/>
        <w:rPr>
          <w:b/>
          <w:sz w:val="28"/>
          <w:szCs w:val="28"/>
        </w:rPr>
      </w:pPr>
    </w:p>
    <w:tbl>
      <w:tblPr>
        <w:tblW w:w="1023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1260"/>
        <w:gridCol w:w="990"/>
        <w:gridCol w:w="1080"/>
        <w:gridCol w:w="1080"/>
        <w:gridCol w:w="1080"/>
        <w:gridCol w:w="990"/>
        <w:gridCol w:w="1080"/>
        <w:gridCol w:w="90"/>
        <w:gridCol w:w="968"/>
      </w:tblGrid>
      <w:tr w:rsidR="00533884" w:rsidRPr="008573C5" w:rsidTr="00E038A6">
        <w:tc>
          <w:tcPr>
            <w:tcW w:w="1620" w:type="dxa"/>
            <w:vMerge w:val="restart"/>
          </w:tcPr>
          <w:p w:rsidR="00533884" w:rsidRPr="008573C5" w:rsidRDefault="00533884" w:rsidP="00902653">
            <w:pPr>
              <w:autoSpaceDE w:val="0"/>
              <w:autoSpaceDN w:val="0"/>
              <w:adjustRightInd w:val="0"/>
              <w:spacing w:line="480" w:lineRule="auto"/>
              <w:rPr>
                <w:b/>
                <w:sz w:val="22"/>
                <w:szCs w:val="22"/>
              </w:rPr>
            </w:pPr>
            <w:r w:rsidRPr="008573C5">
              <w:rPr>
                <w:b/>
                <w:sz w:val="22"/>
                <w:szCs w:val="22"/>
              </w:rPr>
              <w:t>Independent</w:t>
            </w:r>
          </w:p>
          <w:p w:rsidR="00533884" w:rsidRPr="008573C5" w:rsidRDefault="00533884" w:rsidP="00902653">
            <w:pPr>
              <w:autoSpaceDE w:val="0"/>
              <w:autoSpaceDN w:val="0"/>
              <w:adjustRightInd w:val="0"/>
              <w:spacing w:line="480" w:lineRule="auto"/>
              <w:rPr>
                <w:b/>
                <w:sz w:val="22"/>
                <w:szCs w:val="22"/>
              </w:rPr>
            </w:pPr>
            <w:r w:rsidRPr="008573C5">
              <w:rPr>
                <w:b/>
                <w:sz w:val="22"/>
                <w:szCs w:val="22"/>
              </w:rPr>
              <w:t>Variables</w:t>
            </w:r>
          </w:p>
        </w:tc>
        <w:tc>
          <w:tcPr>
            <w:tcW w:w="8618" w:type="dxa"/>
            <w:gridSpan w:val="9"/>
          </w:tcPr>
          <w:p w:rsidR="00533884" w:rsidRPr="008573C5" w:rsidRDefault="00533884" w:rsidP="00902653">
            <w:pPr>
              <w:autoSpaceDE w:val="0"/>
              <w:autoSpaceDN w:val="0"/>
              <w:adjustRightInd w:val="0"/>
              <w:spacing w:line="480" w:lineRule="auto"/>
              <w:jc w:val="center"/>
              <w:rPr>
                <w:b/>
                <w:sz w:val="22"/>
                <w:szCs w:val="22"/>
              </w:rPr>
            </w:pPr>
            <w:r w:rsidRPr="008573C5">
              <w:rPr>
                <w:b/>
                <w:sz w:val="22"/>
                <w:szCs w:val="22"/>
              </w:rPr>
              <w:t>Coefficients and t-statistics</w:t>
            </w:r>
          </w:p>
        </w:tc>
      </w:tr>
      <w:tr w:rsidR="00533884" w:rsidRPr="008573C5" w:rsidTr="00B36150">
        <w:tc>
          <w:tcPr>
            <w:tcW w:w="1620" w:type="dxa"/>
            <w:vMerge/>
          </w:tcPr>
          <w:p w:rsidR="00533884" w:rsidRPr="008573C5" w:rsidRDefault="00533884" w:rsidP="00902653">
            <w:pPr>
              <w:autoSpaceDE w:val="0"/>
              <w:autoSpaceDN w:val="0"/>
              <w:adjustRightInd w:val="0"/>
              <w:spacing w:line="480" w:lineRule="auto"/>
              <w:rPr>
                <w:b/>
                <w:sz w:val="22"/>
                <w:szCs w:val="22"/>
              </w:rPr>
            </w:pPr>
          </w:p>
        </w:tc>
        <w:tc>
          <w:tcPr>
            <w:tcW w:w="2250" w:type="dxa"/>
            <w:gridSpan w:val="2"/>
          </w:tcPr>
          <w:p w:rsidR="00533884" w:rsidRPr="008573C5" w:rsidRDefault="00533884" w:rsidP="00902653">
            <w:pPr>
              <w:autoSpaceDE w:val="0"/>
              <w:autoSpaceDN w:val="0"/>
              <w:adjustRightInd w:val="0"/>
              <w:spacing w:line="480" w:lineRule="auto"/>
              <w:rPr>
                <w:b/>
                <w:sz w:val="22"/>
                <w:szCs w:val="22"/>
              </w:rPr>
            </w:pPr>
            <w:r w:rsidRPr="008573C5">
              <w:rPr>
                <w:b/>
                <w:sz w:val="22"/>
                <w:szCs w:val="22"/>
              </w:rPr>
              <w:t>Equation A</w:t>
            </w:r>
            <w:r w:rsidRPr="008573C5">
              <w:rPr>
                <w:b/>
                <w:sz w:val="22"/>
                <w:szCs w:val="22"/>
                <w:vertAlign w:val="subscript"/>
              </w:rPr>
              <w:t>9</w:t>
            </w:r>
          </w:p>
        </w:tc>
        <w:tc>
          <w:tcPr>
            <w:tcW w:w="2160" w:type="dxa"/>
            <w:gridSpan w:val="2"/>
          </w:tcPr>
          <w:p w:rsidR="00533884" w:rsidRPr="008573C5" w:rsidRDefault="00533884" w:rsidP="00902653">
            <w:pPr>
              <w:autoSpaceDE w:val="0"/>
              <w:autoSpaceDN w:val="0"/>
              <w:adjustRightInd w:val="0"/>
              <w:spacing w:line="480" w:lineRule="auto"/>
              <w:rPr>
                <w:b/>
                <w:sz w:val="22"/>
                <w:szCs w:val="22"/>
              </w:rPr>
            </w:pPr>
            <w:r w:rsidRPr="008573C5">
              <w:rPr>
                <w:b/>
                <w:sz w:val="22"/>
                <w:szCs w:val="22"/>
              </w:rPr>
              <w:t>Equation  A</w:t>
            </w:r>
            <w:r w:rsidRPr="008573C5">
              <w:rPr>
                <w:b/>
                <w:sz w:val="22"/>
                <w:szCs w:val="22"/>
                <w:vertAlign w:val="subscript"/>
              </w:rPr>
              <w:t>10</w:t>
            </w:r>
          </w:p>
        </w:tc>
        <w:tc>
          <w:tcPr>
            <w:tcW w:w="2070" w:type="dxa"/>
            <w:gridSpan w:val="2"/>
          </w:tcPr>
          <w:p w:rsidR="00533884" w:rsidRPr="008573C5" w:rsidRDefault="00533884" w:rsidP="00902653">
            <w:pPr>
              <w:autoSpaceDE w:val="0"/>
              <w:autoSpaceDN w:val="0"/>
              <w:adjustRightInd w:val="0"/>
              <w:spacing w:line="480" w:lineRule="auto"/>
              <w:rPr>
                <w:b/>
                <w:sz w:val="22"/>
                <w:szCs w:val="22"/>
              </w:rPr>
            </w:pPr>
            <w:r w:rsidRPr="008573C5">
              <w:rPr>
                <w:b/>
                <w:sz w:val="22"/>
                <w:szCs w:val="22"/>
              </w:rPr>
              <w:t>Equation A</w:t>
            </w:r>
            <w:r w:rsidRPr="008573C5">
              <w:rPr>
                <w:b/>
                <w:sz w:val="22"/>
                <w:szCs w:val="22"/>
                <w:vertAlign w:val="subscript"/>
              </w:rPr>
              <w:t>11</w:t>
            </w:r>
          </w:p>
        </w:tc>
        <w:tc>
          <w:tcPr>
            <w:tcW w:w="2138" w:type="dxa"/>
            <w:gridSpan w:val="3"/>
          </w:tcPr>
          <w:p w:rsidR="00533884" w:rsidRPr="008573C5" w:rsidRDefault="00533884" w:rsidP="00902653">
            <w:pPr>
              <w:autoSpaceDE w:val="0"/>
              <w:autoSpaceDN w:val="0"/>
              <w:adjustRightInd w:val="0"/>
              <w:spacing w:line="480" w:lineRule="auto"/>
              <w:rPr>
                <w:b/>
                <w:sz w:val="22"/>
                <w:szCs w:val="22"/>
              </w:rPr>
            </w:pPr>
            <w:r w:rsidRPr="008573C5">
              <w:rPr>
                <w:b/>
                <w:sz w:val="22"/>
                <w:szCs w:val="22"/>
              </w:rPr>
              <w:t>Equation  A</w:t>
            </w:r>
            <w:r w:rsidRPr="008573C5">
              <w:rPr>
                <w:b/>
                <w:sz w:val="22"/>
                <w:szCs w:val="22"/>
                <w:vertAlign w:val="subscript"/>
              </w:rPr>
              <w:t>12</w:t>
            </w:r>
          </w:p>
        </w:tc>
      </w:tr>
      <w:tr w:rsidR="00E038A6" w:rsidRPr="008573C5" w:rsidTr="00B36150">
        <w:trPr>
          <w:trHeight w:val="332"/>
        </w:trPr>
        <w:tc>
          <w:tcPr>
            <w:tcW w:w="1620" w:type="dxa"/>
          </w:tcPr>
          <w:p w:rsidR="00E038A6" w:rsidRPr="008573C5" w:rsidRDefault="00E038A6" w:rsidP="00902653">
            <w:pPr>
              <w:autoSpaceDE w:val="0"/>
              <w:autoSpaceDN w:val="0"/>
              <w:adjustRightInd w:val="0"/>
              <w:spacing w:line="480" w:lineRule="auto"/>
              <w:rPr>
                <w:sz w:val="22"/>
                <w:szCs w:val="22"/>
              </w:rPr>
            </w:pPr>
          </w:p>
        </w:tc>
        <w:tc>
          <w:tcPr>
            <w:tcW w:w="1260"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Coeff.</w:t>
            </w:r>
          </w:p>
        </w:tc>
        <w:tc>
          <w:tcPr>
            <w:tcW w:w="990" w:type="dxa"/>
          </w:tcPr>
          <w:p w:rsidR="00E038A6" w:rsidRPr="008573C5" w:rsidRDefault="00E038A6" w:rsidP="00AA7197">
            <w:pPr>
              <w:autoSpaceDE w:val="0"/>
              <w:autoSpaceDN w:val="0"/>
              <w:adjustRightInd w:val="0"/>
              <w:spacing w:line="480" w:lineRule="auto"/>
              <w:rPr>
                <w:sz w:val="22"/>
                <w:szCs w:val="22"/>
              </w:rPr>
            </w:pPr>
            <w:r w:rsidRPr="008573C5">
              <w:rPr>
                <w:sz w:val="22"/>
                <w:szCs w:val="22"/>
              </w:rPr>
              <w:t xml:space="preserve">t -statistics </w:t>
            </w:r>
          </w:p>
        </w:tc>
        <w:tc>
          <w:tcPr>
            <w:tcW w:w="1080"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Coeff.</w:t>
            </w:r>
          </w:p>
        </w:tc>
        <w:tc>
          <w:tcPr>
            <w:tcW w:w="1080" w:type="dxa"/>
          </w:tcPr>
          <w:p w:rsidR="00E038A6" w:rsidRPr="008573C5" w:rsidRDefault="00E038A6" w:rsidP="00AA7197">
            <w:pPr>
              <w:autoSpaceDE w:val="0"/>
              <w:autoSpaceDN w:val="0"/>
              <w:adjustRightInd w:val="0"/>
              <w:spacing w:line="480" w:lineRule="auto"/>
              <w:rPr>
                <w:sz w:val="22"/>
                <w:szCs w:val="22"/>
              </w:rPr>
            </w:pPr>
            <w:r w:rsidRPr="008573C5">
              <w:rPr>
                <w:sz w:val="22"/>
                <w:szCs w:val="22"/>
              </w:rPr>
              <w:t xml:space="preserve">t -statistics </w:t>
            </w:r>
          </w:p>
        </w:tc>
        <w:tc>
          <w:tcPr>
            <w:tcW w:w="1080"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Coeff.</w:t>
            </w:r>
          </w:p>
        </w:tc>
        <w:tc>
          <w:tcPr>
            <w:tcW w:w="990" w:type="dxa"/>
          </w:tcPr>
          <w:p w:rsidR="00E038A6" w:rsidRPr="008573C5" w:rsidRDefault="00E038A6" w:rsidP="00AA7197">
            <w:pPr>
              <w:autoSpaceDE w:val="0"/>
              <w:autoSpaceDN w:val="0"/>
              <w:adjustRightInd w:val="0"/>
              <w:spacing w:line="480" w:lineRule="auto"/>
              <w:rPr>
                <w:sz w:val="22"/>
                <w:szCs w:val="22"/>
              </w:rPr>
            </w:pPr>
            <w:r w:rsidRPr="008573C5">
              <w:rPr>
                <w:sz w:val="22"/>
                <w:szCs w:val="22"/>
              </w:rPr>
              <w:t xml:space="preserve">t -statistics </w:t>
            </w:r>
          </w:p>
        </w:tc>
        <w:tc>
          <w:tcPr>
            <w:tcW w:w="1080"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Coeff.</w:t>
            </w:r>
          </w:p>
        </w:tc>
        <w:tc>
          <w:tcPr>
            <w:tcW w:w="1058" w:type="dxa"/>
            <w:gridSpan w:val="2"/>
          </w:tcPr>
          <w:p w:rsidR="00E038A6" w:rsidRPr="008573C5" w:rsidRDefault="00E038A6" w:rsidP="00AA7197">
            <w:pPr>
              <w:autoSpaceDE w:val="0"/>
              <w:autoSpaceDN w:val="0"/>
              <w:adjustRightInd w:val="0"/>
              <w:spacing w:line="480" w:lineRule="auto"/>
              <w:rPr>
                <w:sz w:val="22"/>
                <w:szCs w:val="22"/>
              </w:rPr>
            </w:pPr>
            <w:r w:rsidRPr="008573C5">
              <w:rPr>
                <w:sz w:val="22"/>
                <w:szCs w:val="22"/>
              </w:rPr>
              <w:t xml:space="preserve">t -statistics </w:t>
            </w:r>
          </w:p>
        </w:tc>
      </w:tr>
      <w:tr w:rsidR="00E038A6" w:rsidRPr="008573C5" w:rsidTr="00B36150">
        <w:trPr>
          <w:trHeight w:val="4554"/>
        </w:trPr>
        <w:tc>
          <w:tcPr>
            <w:tcW w:w="1620"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Size (LTA)</w:t>
            </w:r>
          </w:p>
          <w:p w:rsidR="00E038A6" w:rsidRPr="008573C5" w:rsidRDefault="00E038A6" w:rsidP="00902653">
            <w:pPr>
              <w:autoSpaceDE w:val="0"/>
              <w:autoSpaceDN w:val="0"/>
              <w:adjustRightInd w:val="0"/>
              <w:spacing w:line="480" w:lineRule="auto"/>
              <w:rPr>
                <w:sz w:val="22"/>
                <w:szCs w:val="22"/>
              </w:rPr>
            </w:pPr>
            <w:r w:rsidRPr="008573C5">
              <w:rPr>
                <w:sz w:val="22"/>
                <w:szCs w:val="22"/>
              </w:rPr>
              <w:t>Profitability</w:t>
            </w:r>
          </w:p>
          <w:p w:rsidR="00E038A6" w:rsidRPr="008573C5" w:rsidRDefault="00E038A6" w:rsidP="00902653">
            <w:pPr>
              <w:autoSpaceDE w:val="0"/>
              <w:autoSpaceDN w:val="0"/>
              <w:adjustRightInd w:val="0"/>
              <w:spacing w:line="480" w:lineRule="auto"/>
              <w:rPr>
                <w:sz w:val="22"/>
                <w:szCs w:val="22"/>
              </w:rPr>
            </w:pPr>
            <w:r w:rsidRPr="008573C5">
              <w:rPr>
                <w:sz w:val="22"/>
                <w:szCs w:val="22"/>
              </w:rPr>
              <w:t>Leverage</w:t>
            </w:r>
          </w:p>
          <w:p w:rsidR="00E038A6" w:rsidRPr="008573C5" w:rsidRDefault="00E038A6" w:rsidP="00902653">
            <w:pPr>
              <w:autoSpaceDE w:val="0"/>
              <w:autoSpaceDN w:val="0"/>
              <w:adjustRightInd w:val="0"/>
              <w:spacing w:line="480" w:lineRule="auto"/>
              <w:rPr>
                <w:sz w:val="22"/>
                <w:szCs w:val="22"/>
              </w:rPr>
            </w:pPr>
            <w:r w:rsidRPr="008573C5">
              <w:rPr>
                <w:sz w:val="22"/>
                <w:szCs w:val="22"/>
              </w:rPr>
              <w:t>Age</w:t>
            </w:r>
          </w:p>
          <w:p w:rsidR="00E038A6" w:rsidRPr="008573C5" w:rsidRDefault="00E038A6" w:rsidP="00902653">
            <w:pPr>
              <w:autoSpaceDE w:val="0"/>
              <w:autoSpaceDN w:val="0"/>
              <w:adjustRightInd w:val="0"/>
              <w:spacing w:line="480" w:lineRule="auto"/>
              <w:rPr>
                <w:sz w:val="22"/>
                <w:szCs w:val="22"/>
              </w:rPr>
            </w:pPr>
            <w:r w:rsidRPr="008573C5">
              <w:rPr>
                <w:sz w:val="22"/>
                <w:szCs w:val="22"/>
              </w:rPr>
              <w:t>Multinational</w:t>
            </w:r>
          </w:p>
          <w:p w:rsidR="00E038A6" w:rsidRPr="008573C5" w:rsidRDefault="00E038A6" w:rsidP="00902653">
            <w:pPr>
              <w:autoSpaceDE w:val="0"/>
              <w:autoSpaceDN w:val="0"/>
              <w:adjustRightInd w:val="0"/>
              <w:spacing w:line="480" w:lineRule="auto"/>
              <w:rPr>
                <w:sz w:val="22"/>
                <w:szCs w:val="22"/>
              </w:rPr>
            </w:pPr>
            <w:r w:rsidRPr="008573C5">
              <w:rPr>
                <w:sz w:val="22"/>
                <w:szCs w:val="22"/>
              </w:rPr>
              <w:t>Sector</w:t>
            </w:r>
          </w:p>
          <w:p w:rsidR="00E038A6" w:rsidRPr="008573C5" w:rsidRDefault="00E038A6" w:rsidP="00902653">
            <w:pPr>
              <w:autoSpaceDE w:val="0"/>
              <w:autoSpaceDN w:val="0"/>
              <w:adjustRightInd w:val="0"/>
              <w:spacing w:line="480" w:lineRule="auto"/>
              <w:rPr>
                <w:sz w:val="22"/>
                <w:szCs w:val="22"/>
              </w:rPr>
            </w:pPr>
            <w:r w:rsidRPr="008573C5">
              <w:rPr>
                <w:sz w:val="22"/>
                <w:szCs w:val="22"/>
              </w:rPr>
              <w:t xml:space="preserve">Auditor </w:t>
            </w:r>
          </w:p>
          <w:p w:rsidR="00E038A6" w:rsidRPr="008573C5" w:rsidRDefault="00E038A6" w:rsidP="00902653">
            <w:pPr>
              <w:autoSpaceDE w:val="0"/>
              <w:autoSpaceDN w:val="0"/>
              <w:adjustRightInd w:val="0"/>
              <w:spacing w:line="480" w:lineRule="auto"/>
              <w:rPr>
                <w:sz w:val="22"/>
                <w:szCs w:val="22"/>
              </w:rPr>
            </w:pPr>
            <w:r w:rsidRPr="008573C5">
              <w:rPr>
                <w:sz w:val="22"/>
                <w:szCs w:val="22"/>
              </w:rPr>
              <w:t>Constant</w:t>
            </w:r>
          </w:p>
        </w:tc>
        <w:tc>
          <w:tcPr>
            <w:tcW w:w="1260"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0.060***</w:t>
            </w:r>
          </w:p>
          <w:p w:rsidR="00E038A6" w:rsidRPr="008573C5" w:rsidRDefault="00E038A6" w:rsidP="00902653">
            <w:pPr>
              <w:autoSpaceDE w:val="0"/>
              <w:autoSpaceDN w:val="0"/>
              <w:adjustRightInd w:val="0"/>
              <w:spacing w:line="480" w:lineRule="auto"/>
              <w:rPr>
                <w:sz w:val="22"/>
                <w:szCs w:val="22"/>
              </w:rPr>
            </w:pPr>
            <w:r w:rsidRPr="008573C5">
              <w:rPr>
                <w:sz w:val="22"/>
                <w:szCs w:val="22"/>
              </w:rPr>
              <w:t>0.004</w:t>
            </w:r>
          </w:p>
          <w:p w:rsidR="00E038A6" w:rsidRPr="008573C5" w:rsidRDefault="00E038A6" w:rsidP="00902653">
            <w:pPr>
              <w:autoSpaceDE w:val="0"/>
              <w:autoSpaceDN w:val="0"/>
              <w:adjustRightInd w:val="0"/>
              <w:spacing w:line="480" w:lineRule="auto"/>
              <w:rPr>
                <w:sz w:val="22"/>
                <w:szCs w:val="22"/>
              </w:rPr>
            </w:pPr>
            <w:r w:rsidRPr="008573C5">
              <w:rPr>
                <w:sz w:val="22"/>
                <w:szCs w:val="22"/>
              </w:rPr>
              <w:t>-0.000</w:t>
            </w:r>
          </w:p>
          <w:p w:rsidR="00E038A6" w:rsidRPr="008573C5" w:rsidRDefault="00E038A6" w:rsidP="00902653">
            <w:pPr>
              <w:autoSpaceDE w:val="0"/>
              <w:autoSpaceDN w:val="0"/>
              <w:adjustRightInd w:val="0"/>
              <w:spacing w:line="480" w:lineRule="auto"/>
              <w:rPr>
                <w:sz w:val="22"/>
                <w:szCs w:val="22"/>
              </w:rPr>
            </w:pPr>
            <w:r w:rsidRPr="008573C5">
              <w:rPr>
                <w:sz w:val="22"/>
                <w:szCs w:val="22"/>
              </w:rPr>
              <w:t>0.000</w:t>
            </w:r>
          </w:p>
          <w:p w:rsidR="00E038A6" w:rsidRPr="008573C5" w:rsidRDefault="00E038A6" w:rsidP="00902653">
            <w:pPr>
              <w:autoSpaceDE w:val="0"/>
              <w:autoSpaceDN w:val="0"/>
              <w:adjustRightInd w:val="0"/>
              <w:spacing w:line="480" w:lineRule="auto"/>
              <w:rPr>
                <w:sz w:val="22"/>
                <w:szCs w:val="22"/>
              </w:rPr>
            </w:pPr>
            <w:r w:rsidRPr="008573C5">
              <w:rPr>
                <w:sz w:val="22"/>
                <w:szCs w:val="22"/>
              </w:rPr>
              <w:t>0.025</w:t>
            </w:r>
          </w:p>
          <w:p w:rsidR="00E038A6" w:rsidRPr="008573C5" w:rsidRDefault="00E038A6" w:rsidP="00902653">
            <w:pPr>
              <w:autoSpaceDE w:val="0"/>
              <w:autoSpaceDN w:val="0"/>
              <w:adjustRightInd w:val="0"/>
              <w:spacing w:line="480" w:lineRule="auto"/>
              <w:rPr>
                <w:sz w:val="22"/>
                <w:szCs w:val="22"/>
              </w:rPr>
            </w:pPr>
            <w:r w:rsidRPr="008573C5">
              <w:rPr>
                <w:sz w:val="22"/>
                <w:szCs w:val="22"/>
              </w:rPr>
              <w:t>0.014</w:t>
            </w:r>
          </w:p>
          <w:p w:rsidR="00E038A6" w:rsidRPr="008573C5" w:rsidRDefault="00E038A6" w:rsidP="00902653">
            <w:pPr>
              <w:autoSpaceDE w:val="0"/>
              <w:autoSpaceDN w:val="0"/>
              <w:adjustRightInd w:val="0"/>
              <w:spacing w:line="480" w:lineRule="auto"/>
              <w:rPr>
                <w:sz w:val="22"/>
                <w:szCs w:val="22"/>
              </w:rPr>
            </w:pPr>
            <w:r w:rsidRPr="008573C5">
              <w:rPr>
                <w:sz w:val="22"/>
                <w:szCs w:val="22"/>
              </w:rPr>
              <w:t>0.076***</w:t>
            </w:r>
            <w:r w:rsidRPr="008573C5">
              <w:rPr>
                <w:sz w:val="22"/>
                <w:szCs w:val="22"/>
              </w:rPr>
              <w:cr/>
              <w:t>0.090</w:t>
            </w:r>
          </w:p>
          <w:p w:rsidR="00E038A6" w:rsidRPr="008573C5" w:rsidRDefault="00E038A6" w:rsidP="00902653">
            <w:pPr>
              <w:autoSpaceDE w:val="0"/>
              <w:autoSpaceDN w:val="0"/>
              <w:adjustRightInd w:val="0"/>
              <w:spacing w:line="480" w:lineRule="auto"/>
              <w:rPr>
                <w:sz w:val="22"/>
                <w:szCs w:val="22"/>
              </w:rPr>
            </w:pPr>
          </w:p>
        </w:tc>
        <w:tc>
          <w:tcPr>
            <w:tcW w:w="990"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(6.449)</w:t>
            </w:r>
          </w:p>
          <w:p w:rsidR="00E038A6" w:rsidRPr="008573C5" w:rsidRDefault="00E038A6" w:rsidP="00902653">
            <w:pPr>
              <w:autoSpaceDE w:val="0"/>
              <w:autoSpaceDN w:val="0"/>
              <w:adjustRightInd w:val="0"/>
              <w:spacing w:line="480" w:lineRule="auto"/>
              <w:rPr>
                <w:sz w:val="22"/>
                <w:szCs w:val="22"/>
              </w:rPr>
            </w:pPr>
            <w:r w:rsidRPr="008573C5">
              <w:rPr>
                <w:sz w:val="22"/>
                <w:szCs w:val="22"/>
              </w:rPr>
              <w:t>(0.197)</w:t>
            </w:r>
          </w:p>
          <w:p w:rsidR="00E038A6" w:rsidRPr="008573C5" w:rsidRDefault="00E038A6" w:rsidP="00902653">
            <w:pPr>
              <w:autoSpaceDE w:val="0"/>
              <w:autoSpaceDN w:val="0"/>
              <w:adjustRightInd w:val="0"/>
              <w:spacing w:line="480" w:lineRule="auto"/>
              <w:rPr>
                <w:sz w:val="22"/>
                <w:szCs w:val="22"/>
              </w:rPr>
            </w:pPr>
            <w:r w:rsidRPr="008573C5">
              <w:rPr>
                <w:sz w:val="22"/>
                <w:szCs w:val="22"/>
              </w:rPr>
              <w:t>(0.294)</w:t>
            </w:r>
          </w:p>
          <w:p w:rsidR="00E038A6" w:rsidRPr="008573C5" w:rsidRDefault="00E038A6" w:rsidP="00902653">
            <w:pPr>
              <w:autoSpaceDE w:val="0"/>
              <w:autoSpaceDN w:val="0"/>
              <w:adjustRightInd w:val="0"/>
              <w:spacing w:line="480" w:lineRule="auto"/>
              <w:rPr>
                <w:sz w:val="22"/>
                <w:szCs w:val="22"/>
              </w:rPr>
            </w:pPr>
            <w:r w:rsidRPr="008573C5">
              <w:rPr>
                <w:sz w:val="22"/>
                <w:szCs w:val="22"/>
              </w:rPr>
              <w:t>(0.790)</w:t>
            </w:r>
          </w:p>
          <w:p w:rsidR="00E038A6" w:rsidRPr="008573C5" w:rsidRDefault="00E038A6" w:rsidP="00902653">
            <w:pPr>
              <w:autoSpaceDE w:val="0"/>
              <w:autoSpaceDN w:val="0"/>
              <w:adjustRightInd w:val="0"/>
              <w:spacing w:line="480" w:lineRule="auto"/>
              <w:rPr>
                <w:sz w:val="22"/>
                <w:szCs w:val="22"/>
              </w:rPr>
            </w:pPr>
            <w:r w:rsidRPr="008573C5">
              <w:rPr>
                <w:sz w:val="22"/>
                <w:szCs w:val="22"/>
              </w:rPr>
              <w:t>(0.962)</w:t>
            </w:r>
          </w:p>
          <w:p w:rsidR="00E038A6" w:rsidRPr="008573C5" w:rsidRDefault="00E038A6" w:rsidP="00902653">
            <w:pPr>
              <w:autoSpaceDE w:val="0"/>
              <w:autoSpaceDN w:val="0"/>
              <w:adjustRightInd w:val="0"/>
              <w:spacing w:line="480" w:lineRule="auto"/>
              <w:rPr>
                <w:sz w:val="22"/>
                <w:szCs w:val="22"/>
              </w:rPr>
            </w:pPr>
            <w:r w:rsidRPr="008573C5">
              <w:rPr>
                <w:sz w:val="22"/>
                <w:szCs w:val="22"/>
              </w:rPr>
              <w:t>(0.712)</w:t>
            </w:r>
          </w:p>
          <w:p w:rsidR="00E038A6" w:rsidRPr="008573C5" w:rsidRDefault="00E038A6" w:rsidP="00902653">
            <w:pPr>
              <w:autoSpaceDE w:val="0"/>
              <w:autoSpaceDN w:val="0"/>
              <w:adjustRightInd w:val="0"/>
              <w:spacing w:line="480" w:lineRule="auto"/>
              <w:rPr>
                <w:sz w:val="22"/>
                <w:szCs w:val="22"/>
              </w:rPr>
            </w:pPr>
            <w:r w:rsidRPr="008573C5">
              <w:rPr>
                <w:sz w:val="22"/>
                <w:szCs w:val="22"/>
              </w:rPr>
              <w:t>(4.673)</w:t>
            </w:r>
          </w:p>
          <w:p w:rsidR="00E038A6" w:rsidRPr="008573C5" w:rsidRDefault="00E038A6" w:rsidP="001203A6">
            <w:pPr>
              <w:autoSpaceDE w:val="0"/>
              <w:autoSpaceDN w:val="0"/>
              <w:adjustRightInd w:val="0"/>
              <w:spacing w:line="480" w:lineRule="auto"/>
              <w:rPr>
                <w:sz w:val="22"/>
                <w:szCs w:val="22"/>
              </w:rPr>
            </w:pPr>
            <w:r w:rsidRPr="008573C5">
              <w:rPr>
                <w:sz w:val="22"/>
                <w:szCs w:val="22"/>
              </w:rPr>
              <w:t>(1.137)</w:t>
            </w:r>
          </w:p>
        </w:tc>
        <w:tc>
          <w:tcPr>
            <w:tcW w:w="1080"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0.015**</w:t>
            </w:r>
          </w:p>
          <w:p w:rsidR="00E038A6" w:rsidRPr="008573C5" w:rsidRDefault="00E038A6" w:rsidP="00902653">
            <w:pPr>
              <w:autoSpaceDE w:val="0"/>
              <w:autoSpaceDN w:val="0"/>
              <w:adjustRightInd w:val="0"/>
              <w:spacing w:line="480" w:lineRule="auto"/>
              <w:rPr>
                <w:sz w:val="22"/>
                <w:szCs w:val="22"/>
              </w:rPr>
            </w:pPr>
            <w:r w:rsidRPr="008573C5">
              <w:rPr>
                <w:sz w:val="22"/>
                <w:szCs w:val="22"/>
              </w:rPr>
              <w:t>0.004</w:t>
            </w:r>
          </w:p>
          <w:p w:rsidR="00E038A6" w:rsidRPr="008573C5" w:rsidRDefault="00E038A6" w:rsidP="00902653">
            <w:pPr>
              <w:autoSpaceDE w:val="0"/>
              <w:autoSpaceDN w:val="0"/>
              <w:adjustRightInd w:val="0"/>
              <w:spacing w:line="480" w:lineRule="auto"/>
              <w:rPr>
                <w:sz w:val="22"/>
                <w:szCs w:val="22"/>
              </w:rPr>
            </w:pPr>
            <w:r w:rsidRPr="008573C5">
              <w:rPr>
                <w:sz w:val="22"/>
                <w:szCs w:val="22"/>
              </w:rPr>
              <w:t>0.003*</w:t>
            </w:r>
          </w:p>
          <w:p w:rsidR="00E038A6" w:rsidRPr="008573C5" w:rsidRDefault="00E038A6" w:rsidP="00902653">
            <w:pPr>
              <w:autoSpaceDE w:val="0"/>
              <w:autoSpaceDN w:val="0"/>
              <w:adjustRightInd w:val="0"/>
              <w:spacing w:line="480" w:lineRule="auto"/>
              <w:rPr>
                <w:sz w:val="22"/>
                <w:szCs w:val="22"/>
              </w:rPr>
            </w:pPr>
            <w:r w:rsidRPr="008573C5">
              <w:rPr>
                <w:sz w:val="22"/>
                <w:szCs w:val="22"/>
              </w:rPr>
              <w:t>0.000</w:t>
            </w:r>
          </w:p>
          <w:p w:rsidR="00E038A6" w:rsidRPr="008573C5" w:rsidRDefault="00E038A6" w:rsidP="00902653">
            <w:pPr>
              <w:autoSpaceDE w:val="0"/>
              <w:autoSpaceDN w:val="0"/>
              <w:adjustRightInd w:val="0"/>
              <w:spacing w:line="480" w:lineRule="auto"/>
              <w:rPr>
                <w:sz w:val="22"/>
                <w:szCs w:val="22"/>
              </w:rPr>
            </w:pPr>
            <w:r w:rsidRPr="008573C5">
              <w:rPr>
                <w:sz w:val="22"/>
                <w:szCs w:val="22"/>
              </w:rPr>
              <w:t>0.031*</w:t>
            </w:r>
          </w:p>
          <w:p w:rsidR="00E038A6" w:rsidRPr="008573C5" w:rsidRDefault="00E038A6" w:rsidP="00902653">
            <w:pPr>
              <w:autoSpaceDE w:val="0"/>
              <w:autoSpaceDN w:val="0"/>
              <w:adjustRightInd w:val="0"/>
              <w:spacing w:line="480" w:lineRule="auto"/>
              <w:rPr>
                <w:sz w:val="22"/>
                <w:szCs w:val="22"/>
              </w:rPr>
            </w:pPr>
            <w:r w:rsidRPr="008573C5">
              <w:rPr>
                <w:sz w:val="22"/>
                <w:szCs w:val="22"/>
              </w:rPr>
              <w:t>-0.005</w:t>
            </w:r>
          </w:p>
          <w:p w:rsidR="00E038A6" w:rsidRPr="008573C5" w:rsidRDefault="00E038A6" w:rsidP="00902653">
            <w:pPr>
              <w:autoSpaceDE w:val="0"/>
              <w:autoSpaceDN w:val="0"/>
              <w:adjustRightInd w:val="0"/>
              <w:spacing w:line="480" w:lineRule="auto"/>
              <w:rPr>
                <w:sz w:val="22"/>
                <w:szCs w:val="22"/>
              </w:rPr>
            </w:pPr>
            <w:r w:rsidRPr="008573C5">
              <w:rPr>
                <w:sz w:val="22"/>
                <w:szCs w:val="22"/>
              </w:rPr>
              <w:t>0.06***</w:t>
            </w:r>
            <w:r w:rsidRPr="008573C5">
              <w:rPr>
                <w:sz w:val="22"/>
                <w:szCs w:val="22"/>
              </w:rPr>
              <w:cr/>
              <w:t>0.73***</w:t>
            </w:r>
          </w:p>
          <w:p w:rsidR="00E038A6" w:rsidRPr="008573C5" w:rsidRDefault="00E038A6" w:rsidP="00902653">
            <w:pPr>
              <w:autoSpaceDE w:val="0"/>
              <w:autoSpaceDN w:val="0"/>
              <w:adjustRightInd w:val="0"/>
              <w:spacing w:line="480" w:lineRule="auto"/>
              <w:rPr>
                <w:sz w:val="22"/>
                <w:szCs w:val="22"/>
              </w:rPr>
            </w:pPr>
          </w:p>
        </w:tc>
        <w:tc>
          <w:tcPr>
            <w:tcW w:w="1080"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(2.219)</w:t>
            </w:r>
          </w:p>
          <w:p w:rsidR="00E038A6" w:rsidRPr="008573C5" w:rsidRDefault="00E038A6" w:rsidP="00902653">
            <w:pPr>
              <w:autoSpaceDE w:val="0"/>
              <w:autoSpaceDN w:val="0"/>
              <w:adjustRightInd w:val="0"/>
              <w:spacing w:line="480" w:lineRule="auto"/>
              <w:rPr>
                <w:sz w:val="22"/>
                <w:szCs w:val="22"/>
              </w:rPr>
            </w:pPr>
            <w:r w:rsidRPr="008573C5">
              <w:rPr>
                <w:sz w:val="22"/>
                <w:szCs w:val="22"/>
              </w:rPr>
              <w:t>(0.280)</w:t>
            </w:r>
          </w:p>
          <w:p w:rsidR="00E038A6" w:rsidRPr="008573C5" w:rsidRDefault="00E038A6" w:rsidP="00902653">
            <w:pPr>
              <w:autoSpaceDE w:val="0"/>
              <w:autoSpaceDN w:val="0"/>
              <w:adjustRightInd w:val="0"/>
              <w:spacing w:line="480" w:lineRule="auto"/>
              <w:rPr>
                <w:sz w:val="22"/>
                <w:szCs w:val="22"/>
              </w:rPr>
            </w:pPr>
            <w:r w:rsidRPr="008573C5">
              <w:rPr>
                <w:sz w:val="22"/>
                <w:szCs w:val="22"/>
              </w:rPr>
              <w:t>(1.905)</w:t>
            </w:r>
          </w:p>
          <w:p w:rsidR="00E038A6" w:rsidRPr="008573C5" w:rsidRDefault="00E038A6" w:rsidP="00902653">
            <w:pPr>
              <w:autoSpaceDE w:val="0"/>
              <w:autoSpaceDN w:val="0"/>
              <w:adjustRightInd w:val="0"/>
              <w:spacing w:line="480" w:lineRule="auto"/>
              <w:rPr>
                <w:sz w:val="22"/>
                <w:szCs w:val="22"/>
              </w:rPr>
            </w:pPr>
            <w:r w:rsidRPr="008573C5">
              <w:rPr>
                <w:sz w:val="22"/>
                <w:szCs w:val="22"/>
              </w:rPr>
              <w:t>(0.595)</w:t>
            </w:r>
          </w:p>
          <w:p w:rsidR="00E038A6" w:rsidRPr="008573C5" w:rsidRDefault="00E038A6" w:rsidP="00902653">
            <w:pPr>
              <w:autoSpaceDE w:val="0"/>
              <w:autoSpaceDN w:val="0"/>
              <w:adjustRightInd w:val="0"/>
              <w:spacing w:line="480" w:lineRule="auto"/>
              <w:rPr>
                <w:sz w:val="22"/>
                <w:szCs w:val="22"/>
              </w:rPr>
            </w:pPr>
            <w:r w:rsidRPr="008573C5">
              <w:rPr>
                <w:sz w:val="22"/>
                <w:szCs w:val="22"/>
              </w:rPr>
              <w:t>(1.669)</w:t>
            </w:r>
          </w:p>
          <w:p w:rsidR="00E038A6" w:rsidRPr="008573C5" w:rsidRDefault="00E038A6" w:rsidP="00902653">
            <w:pPr>
              <w:autoSpaceDE w:val="0"/>
              <w:autoSpaceDN w:val="0"/>
              <w:adjustRightInd w:val="0"/>
              <w:spacing w:line="480" w:lineRule="auto"/>
              <w:rPr>
                <w:sz w:val="22"/>
                <w:szCs w:val="22"/>
              </w:rPr>
            </w:pPr>
            <w:r w:rsidRPr="008573C5">
              <w:rPr>
                <w:sz w:val="22"/>
                <w:szCs w:val="22"/>
              </w:rPr>
              <w:t>(0.376)</w:t>
            </w:r>
          </w:p>
          <w:p w:rsidR="00E038A6" w:rsidRPr="008573C5" w:rsidRDefault="00E038A6" w:rsidP="00902653">
            <w:pPr>
              <w:autoSpaceDE w:val="0"/>
              <w:autoSpaceDN w:val="0"/>
              <w:adjustRightInd w:val="0"/>
              <w:spacing w:line="480" w:lineRule="auto"/>
              <w:rPr>
                <w:sz w:val="22"/>
                <w:szCs w:val="22"/>
              </w:rPr>
            </w:pPr>
            <w:r w:rsidRPr="008573C5">
              <w:rPr>
                <w:sz w:val="22"/>
                <w:szCs w:val="22"/>
              </w:rPr>
              <w:t>(5.043)</w:t>
            </w:r>
          </w:p>
          <w:p w:rsidR="00E038A6" w:rsidRPr="008573C5" w:rsidRDefault="00E038A6" w:rsidP="00902653">
            <w:pPr>
              <w:autoSpaceDE w:val="0"/>
              <w:autoSpaceDN w:val="0"/>
              <w:adjustRightInd w:val="0"/>
              <w:spacing w:line="480" w:lineRule="auto"/>
              <w:rPr>
                <w:sz w:val="22"/>
                <w:szCs w:val="22"/>
              </w:rPr>
            </w:pPr>
            <w:r w:rsidRPr="008573C5">
              <w:rPr>
                <w:sz w:val="22"/>
                <w:szCs w:val="22"/>
              </w:rPr>
              <w:t>(12.80)</w:t>
            </w:r>
          </w:p>
          <w:p w:rsidR="00E038A6" w:rsidRPr="008573C5" w:rsidRDefault="00E038A6" w:rsidP="00902653">
            <w:pPr>
              <w:autoSpaceDE w:val="0"/>
              <w:autoSpaceDN w:val="0"/>
              <w:adjustRightInd w:val="0"/>
              <w:spacing w:line="480" w:lineRule="auto"/>
              <w:rPr>
                <w:sz w:val="22"/>
                <w:szCs w:val="22"/>
              </w:rPr>
            </w:pPr>
          </w:p>
        </w:tc>
        <w:tc>
          <w:tcPr>
            <w:tcW w:w="1080"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0.095***</w:t>
            </w:r>
          </w:p>
          <w:p w:rsidR="00E038A6" w:rsidRPr="008573C5" w:rsidRDefault="00E038A6" w:rsidP="00902653">
            <w:pPr>
              <w:autoSpaceDE w:val="0"/>
              <w:autoSpaceDN w:val="0"/>
              <w:adjustRightInd w:val="0"/>
              <w:spacing w:line="480" w:lineRule="auto"/>
              <w:rPr>
                <w:sz w:val="22"/>
                <w:szCs w:val="22"/>
              </w:rPr>
            </w:pPr>
            <w:r w:rsidRPr="008573C5">
              <w:rPr>
                <w:sz w:val="22"/>
                <w:szCs w:val="22"/>
              </w:rPr>
              <w:t>0.012</w:t>
            </w:r>
          </w:p>
          <w:p w:rsidR="00E038A6" w:rsidRPr="008573C5" w:rsidRDefault="00E038A6" w:rsidP="00902653">
            <w:pPr>
              <w:autoSpaceDE w:val="0"/>
              <w:autoSpaceDN w:val="0"/>
              <w:adjustRightInd w:val="0"/>
              <w:spacing w:line="480" w:lineRule="auto"/>
              <w:rPr>
                <w:sz w:val="22"/>
                <w:szCs w:val="22"/>
              </w:rPr>
            </w:pPr>
            <w:r w:rsidRPr="008573C5">
              <w:rPr>
                <w:sz w:val="22"/>
                <w:szCs w:val="22"/>
              </w:rPr>
              <w:t>0.003</w:t>
            </w:r>
          </w:p>
          <w:p w:rsidR="00E038A6" w:rsidRPr="008573C5" w:rsidRDefault="00E038A6" w:rsidP="00902653">
            <w:pPr>
              <w:autoSpaceDE w:val="0"/>
              <w:autoSpaceDN w:val="0"/>
              <w:adjustRightInd w:val="0"/>
              <w:spacing w:line="480" w:lineRule="auto"/>
              <w:rPr>
                <w:sz w:val="22"/>
                <w:szCs w:val="22"/>
              </w:rPr>
            </w:pPr>
            <w:r w:rsidRPr="008573C5">
              <w:rPr>
                <w:sz w:val="22"/>
                <w:szCs w:val="22"/>
              </w:rPr>
              <w:t>-0.002**</w:t>
            </w:r>
          </w:p>
          <w:p w:rsidR="00E038A6" w:rsidRPr="008573C5" w:rsidRDefault="00E038A6" w:rsidP="00902653">
            <w:pPr>
              <w:autoSpaceDE w:val="0"/>
              <w:autoSpaceDN w:val="0"/>
              <w:adjustRightInd w:val="0"/>
              <w:spacing w:line="480" w:lineRule="auto"/>
              <w:rPr>
                <w:sz w:val="22"/>
                <w:szCs w:val="22"/>
              </w:rPr>
            </w:pPr>
            <w:r w:rsidRPr="008573C5">
              <w:rPr>
                <w:sz w:val="22"/>
                <w:szCs w:val="22"/>
              </w:rPr>
              <w:t>-0.015</w:t>
            </w:r>
          </w:p>
          <w:p w:rsidR="00E038A6" w:rsidRPr="008573C5" w:rsidRDefault="00E038A6" w:rsidP="00902653">
            <w:pPr>
              <w:autoSpaceDE w:val="0"/>
              <w:autoSpaceDN w:val="0"/>
              <w:adjustRightInd w:val="0"/>
              <w:spacing w:line="480" w:lineRule="auto"/>
              <w:rPr>
                <w:sz w:val="22"/>
                <w:szCs w:val="22"/>
              </w:rPr>
            </w:pPr>
            <w:r w:rsidRPr="008573C5">
              <w:rPr>
                <w:sz w:val="22"/>
                <w:szCs w:val="22"/>
              </w:rPr>
              <w:t>0.058*</w:t>
            </w:r>
          </w:p>
          <w:p w:rsidR="00E038A6" w:rsidRPr="008573C5" w:rsidRDefault="00E038A6" w:rsidP="00902653">
            <w:pPr>
              <w:autoSpaceDE w:val="0"/>
              <w:autoSpaceDN w:val="0"/>
              <w:adjustRightInd w:val="0"/>
              <w:spacing w:line="480" w:lineRule="auto"/>
              <w:rPr>
                <w:sz w:val="22"/>
                <w:szCs w:val="22"/>
              </w:rPr>
            </w:pPr>
            <w:r w:rsidRPr="008573C5">
              <w:rPr>
                <w:sz w:val="22"/>
                <w:szCs w:val="22"/>
              </w:rPr>
              <w:t>0.098***</w:t>
            </w:r>
          </w:p>
          <w:p w:rsidR="00E038A6" w:rsidRPr="008573C5" w:rsidRDefault="00E038A6" w:rsidP="00902653">
            <w:pPr>
              <w:autoSpaceDE w:val="0"/>
              <w:autoSpaceDN w:val="0"/>
              <w:adjustRightInd w:val="0"/>
              <w:spacing w:line="480" w:lineRule="auto"/>
              <w:rPr>
                <w:sz w:val="22"/>
                <w:szCs w:val="22"/>
              </w:rPr>
            </w:pPr>
            <w:r w:rsidRPr="008573C5">
              <w:rPr>
                <w:sz w:val="22"/>
                <w:szCs w:val="22"/>
              </w:rPr>
              <w:t>-0.249**</w:t>
            </w:r>
          </w:p>
          <w:p w:rsidR="00E038A6" w:rsidRPr="008573C5" w:rsidRDefault="00E038A6" w:rsidP="00902653">
            <w:pPr>
              <w:autoSpaceDE w:val="0"/>
              <w:autoSpaceDN w:val="0"/>
              <w:adjustRightInd w:val="0"/>
              <w:spacing w:line="480" w:lineRule="auto"/>
              <w:rPr>
                <w:sz w:val="22"/>
                <w:szCs w:val="22"/>
              </w:rPr>
            </w:pPr>
          </w:p>
        </w:tc>
        <w:tc>
          <w:tcPr>
            <w:tcW w:w="990"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(6.596)</w:t>
            </w:r>
          </w:p>
          <w:p w:rsidR="00E038A6" w:rsidRPr="008573C5" w:rsidRDefault="00E038A6" w:rsidP="00902653">
            <w:pPr>
              <w:autoSpaceDE w:val="0"/>
              <w:autoSpaceDN w:val="0"/>
              <w:adjustRightInd w:val="0"/>
              <w:spacing w:line="480" w:lineRule="auto"/>
              <w:rPr>
                <w:sz w:val="22"/>
                <w:szCs w:val="22"/>
              </w:rPr>
            </w:pPr>
            <w:r w:rsidRPr="008573C5">
              <w:rPr>
                <w:sz w:val="22"/>
                <w:szCs w:val="22"/>
              </w:rPr>
              <w:t>(0.409)</w:t>
            </w:r>
          </w:p>
          <w:p w:rsidR="00E038A6" w:rsidRPr="008573C5" w:rsidRDefault="00E038A6" w:rsidP="00902653">
            <w:pPr>
              <w:autoSpaceDE w:val="0"/>
              <w:autoSpaceDN w:val="0"/>
              <w:adjustRightInd w:val="0"/>
              <w:spacing w:line="480" w:lineRule="auto"/>
              <w:rPr>
                <w:sz w:val="22"/>
                <w:szCs w:val="22"/>
              </w:rPr>
            </w:pPr>
            <w:r w:rsidRPr="008573C5">
              <w:rPr>
                <w:sz w:val="22"/>
                <w:szCs w:val="22"/>
              </w:rPr>
              <w:t>(0.984)</w:t>
            </w:r>
          </w:p>
          <w:p w:rsidR="00E038A6" w:rsidRPr="008573C5" w:rsidRDefault="00E038A6" w:rsidP="00902653">
            <w:pPr>
              <w:autoSpaceDE w:val="0"/>
              <w:autoSpaceDN w:val="0"/>
              <w:adjustRightInd w:val="0"/>
              <w:spacing w:line="480" w:lineRule="auto"/>
              <w:rPr>
                <w:sz w:val="22"/>
                <w:szCs w:val="22"/>
              </w:rPr>
            </w:pPr>
            <w:r w:rsidRPr="008573C5">
              <w:rPr>
                <w:sz w:val="22"/>
                <w:szCs w:val="22"/>
              </w:rPr>
              <w:t>(2.038)</w:t>
            </w:r>
          </w:p>
          <w:p w:rsidR="00E038A6" w:rsidRPr="008573C5" w:rsidRDefault="00E038A6" w:rsidP="00902653">
            <w:pPr>
              <w:autoSpaceDE w:val="0"/>
              <w:autoSpaceDN w:val="0"/>
              <w:adjustRightInd w:val="0"/>
              <w:spacing w:line="480" w:lineRule="auto"/>
              <w:rPr>
                <w:sz w:val="22"/>
                <w:szCs w:val="22"/>
              </w:rPr>
            </w:pPr>
            <w:r w:rsidRPr="008573C5">
              <w:rPr>
                <w:sz w:val="22"/>
                <w:szCs w:val="22"/>
              </w:rPr>
              <w:t>(0.367)</w:t>
            </w:r>
          </w:p>
          <w:p w:rsidR="00E038A6" w:rsidRPr="008573C5" w:rsidRDefault="00E038A6" w:rsidP="00902653">
            <w:pPr>
              <w:autoSpaceDE w:val="0"/>
              <w:autoSpaceDN w:val="0"/>
              <w:adjustRightInd w:val="0"/>
              <w:spacing w:line="480" w:lineRule="auto"/>
              <w:rPr>
                <w:sz w:val="22"/>
                <w:szCs w:val="22"/>
              </w:rPr>
            </w:pPr>
            <w:r w:rsidRPr="008573C5">
              <w:rPr>
                <w:sz w:val="22"/>
                <w:szCs w:val="22"/>
              </w:rPr>
              <w:t>(1.888)</w:t>
            </w:r>
          </w:p>
          <w:p w:rsidR="00E038A6" w:rsidRPr="008573C5" w:rsidRDefault="00E038A6" w:rsidP="00902653">
            <w:pPr>
              <w:autoSpaceDE w:val="0"/>
              <w:autoSpaceDN w:val="0"/>
              <w:adjustRightInd w:val="0"/>
              <w:spacing w:line="480" w:lineRule="auto"/>
              <w:rPr>
                <w:sz w:val="22"/>
                <w:szCs w:val="22"/>
              </w:rPr>
            </w:pPr>
            <w:r w:rsidRPr="008573C5">
              <w:rPr>
                <w:sz w:val="22"/>
                <w:szCs w:val="22"/>
              </w:rPr>
              <w:t>(3.896)</w:t>
            </w:r>
          </w:p>
          <w:p w:rsidR="00E038A6" w:rsidRPr="008573C5" w:rsidRDefault="00E038A6" w:rsidP="00DB0196">
            <w:pPr>
              <w:autoSpaceDE w:val="0"/>
              <w:autoSpaceDN w:val="0"/>
              <w:adjustRightInd w:val="0"/>
              <w:spacing w:line="480" w:lineRule="auto"/>
              <w:rPr>
                <w:sz w:val="22"/>
                <w:szCs w:val="22"/>
              </w:rPr>
            </w:pPr>
            <w:r w:rsidRPr="008573C5">
              <w:rPr>
                <w:sz w:val="22"/>
                <w:szCs w:val="22"/>
              </w:rPr>
              <w:t>(2.026)</w:t>
            </w:r>
          </w:p>
        </w:tc>
        <w:tc>
          <w:tcPr>
            <w:tcW w:w="1170" w:type="dxa"/>
            <w:gridSpan w:val="2"/>
          </w:tcPr>
          <w:p w:rsidR="00E038A6" w:rsidRPr="008573C5" w:rsidRDefault="00E038A6" w:rsidP="00902653">
            <w:pPr>
              <w:autoSpaceDE w:val="0"/>
              <w:autoSpaceDN w:val="0"/>
              <w:adjustRightInd w:val="0"/>
              <w:spacing w:line="480" w:lineRule="auto"/>
              <w:rPr>
                <w:sz w:val="22"/>
                <w:szCs w:val="22"/>
              </w:rPr>
            </w:pPr>
            <w:r w:rsidRPr="008573C5">
              <w:rPr>
                <w:sz w:val="22"/>
                <w:szCs w:val="22"/>
              </w:rPr>
              <w:t>0.070***</w:t>
            </w:r>
          </w:p>
          <w:p w:rsidR="00E038A6" w:rsidRPr="008573C5" w:rsidRDefault="00E038A6" w:rsidP="00902653">
            <w:pPr>
              <w:autoSpaceDE w:val="0"/>
              <w:autoSpaceDN w:val="0"/>
              <w:adjustRightInd w:val="0"/>
              <w:spacing w:line="480" w:lineRule="auto"/>
              <w:rPr>
                <w:sz w:val="22"/>
                <w:szCs w:val="22"/>
              </w:rPr>
            </w:pPr>
            <w:r w:rsidRPr="008573C5">
              <w:rPr>
                <w:sz w:val="22"/>
                <w:szCs w:val="22"/>
              </w:rPr>
              <w:t>-0.004</w:t>
            </w:r>
          </w:p>
          <w:p w:rsidR="00E038A6" w:rsidRPr="008573C5" w:rsidRDefault="00E038A6" w:rsidP="00902653">
            <w:pPr>
              <w:autoSpaceDE w:val="0"/>
              <w:autoSpaceDN w:val="0"/>
              <w:adjustRightInd w:val="0"/>
              <w:spacing w:line="480" w:lineRule="auto"/>
              <w:rPr>
                <w:sz w:val="22"/>
                <w:szCs w:val="22"/>
              </w:rPr>
            </w:pPr>
            <w:r w:rsidRPr="008573C5">
              <w:rPr>
                <w:sz w:val="22"/>
                <w:szCs w:val="22"/>
              </w:rPr>
              <w:t>-0.007</w:t>
            </w:r>
          </w:p>
          <w:p w:rsidR="00E038A6" w:rsidRPr="008573C5" w:rsidRDefault="00E038A6" w:rsidP="00902653">
            <w:pPr>
              <w:autoSpaceDE w:val="0"/>
              <w:autoSpaceDN w:val="0"/>
              <w:adjustRightInd w:val="0"/>
              <w:spacing w:line="480" w:lineRule="auto"/>
              <w:rPr>
                <w:sz w:val="22"/>
                <w:szCs w:val="22"/>
              </w:rPr>
            </w:pPr>
            <w:r w:rsidRPr="008573C5">
              <w:rPr>
                <w:sz w:val="22"/>
                <w:szCs w:val="22"/>
              </w:rPr>
              <w:t>0.003**</w:t>
            </w:r>
          </w:p>
          <w:p w:rsidR="00E038A6" w:rsidRPr="008573C5" w:rsidRDefault="00E038A6" w:rsidP="00902653">
            <w:pPr>
              <w:autoSpaceDE w:val="0"/>
              <w:autoSpaceDN w:val="0"/>
              <w:adjustRightInd w:val="0"/>
              <w:spacing w:line="480" w:lineRule="auto"/>
              <w:rPr>
                <w:sz w:val="22"/>
                <w:szCs w:val="22"/>
              </w:rPr>
            </w:pPr>
            <w:r w:rsidRPr="008573C5">
              <w:rPr>
                <w:sz w:val="22"/>
                <w:szCs w:val="22"/>
              </w:rPr>
              <w:t>0.058</w:t>
            </w:r>
          </w:p>
          <w:p w:rsidR="00E038A6" w:rsidRPr="008573C5" w:rsidRDefault="00E038A6" w:rsidP="00902653">
            <w:pPr>
              <w:autoSpaceDE w:val="0"/>
              <w:autoSpaceDN w:val="0"/>
              <w:adjustRightInd w:val="0"/>
              <w:spacing w:line="480" w:lineRule="auto"/>
              <w:rPr>
                <w:sz w:val="22"/>
                <w:szCs w:val="22"/>
              </w:rPr>
            </w:pPr>
            <w:r w:rsidRPr="008573C5">
              <w:rPr>
                <w:sz w:val="22"/>
                <w:szCs w:val="22"/>
              </w:rPr>
              <w:t>-0.011</w:t>
            </w:r>
          </w:p>
          <w:p w:rsidR="00E038A6" w:rsidRPr="008573C5" w:rsidRDefault="00E038A6" w:rsidP="00902653">
            <w:pPr>
              <w:autoSpaceDE w:val="0"/>
              <w:autoSpaceDN w:val="0"/>
              <w:adjustRightInd w:val="0"/>
              <w:spacing w:line="480" w:lineRule="auto"/>
              <w:rPr>
                <w:sz w:val="22"/>
                <w:szCs w:val="22"/>
              </w:rPr>
            </w:pPr>
            <w:r w:rsidRPr="008573C5">
              <w:rPr>
                <w:sz w:val="22"/>
                <w:szCs w:val="22"/>
              </w:rPr>
              <w:t>0.071*</w:t>
            </w:r>
          </w:p>
          <w:p w:rsidR="00E038A6" w:rsidRPr="008573C5" w:rsidRDefault="00E038A6" w:rsidP="00902653">
            <w:pPr>
              <w:autoSpaceDE w:val="0"/>
              <w:autoSpaceDN w:val="0"/>
              <w:adjustRightInd w:val="0"/>
              <w:spacing w:line="480" w:lineRule="auto"/>
              <w:rPr>
                <w:sz w:val="22"/>
                <w:szCs w:val="22"/>
              </w:rPr>
            </w:pPr>
            <w:r w:rsidRPr="008573C5">
              <w:rPr>
                <w:sz w:val="22"/>
                <w:szCs w:val="22"/>
              </w:rPr>
              <w:t>-0.208</w:t>
            </w:r>
          </w:p>
          <w:p w:rsidR="00E038A6" w:rsidRPr="008573C5" w:rsidRDefault="00E038A6" w:rsidP="00902653">
            <w:pPr>
              <w:autoSpaceDE w:val="0"/>
              <w:autoSpaceDN w:val="0"/>
              <w:adjustRightInd w:val="0"/>
              <w:spacing w:line="480" w:lineRule="auto"/>
              <w:rPr>
                <w:sz w:val="22"/>
                <w:szCs w:val="22"/>
              </w:rPr>
            </w:pPr>
          </w:p>
        </w:tc>
        <w:tc>
          <w:tcPr>
            <w:tcW w:w="968"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(3.321)</w:t>
            </w:r>
          </w:p>
          <w:p w:rsidR="00E038A6" w:rsidRPr="008573C5" w:rsidRDefault="00E038A6" w:rsidP="00902653">
            <w:pPr>
              <w:autoSpaceDE w:val="0"/>
              <w:autoSpaceDN w:val="0"/>
              <w:adjustRightInd w:val="0"/>
              <w:spacing w:line="480" w:lineRule="auto"/>
              <w:rPr>
                <w:sz w:val="22"/>
                <w:szCs w:val="22"/>
              </w:rPr>
            </w:pPr>
            <w:r w:rsidRPr="008573C5">
              <w:rPr>
                <w:sz w:val="22"/>
                <w:szCs w:val="22"/>
              </w:rPr>
              <w:t>(0.108)</w:t>
            </w:r>
          </w:p>
          <w:p w:rsidR="00E038A6" w:rsidRPr="008573C5" w:rsidRDefault="00E038A6" w:rsidP="00902653">
            <w:pPr>
              <w:autoSpaceDE w:val="0"/>
              <w:autoSpaceDN w:val="0"/>
              <w:adjustRightInd w:val="0"/>
              <w:spacing w:line="480" w:lineRule="auto"/>
              <w:rPr>
                <w:sz w:val="22"/>
                <w:szCs w:val="22"/>
              </w:rPr>
            </w:pPr>
            <w:r w:rsidRPr="008573C5">
              <w:rPr>
                <w:sz w:val="22"/>
                <w:szCs w:val="22"/>
              </w:rPr>
              <w:t>(1.666)</w:t>
            </w:r>
          </w:p>
          <w:p w:rsidR="00E038A6" w:rsidRPr="008573C5" w:rsidRDefault="00E038A6" w:rsidP="00902653">
            <w:pPr>
              <w:autoSpaceDE w:val="0"/>
              <w:autoSpaceDN w:val="0"/>
              <w:adjustRightInd w:val="0"/>
              <w:spacing w:line="480" w:lineRule="auto"/>
              <w:rPr>
                <w:sz w:val="22"/>
                <w:szCs w:val="22"/>
              </w:rPr>
            </w:pPr>
            <w:r w:rsidRPr="008573C5">
              <w:rPr>
                <w:sz w:val="22"/>
                <w:szCs w:val="22"/>
              </w:rPr>
              <w:t>(2.255)</w:t>
            </w:r>
          </w:p>
          <w:p w:rsidR="00E038A6" w:rsidRPr="008573C5" w:rsidRDefault="00E038A6" w:rsidP="00902653">
            <w:pPr>
              <w:autoSpaceDE w:val="0"/>
              <w:autoSpaceDN w:val="0"/>
              <w:adjustRightInd w:val="0"/>
              <w:spacing w:line="480" w:lineRule="auto"/>
              <w:rPr>
                <w:sz w:val="22"/>
                <w:szCs w:val="22"/>
              </w:rPr>
            </w:pPr>
            <w:r w:rsidRPr="008573C5">
              <w:rPr>
                <w:sz w:val="22"/>
                <w:szCs w:val="22"/>
              </w:rPr>
              <w:t>(1.000)</w:t>
            </w:r>
          </w:p>
          <w:p w:rsidR="00E038A6" w:rsidRPr="008573C5" w:rsidRDefault="00E038A6" w:rsidP="00902653">
            <w:pPr>
              <w:autoSpaceDE w:val="0"/>
              <w:autoSpaceDN w:val="0"/>
              <w:adjustRightInd w:val="0"/>
              <w:spacing w:line="480" w:lineRule="auto"/>
              <w:rPr>
                <w:sz w:val="22"/>
                <w:szCs w:val="22"/>
              </w:rPr>
            </w:pPr>
            <w:r w:rsidRPr="008573C5">
              <w:rPr>
                <w:sz w:val="22"/>
                <w:szCs w:val="22"/>
              </w:rPr>
              <w:t>(0.233)</w:t>
            </w:r>
          </w:p>
          <w:p w:rsidR="00E038A6" w:rsidRPr="008573C5" w:rsidRDefault="00E038A6" w:rsidP="00902653">
            <w:pPr>
              <w:autoSpaceDE w:val="0"/>
              <w:autoSpaceDN w:val="0"/>
              <w:adjustRightInd w:val="0"/>
              <w:spacing w:line="480" w:lineRule="auto"/>
              <w:rPr>
                <w:sz w:val="22"/>
                <w:szCs w:val="22"/>
              </w:rPr>
            </w:pPr>
            <w:r w:rsidRPr="008573C5">
              <w:rPr>
                <w:sz w:val="22"/>
                <w:szCs w:val="22"/>
              </w:rPr>
              <w:t>(1.927)</w:t>
            </w:r>
          </w:p>
          <w:p w:rsidR="00E038A6" w:rsidRPr="008573C5" w:rsidRDefault="00E038A6" w:rsidP="00664295">
            <w:pPr>
              <w:autoSpaceDE w:val="0"/>
              <w:autoSpaceDN w:val="0"/>
              <w:adjustRightInd w:val="0"/>
              <w:spacing w:line="480" w:lineRule="auto"/>
              <w:rPr>
                <w:sz w:val="22"/>
                <w:szCs w:val="22"/>
              </w:rPr>
            </w:pPr>
            <w:r w:rsidRPr="008573C5">
              <w:rPr>
                <w:sz w:val="22"/>
                <w:szCs w:val="22"/>
              </w:rPr>
              <w:t>(1.156)</w:t>
            </w:r>
          </w:p>
        </w:tc>
      </w:tr>
      <w:tr w:rsidR="00E038A6" w:rsidRPr="008573C5" w:rsidTr="00B36150">
        <w:tc>
          <w:tcPr>
            <w:tcW w:w="162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Number of cases</w:t>
            </w:r>
          </w:p>
        </w:tc>
        <w:tc>
          <w:tcPr>
            <w:tcW w:w="126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86</w:t>
            </w:r>
          </w:p>
        </w:tc>
        <w:tc>
          <w:tcPr>
            <w:tcW w:w="990" w:type="dxa"/>
          </w:tcPr>
          <w:p w:rsidR="00E038A6" w:rsidRPr="008573C5" w:rsidRDefault="00E038A6" w:rsidP="00902653">
            <w:pPr>
              <w:autoSpaceDE w:val="0"/>
              <w:autoSpaceDN w:val="0"/>
              <w:adjustRightInd w:val="0"/>
              <w:spacing w:line="480" w:lineRule="auto"/>
              <w:rPr>
                <w:b/>
                <w:sz w:val="22"/>
                <w:szCs w:val="22"/>
              </w:rPr>
            </w:pPr>
          </w:p>
        </w:tc>
        <w:tc>
          <w:tcPr>
            <w:tcW w:w="108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86</w:t>
            </w:r>
          </w:p>
        </w:tc>
        <w:tc>
          <w:tcPr>
            <w:tcW w:w="1080" w:type="dxa"/>
          </w:tcPr>
          <w:p w:rsidR="00E038A6" w:rsidRPr="008573C5" w:rsidRDefault="00E038A6" w:rsidP="00902653">
            <w:pPr>
              <w:autoSpaceDE w:val="0"/>
              <w:autoSpaceDN w:val="0"/>
              <w:adjustRightInd w:val="0"/>
              <w:spacing w:line="480" w:lineRule="auto"/>
              <w:rPr>
                <w:b/>
                <w:sz w:val="22"/>
                <w:szCs w:val="22"/>
              </w:rPr>
            </w:pPr>
          </w:p>
        </w:tc>
        <w:tc>
          <w:tcPr>
            <w:tcW w:w="108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86</w:t>
            </w:r>
          </w:p>
        </w:tc>
        <w:tc>
          <w:tcPr>
            <w:tcW w:w="990" w:type="dxa"/>
          </w:tcPr>
          <w:p w:rsidR="00E038A6" w:rsidRPr="008573C5" w:rsidRDefault="00E038A6" w:rsidP="00902653">
            <w:pPr>
              <w:autoSpaceDE w:val="0"/>
              <w:autoSpaceDN w:val="0"/>
              <w:adjustRightInd w:val="0"/>
              <w:spacing w:line="480" w:lineRule="auto"/>
              <w:rPr>
                <w:b/>
                <w:sz w:val="22"/>
                <w:szCs w:val="22"/>
              </w:rPr>
            </w:pPr>
          </w:p>
        </w:tc>
        <w:tc>
          <w:tcPr>
            <w:tcW w:w="1170" w:type="dxa"/>
            <w:gridSpan w:val="2"/>
          </w:tcPr>
          <w:p w:rsidR="00E038A6" w:rsidRPr="008573C5" w:rsidRDefault="00E038A6" w:rsidP="00902653">
            <w:pPr>
              <w:autoSpaceDE w:val="0"/>
              <w:autoSpaceDN w:val="0"/>
              <w:adjustRightInd w:val="0"/>
              <w:spacing w:line="480" w:lineRule="auto"/>
              <w:rPr>
                <w:b/>
                <w:sz w:val="22"/>
                <w:szCs w:val="22"/>
              </w:rPr>
            </w:pPr>
            <w:r w:rsidRPr="008573C5">
              <w:rPr>
                <w:b/>
                <w:sz w:val="22"/>
                <w:szCs w:val="22"/>
              </w:rPr>
              <w:t>86</w:t>
            </w:r>
          </w:p>
        </w:tc>
        <w:tc>
          <w:tcPr>
            <w:tcW w:w="968" w:type="dxa"/>
          </w:tcPr>
          <w:p w:rsidR="00E038A6" w:rsidRPr="008573C5" w:rsidRDefault="00E038A6" w:rsidP="00902653">
            <w:pPr>
              <w:autoSpaceDE w:val="0"/>
              <w:autoSpaceDN w:val="0"/>
              <w:adjustRightInd w:val="0"/>
              <w:spacing w:line="480" w:lineRule="auto"/>
              <w:rPr>
                <w:b/>
                <w:sz w:val="22"/>
                <w:szCs w:val="22"/>
              </w:rPr>
            </w:pPr>
          </w:p>
        </w:tc>
      </w:tr>
      <w:tr w:rsidR="00E038A6" w:rsidRPr="008573C5" w:rsidTr="00B36150">
        <w:tc>
          <w:tcPr>
            <w:tcW w:w="1620" w:type="dxa"/>
          </w:tcPr>
          <w:p w:rsidR="00E038A6" w:rsidRPr="008573C5" w:rsidRDefault="00E038A6" w:rsidP="00902653">
            <w:pPr>
              <w:autoSpaceDE w:val="0"/>
              <w:autoSpaceDN w:val="0"/>
              <w:adjustRightInd w:val="0"/>
              <w:spacing w:line="480" w:lineRule="auto"/>
              <w:jc w:val="both"/>
              <w:rPr>
                <w:b/>
                <w:sz w:val="22"/>
                <w:szCs w:val="22"/>
                <w:vertAlign w:val="superscript"/>
              </w:rPr>
            </w:pPr>
            <w:r w:rsidRPr="008573C5">
              <w:rPr>
                <w:b/>
                <w:sz w:val="22"/>
                <w:szCs w:val="22"/>
              </w:rPr>
              <w:t>R</w:t>
            </w:r>
            <w:r w:rsidRPr="008573C5">
              <w:rPr>
                <w:b/>
                <w:sz w:val="22"/>
                <w:szCs w:val="22"/>
                <w:vertAlign w:val="superscript"/>
              </w:rPr>
              <w:t>2</w:t>
            </w:r>
          </w:p>
        </w:tc>
        <w:tc>
          <w:tcPr>
            <w:tcW w:w="126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0.616</w:t>
            </w:r>
          </w:p>
        </w:tc>
        <w:tc>
          <w:tcPr>
            <w:tcW w:w="990" w:type="dxa"/>
          </w:tcPr>
          <w:p w:rsidR="00E038A6" w:rsidRPr="008573C5" w:rsidRDefault="00E038A6" w:rsidP="00902653">
            <w:pPr>
              <w:autoSpaceDE w:val="0"/>
              <w:autoSpaceDN w:val="0"/>
              <w:adjustRightInd w:val="0"/>
              <w:spacing w:line="480" w:lineRule="auto"/>
              <w:rPr>
                <w:b/>
                <w:sz w:val="22"/>
                <w:szCs w:val="22"/>
              </w:rPr>
            </w:pPr>
          </w:p>
        </w:tc>
        <w:tc>
          <w:tcPr>
            <w:tcW w:w="108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0.481</w:t>
            </w:r>
          </w:p>
        </w:tc>
        <w:tc>
          <w:tcPr>
            <w:tcW w:w="1080" w:type="dxa"/>
          </w:tcPr>
          <w:p w:rsidR="00E038A6" w:rsidRPr="008573C5" w:rsidRDefault="00E038A6" w:rsidP="00902653">
            <w:pPr>
              <w:autoSpaceDE w:val="0"/>
              <w:autoSpaceDN w:val="0"/>
              <w:adjustRightInd w:val="0"/>
              <w:spacing w:line="480" w:lineRule="auto"/>
              <w:rPr>
                <w:b/>
                <w:sz w:val="22"/>
                <w:szCs w:val="22"/>
              </w:rPr>
            </w:pPr>
          </w:p>
        </w:tc>
        <w:tc>
          <w:tcPr>
            <w:tcW w:w="108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0.608</w:t>
            </w:r>
          </w:p>
        </w:tc>
        <w:tc>
          <w:tcPr>
            <w:tcW w:w="990" w:type="dxa"/>
          </w:tcPr>
          <w:p w:rsidR="00E038A6" w:rsidRPr="008573C5" w:rsidRDefault="00E038A6" w:rsidP="00902653">
            <w:pPr>
              <w:autoSpaceDE w:val="0"/>
              <w:autoSpaceDN w:val="0"/>
              <w:adjustRightInd w:val="0"/>
              <w:spacing w:line="480" w:lineRule="auto"/>
              <w:rPr>
                <w:b/>
                <w:sz w:val="22"/>
                <w:szCs w:val="22"/>
              </w:rPr>
            </w:pPr>
          </w:p>
        </w:tc>
        <w:tc>
          <w:tcPr>
            <w:tcW w:w="1170" w:type="dxa"/>
            <w:gridSpan w:val="2"/>
          </w:tcPr>
          <w:p w:rsidR="00E038A6" w:rsidRPr="008573C5" w:rsidRDefault="00E038A6" w:rsidP="00902653">
            <w:pPr>
              <w:autoSpaceDE w:val="0"/>
              <w:autoSpaceDN w:val="0"/>
              <w:adjustRightInd w:val="0"/>
              <w:spacing w:line="480" w:lineRule="auto"/>
              <w:rPr>
                <w:b/>
                <w:sz w:val="22"/>
                <w:szCs w:val="22"/>
              </w:rPr>
            </w:pPr>
            <w:r w:rsidRPr="008573C5">
              <w:rPr>
                <w:b/>
                <w:sz w:val="22"/>
                <w:szCs w:val="22"/>
              </w:rPr>
              <w:t>0.313</w:t>
            </w:r>
          </w:p>
        </w:tc>
        <w:tc>
          <w:tcPr>
            <w:tcW w:w="968" w:type="dxa"/>
          </w:tcPr>
          <w:p w:rsidR="00E038A6" w:rsidRPr="008573C5" w:rsidRDefault="00E038A6" w:rsidP="00902653">
            <w:pPr>
              <w:autoSpaceDE w:val="0"/>
              <w:autoSpaceDN w:val="0"/>
              <w:adjustRightInd w:val="0"/>
              <w:spacing w:line="480" w:lineRule="auto"/>
              <w:rPr>
                <w:b/>
                <w:sz w:val="22"/>
                <w:szCs w:val="22"/>
              </w:rPr>
            </w:pPr>
          </w:p>
        </w:tc>
      </w:tr>
      <w:tr w:rsidR="00E038A6" w:rsidRPr="008573C5" w:rsidTr="00B36150">
        <w:trPr>
          <w:trHeight w:val="70"/>
        </w:trPr>
        <w:tc>
          <w:tcPr>
            <w:tcW w:w="1620" w:type="dxa"/>
          </w:tcPr>
          <w:p w:rsidR="00E038A6" w:rsidRPr="008573C5" w:rsidRDefault="00E038A6" w:rsidP="00902653">
            <w:pPr>
              <w:autoSpaceDE w:val="0"/>
              <w:autoSpaceDN w:val="0"/>
              <w:adjustRightInd w:val="0"/>
              <w:spacing w:line="480" w:lineRule="auto"/>
              <w:jc w:val="both"/>
              <w:rPr>
                <w:b/>
                <w:sz w:val="22"/>
                <w:szCs w:val="22"/>
                <w:vertAlign w:val="superscript"/>
              </w:rPr>
            </w:pPr>
            <w:r w:rsidRPr="008573C5">
              <w:rPr>
                <w:b/>
                <w:sz w:val="22"/>
                <w:szCs w:val="22"/>
              </w:rPr>
              <w:t>Adjusted R</w:t>
            </w:r>
            <w:r w:rsidRPr="008573C5">
              <w:rPr>
                <w:b/>
                <w:sz w:val="22"/>
                <w:szCs w:val="22"/>
                <w:vertAlign w:val="superscript"/>
              </w:rPr>
              <w:t>2</w:t>
            </w:r>
          </w:p>
        </w:tc>
        <w:tc>
          <w:tcPr>
            <w:tcW w:w="126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0.582</w:t>
            </w:r>
          </w:p>
        </w:tc>
        <w:tc>
          <w:tcPr>
            <w:tcW w:w="990" w:type="dxa"/>
          </w:tcPr>
          <w:p w:rsidR="00E038A6" w:rsidRPr="008573C5" w:rsidRDefault="00E038A6" w:rsidP="00902653">
            <w:pPr>
              <w:autoSpaceDE w:val="0"/>
              <w:autoSpaceDN w:val="0"/>
              <w:adjustRightInd w:val="0"/>
              <w:spacing w:line="480" w:lineRule="auto"/>
              <w:rPr>
                <w:b/>
                <w:sz w:val="22"/>
                <w:szCs w:val="22"/>
              </w:rPr>
            </w:pPr>
          </w:p>
        </w:tc>
        <w:tc>
          <w:tcPr>
            <w:tcW w:w="108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0.434</w:t>
            </w:r>
          </w:p>
        </w:tc>
        <w:tc>
          <w:tcPr>
            <w:tcW w:w="1080" w:type="dxa"/>
          </w:tcPr>
          <w:p w:rsidR="00E038A6" w:rsidRPr="008573C5" w:rsidRDefault="00E038A6" w:rsidP="00902653">
            <w:pPr>
              <w:autoSpaceDE w:val="0"/>
              <w:autoSpaceDN w:val="0"/>
              <w:adjustRightInd w:val="0"/>
              <w:spacing w:line="480" w:lineRule="auto"/>
              <w:rPr>
                <w:b/>
                <w:sz w:val="22"/>
                <w:szCs w:val="22"/>
              </w:rPr>
            </w:pPr>
          </w:p>
        </w:tc>
        <w:tc>
          <w:tcPr>
            <w:tcW w:w="108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0.573</w:t>
            </w:r>
          </w:p>
        </w:tc>
        <w:tc>
          <w:tcPr>
            <w:tcW w:w="990" w:type="dxa"/>
          </w:tcPr>
          <w:p w:rsidR="00E038A6" w:rsidRPr="008573C5" w:rsidRDefault="00E038A6" w:rsidP="00902653">
            <w:pPr>
              <w:autoSpaceDE w:val="0"/>
              <w:autoSpaceDN w:val="0"/>
              <w:adjustRightInd w:val="0"/>
              <w:spacing w:line="480" w:lineRule="auto"/>
              <w:rPr>
                <w:b/>
                <w:sz w:val="22"/>
                <w:szCs w:val="22"/>
              </w:rPr>
            </w:pPr>
          </w:p>
        </w:tc>
        <w:tc>
          <w:tcPr>
            <w:tcW w:w="1170" w:type="dxa"/>
            <w:gridSpan w:val="2"/>
          </w:tcPr>
          <w:p w:rsidR="00E038A6" w:rsidRPr="008573C5" w:rsidRDefault="00E038A6" w:rsidP="00902653">
            <w:pPr>
              <w:autoSpaceDE w:val="0"/>
              <w:autoSpaceDN w:val="0"/>
              <w:adjustRightInd w:val="0"/>
              <w:spacing w:line="480" w:lineRule="auto"/>
              <w:rPr>
                <w:b/>
                <w:sz w:val="22"/>
                <w:szCs w:val="22"/>
              </w:rPr>
            </w:pPr>
            <w:r w:rsidRPr="008573C5">
              <w:rPr>
                <w:b/>
                <w:sz w:val="22"/>
                <w:szCs w:val="22"/>
              </w:rPr>
              <w:t>0.252</w:t>
            </w:r>
          </w:p>
        </w:tc>
        <w:tc>
          <w:tcPr>
            <w:tcW w:w="968" w:type="dxa"/>
          </w:tcPr>
          <w:p w:rsidR="00E038A6" w:rsidRPr="008573C5" w:rsidRDefault="00E038A6" w:rsidP="00902653">
            <w:pPr>
              <w:autoSpaceDE w:val="0"/>
              <w:autoSpaceDN w:val="0"/>
              <w:adjustRightInd w:val="0"/>
              <w:spacing w:line="480" w:lineRule="auto"/>
              <w:rPr>
                <w:b/>
                <w:sz w:val="22"/>
                <w:szCs w:val="22"/>
              </w:rPr>
            </w:pPr>
          </w:p>
        </w:tc>
      </w:tr>
      <w:tr w:rsidR="00E038A6" w:rsidRPr="008573C5" w:rsidTr="00B36150">
        <w:tc>
          <w:tcPr>
            <w:tcW w:w="1620" w:type="dxa"/>
          </w:tcPr>
          <w:p w:rsidR="00E038A6" w:rsidRPr="008573C5" w:rsidRDefault="00B57843" w:rsidP="00902653">
            <w:pPr>
              <w:autoSpaceDE w:val="0"/>
              <w:autoSpaceDN w:val="0"/>
              <w:adjustRightInd w:val="0"/>
              <w:spacing w:line="480" w:lineRule="auto"/>
              <w:jc w:val="both"/>
              <w:rPr>
                <w:b/>
                <w:sz w:val="22"/>
                <w:szCs w:val="22"/>
              </w:rPr>
            </w:pPr>
            <w:r w:rsidRPr="008573C5">
              <w:rPr>
                <w:b/>
                <w:sz w:val="22"/>
                <w:szCs w:val="22"/>
              </w:rPr>
              <w:t>F- Statistics</w:t>
            </w:r>
          </w:p>
        </w:tc>
        <w:tc>
          <w:tcPr>
            <w:tcW w:w="126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17.894</w:t>
            </w:r>
          </w:p>
        </w:tc>
        <w:tc>
          <w:tcPr>
            <w:tcW w:w="990" w:type="dxa"/>
          </w:tcPr>
          <w:p w:rsidR="00E038A6" w:rsidRPr="008573C5" w:rsidRDefault="00E038A6" w:rsidP="00902653">
            <w:pPr>
              <w:autoSpaceDE w:val="0"/>
              <w:autoSpaceDN w:val="0"/>
              <w:adjustRightInd w:val="0"/>
              <w:spacing w:line="480" w:lineRule="auto"/>
              <w:rPr>
                <w:b/>
                <w:sz w:val="22"/>
                <w:szCs w:val="22"/>
              </w:rPr>
            </w:pPr>
          </w:p>
        </w:tc>
        <w:tc>
          <w:tcPr>
            <w:tcW w:w="108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10.327</w:t>
            </w:r>
          </w:p>
        </w:tc>
        <w:tc>
          <w:tcPr>
            <w:tcW w:w="1080" w:type="dxa"/>
          </w:tcPr>
          <w:p w:rsidR="00E038A6" w:rsidRPr="008573C5" w:rsidRDefault="00E038A6" w:rsidP="00902653">
            <w:pPr>
              <w:autoSpaceDE w:val="0"/>
              <w:autoSpaceDN w:val="0"/>
              <w:adjustRightInd w:val="0"/>
              <w:spacing w:line="480" w:lineRule="auto"/>
              <w:rPr>
                <w:b/>
                <w:sz w:val="22"/>
                <w:szCs w:val="22"/>
              </w:rPr>
            </w:pPr>
          </w:p>
        </w:tc>
        <w:tc>
          <w:tcPr>
            <w:tcW w:w="108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17.283</w:t>
            </w:r>
          </w:p>
        </w:tc>
        <w:tc>
          <w:tcPr>
            <w:tcW w:w="990" w:type="dxa"/>
          </w:tcPr>
          <w:p w:rsidR="00E038A6" w:rsidRPr="008573C5" w:rsidRDefault="00E038A6" w:rsidP="00902653">
            <w:pPr>
              <w:autoSpaceDE w:val="0"/>
              <w:autoSpaceDN w:val="0"/>
              <w:adjustRightInd w:val="0"/>
              <w:spacing w:line="480" w:lineRule="auto"/>
              <w:rPr>
                <w:b/>
                <w:sz w:val="22"/>
                <w:szCs w:val="22"/>
              </w:rPr>
            </w:pPr>
          </w:p>
        </w:tc>
        <w:tc>
          <w:tcPr>
            <w:tcW w:w="1170" w:type="dxa"/>
            <w:gridSpan w:val="2"/>
          </w:tcPr>
          <w:p w:rsidR="00E038A6" w:rsidRPr="008573C5" w:rsidRDefault="00E038A6" w:rsidP="00902653">
            <w:pPr>
              <w:autoSpaceDE w:val="0"/>
              <w:autoSpaceDN w:val="0"/>
              <w:adjustRightInd w:val="0"/>
              <w:spacing w:line="480" w:lineRule="auto"/>
              <w:rPr>
                <w:b/>
                <w:sz w:val="22"/>
                <w:szCs w:val="22"/>
              </w:rPr>
            </w:pPr>
            <w:r w:rsidRPr="008573C5">
              <w:rPr>
                <w:b/>
                <w:sz w:val="22"/>
                <w:szCs w:val="22"/>
              </w:rPr>
              <w:t>5.087</w:t>
            </w:r>
          </w:p>
        </w:tc>
        <w:tc>
          <w:tcPr>
            <w:tcW w:w="968" w:type="dxa"/>
          </w:tcPr>
          <w:p w:rsidR="00E038A6" w:rsidRPr="008573C5" w:rsidRDefault="00E038A6" w:rsidP="00902653">
            <w:pPr>
              <w:autoSpaceDE w:val="0"/>
              <w:autoSpaceDN w:val="0"/>
              <w:adjustRightInd w:val="0"/>
              <w:spacing w:line="480" w:lineRule="auto"/>
              <w:rPr>
                <w:b/>
                <w:sz w:val="22"/>
                <w:szCs w:val="22"/>
              </w:rPr>
            </w:pPr>
          </w:p>
        </w:tc>
      </w:tr>
      <w:tr w:rsidR="00E038A6" w:rsidRPr="008573C5" w:rsidTr="00B36150">
        <w:tc>
          <w:tcPr>
            <w:tcW w:w="1620" w:type="dxa"/>
          </w:tcPr>
          <w:p w:rsidR="00E038A6" w:rsidRPr="008573C5" w:rsidRDefault="00E038A6" w:rsidP="00902653">
            <w:pPr>
              <w:autoSpaceDE w:val="0"/>
              <w:autoSpaceDN w:val="0"/>
              <w:adjustRightInd w:val="0"/>
              <w:spacing w:line="480" w:lineRule="auto"/>
              <w:jc w:val="both"/>
              <w:rPr>
                <w:b/>
                <w:sz w:val="22"/>
                <w:szCs w:val="22"/>
              </w:rPr>
            </w:pPr>
            <w:r w:rsidRPr="008573C5">
              <w:rPr>
                <w:b/>
                <w:sz w:val="22"/>
                <w:szCs w:val="22"/>
              </w:rPr>
              <w:t>Prob. (F)</w:t>
            </w:r>
          </w:p>
        </w:tc>
        <w:tc>
          <w:tcPr>
            <w:tcW w:w="126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0.000***</w:t>
            </w:r>
          </w:p>
        </w:tc>
        <w:tc>
          <w:tcPr>
            <w:tcW w:w="990" w:type="dxa"/>
          </w:tcPr>
          <w:p w:rsidR="00E038A6" w:rsidRPr="008573C5" w:rsidRDefault="00E038A6" w:rsidP="00902653">
            <w:pPr>
              <w:autoSpaceDE w:val="0"/>
              <w:autoSpaceDN w:val="0"/>
              <w:adjustRightInd w:val="0"/>
              <w:spacing w:line="480" w:lineRule="auto"/>
              <w:rPr>
                <w:b/>
                <w:sz w:val="22"/>
                <w:szCs w:val="22"/>
              </w:rPr>
            </w:pPr>
          </w:p>
        </w:tc>
        <w:tc>
          <w:tcPr>
            <w:tcW w:w="108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0.000***</w:t>
            </w:r>
          </w:p>
        </w:tc>
        <w:tc>
          <w:tcPr>
            <w:tcW w:w="1080" w:type="dxa"/>
          </w:tcPr>
          <w:p w:rsidR="00E038A6" w:rsidRPr="008573C5" w:rsidRDefault="00E038A6" w:rsidP="00902653">
            <w:pPr>
              <w:autoSpaceDE w:val="0"/>
              <w:autoSpaceDN w:val="0"/>
              <w:adjustRightInd w:val="0"/>
              <w:spacing w:line="480" w:lineRule="auto"/>
              <w:rPr>
                <w:b/>
                <w:sz w:val="22"/>
                <w:szCs w:val="22"/>
              </w:rPr>
            </w:pPr>
          </w:p>
        </w:tc>
        <w:tc>
          <w:tcPr>
            <w:tcW w:w="108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0.000***</w:t>
            </w:r>
          </w:p>
        </w:tc>
        <w:tc>
          <w:tcPr>
            <w:tcW w:w="990" w:type="dxa"/>
          </w:tcPr>
          <w:p w:rsidR="00E038A6" w:rsidRPr="008573C5" w:rsidRDefault="00E038A6" w:rsidP="00902653">
            <w:pPr>
              <w:autoSpaceDE w:val="0"/>
              <w:autoSpaceDN w:val="0"/>
              <w:adjustRightInd w:val="0"/>
              <w:spacing w:line="480" w:lineRule="auto"/>
              <w:rPr>
                <w:b/>
                <w:sz w:val="22"/>
                <w:szCs w:val="22"/>
              </w:rPr>
            </w:pPr>
          </w:p>
        </w:tc>
        <w:tc>
          <w:tcPr>
            <w:tcW w:w="1170" w:type="dxa"/>
            <w:gridSpan w:val="2"/>
          </w:tcPr>
          <w:p w:rsidR="00E038A6" w:rsidRPr="008573C5" w:rsidRDefault="00E038A6" w:rsidP="00902653">
            <w:pPr>
              <w:autoSpaceDE w:val="0"/>
              <w:autoSpaceDN w:val="0"/>
              <w:adjustRightInd w:val="0"/>
              <w:spacing w:line="480" w:lineRule="auto"/>
              <w:rPr>
                <w:b/>
                <w:sz w:val="22"/>
                <w:szCs w:val="22"/>
              </w:rPr>
            </w:pPr>
            <w:r w:rsidRPr="008573C5">
              <w:rPr>
                <w:b/>
                <w:sz w:val="22"/>
                <w:szCs w:val="22"/>
              </w:rPr>
              <w:t>0.000***</w:t>
            </w:r>
          </w:p>
        </w:tc>
        <w:tc>
          <w:tcPr>
            <w:tcW w:w="968" w:type="dxa"/>
          </w:tcPr>
          <w:p w:rsidR="00E038A6" w:rsidRPr="008573C5" w:rsidRDefault="00E038A6" w:rsidP="00902653">
            <w:pPr>
              <w:autoSpaceDE w:val="0"/>
              <w:autoSpaceDN w:val="0"/>
              <w:adjustRightInd w:val="0"/>
              <w:spacing w:line="480" w:lineRule="auto"/>
              <w:rPr>
                <w:b/>
                <w:sz w:val="22"/>
                <w:szCs w:val="22"/>
              </w:rPr>
            </w:pPr>
          </w:p>
        </w:tc>
      </w:tr>
    </w:tbl>
    <w:p w:rsidR="00533884" w:rsidRPr="008573C5" w:rsidRDefault="00533884" w:rsidP="00533884">
      <w:pPr>
        <w:rPr>
          <w:sz w:val="16"/>
          <w:szCs w:val="16"/>
        </w:rPr>
      </w:pPr>
    </w:p>
    <w:p w:rsidR="00533884" w:rsidRPr="008573C5" w:rsidRDefault="00533884" w:rsidP="00533884">
      <w:pPr>
        <w:rPr>
          <w:sz w:val="16"/>
          <w:szCs w:val="16"/>
        </w:rPr>
      </w:pPr>
      <w:r w:rsidRPr="008573C5">
        <w:rPr>
          <w:sz w:val="16"/>
          <w:szCs w:val="16"/>
        </w:rPr>
        <w:t xml:space="preserve">Note: </w:t>
      </w:r>
      <w:r w:rsidRPr="008573C5">
        <w:rPr>
          <w:sz w:val="16"/>
          <w:szCs w:val="16"/>
        </w:rPr>
        <w:tab/>
        <w:t>t-statistics are in the parentheses</w:t>
      </w:r>
    </w:p>
    <w:p w:rsidR="00533884" w:rsidRPr="008573C5" w:rsidRDefault="00533884" w:rsidP="00533884">
      <w:pPr>
        <w:ind w:firstLine="720"/>
        <w:rPr>
          <w:sz w:val="16"/>
          <w:szCs w:val="16"/>
        </w:rPr>
      </w:pPr>
      <w:r w:rsidRPr="008573C5">
        <w:rPr>
          <w:sz w:val="16"/>
          <w:szCs w:val="16"/>
        </w:rPr>
        <w:t>* ** significant at the 1% level</w:t>
      </w:r>
    </w:p>
    <w:p w:rsidR="00533884" w:rsidRPr="008573C5" w:rsidRDefault="00533884" w:rsidP="00533884">
      <w:pPr>
        <w:ind w:firstLine="720"/>
        <w:rPr>
          <w:sz w:val="16"/>
          <w:szCs w:val="16"/>
        </w:rPr>
      </w:pPr>
      <w:r w:rsidRPr="008573C5">
        <w:rPr>
          <w:sz w:val="16"/>
          <w:szCs w:val="16"/>
        </w:rPr>
        <w:t>** significant at the 5% level</w:t>
      </w:r>
    </w:p>
    <w:p w:rsidR="00533884" w:rsidRPr="008573C5" w:rsidRDefault="00533884" w:rsidP="00533884">
      <w:pPr>
        <w:ind w:firstLine="720"/>
        <w:rPr>
          <w:sz w:val="16"/>
          <w:szCs w:val="16"/>
        </w:rPr>
      </w:pPr>
      <w:r w:rsidRPr="008573C5">
        <w:rPr>
          <w:sz w:val="16"/>
          <w:szCs w:val="16"/>
        </w:rPr>
        <w:t>* significant at the 10% level</w:t>
      </w:r>
    </w:p>
    <w:p w:rsidR="00533884" w:rsidRPr="008573C5" w:rsidRDefault="00533884" w:rsidP="00533884">
      <w:pPr>
        <w:autoSpaceDE w:val="0"/>
        <w:autoSpaceDN w:val="0"/>
        <w:adjustRightInd w:val="0"/>
        <w:jc w:val="center"/>
        <w:rPr>
          <w:rFonts w:eastAsia="Calibri"/>
          <w:b/>
          <w:bCs/>
        </w:rPr>
      </w:pPr>
      <w:r w:rsidRPr="008573C5">
        <w:rPr>
          <w:rFonts w:eastAsia="Calibri"/>
          <w:b/>
          <w:bCs/>
        </w:rPr>
        <w:t>Source: Field Study (2009)</w:t>
      </w:r>
    </w:p>
    <w:p w:rsidR="00FF5EDF" w:rsidRPr="008573C5" w:rsidRDefault="00FF5EDF" w:rsidP="00FF5EDF">
      <w:pPr>
        <w:autoSpaceDE w:val="0"/>
        <w:autoSpaceDN w:val="0"/>
        <w:adjustRightInd w:val="0"/>
        <w:rPr>
          <w:rFonts w:ascii="System" w:eastAsia="Calibri" w:hAnsi="System" w:cs="System"/>
          <w:b/>
          <w:bCs/>
          <w:sz w:val="20"/>
          <w:szCs w:val="20"/>
        </w:rPr>
      </w:pPr>
    </w:p>
    <w:p w:rsidR="00FF5EDF" w:rsidRPr="008573C5" w:rsidRDefault="00FF5EDF" w:rsidP="00FF5EDF">
      <w:pPr>
        <w:autoSpaceDE w:val="0"/>
        <w:autoSpaceDN w:val="0"/>
        <w:adjustRightInd w:val="0"/>
        <w:spacing w:line="360" w:lineRule="auto"/>
        <w:jc w:val="both"/>
      </w:pPr>
      <w:r w:rsidRPr="008573C5">
        <w:rPr>
          <w:rFonts w:eastAsia="Calibri"/>
        </w:rPr>
        <w:t>As shown in Table 4.</w:t>
      </w:r>
      <w:r w:rsidR="00807701" w:rsidRPr="008573C5">
        <w:rPr>
          <w:rFonts w:eastAsia="Calibri"/>
        </w:rPr>
        <w:t>22</w:t>
      </w:r>
      <w:r w:rsidRPr="008573C5">
        <w:rPr>
          <w:rFonts w:eastAsia="Calibri"/>
        </w:rPr>
        <w:t xml:space="preserve">, </w:t>
      </w:r>
      <w:r w:rsidR="00F56B26" w:rsidRPr="008573C5">
        <w:rPr>
          <w:rFonts w:eastAsia="Calibri"/>
        </w:rPr>
        <w:t>equation</w:t>
      </w:r>
      <w:r w:rsidRPr="008573C5">
        <w:rPr>
          <w:rFonts w:eastAsia="Calibri"/>
        </w:rPr>
        <w:t xml:space="preserve"> </w:t>
      </w:r>
      <w:r w:rsidR="00F56B26" w:rsidRPr="008573C5">
        <w:rPr>
          <w:rFonts w:eastAsia="Calibri"/>
        </w:rPr>
        <w:t>A</w:t>
      </w:r>
      <w:r w:rsidR="00F56B26" w:rsidRPr="008573C5">
        <w:rPr>
          <w:rFonts w:eastAsia="Calibri"/>
          <w:vertAlign w:val="subscript"/>
        </w:rPr>
        <w:t>10</w:t>
      </w:r>
      <w:r w:rsidRPr="008573C5">
        <w:rPr>
          <w:rFonts w:eastAsia="Calibri"/>
        </w:rPr>
        <w:t xml:space="preserve"> reported the F value of 10.327 (significant at the .001 level) for the level of SAS disclosure. </w:t>
      </w:r>
      <w:r w:rsidRPr="008573C5">
        <w:t>The t-statistics is positive for most of the independent variables with the exception of sector. The result reveal</w:t>
      </w:r>
      <w:r w:rsidR="007A595A" w:rsidRPr="008573C5">
        <w:t>s</w:t>
      </w:r>
      <w:r w:rsidRPr="008573C5">
        <w:t xml:space="preserve"> that the level of SAS mandatory disclosure varies positively and significant</w:t>
      </w:r>
      <w:r w:rsidR="007A595A" w:rsidRPr="008573C5">
        <w:t>ly with auditor type (p &lt; 0.01)</w:t>
      </w:r>
      <w:r w:rsidRPr="008573C5">
        <w:t xml:space="preserve"> this is in line with the discoveries of </w:t>
      </w:r>
      <w:r w:rsidR="00F56B26" w:rsidRPr="008573C5">
        <w:t>Equation</w:t>
      </w:r>
      <w:r w:rsidRPr="008573C5">
        <w:t xml:space="preserve"> A</w:t>
      </w:r>
      <w:r w:rsidRPr="008573C5">
        <w:rPr>
          <w:vertAlign w:val="subscript"/>
        </w:rPr>
        <w:t>2</w:t>
      </w:r>
      <w:r w:rsidR="00F56B26" w:rsidRPr="008573C5">
        <w:t xml:space="preserve"> in Model </w:t>
      </w:r>
      <w:r w:rsidRPr="008573C5">
        <w:t xml:space="preserve">1 and </w:t>
      </w:r>
      <w:r w:rsidR="00F56B26" w:rsidRPr="008573C5">
        <w:t>equation</w:t>
      </w:r>
      <w:r w:rsidRPr="008573C5">
        <w:t xml:space="preserve"> </w:t>
      </w:r>
      <w:r w:rsidR="00F56B26" w:rsidRPr="008573C5">
        <w:t>A</w:t>
      </w:r>
      <w:r w:rsidR="00F56B26" w:rsidRPr="008573C5">
        <w:rPr>
          <w:vertAlign w:val="subscript"/>
        </w:rPr>
        <w:t>6</w:t>
      </w:r>
      <w:r w:rsidRPr="008573C5">
        <w:t xml:space="preserve"> in </w:t>
      </w:r>
      <w:r w:rsidR="00F56B26" w:rsidRPr="008573C5">
        <w:t>Model</w:t>
      </w:r>
      <w:r w:rsidRPr="008573C5">
        <w:t xml:space="preserve"> 2, supporting the fact that the Big 4 audit firms in Nigeria are very conversant with the mandatory disclosures</w:t>
      </w:r>
      <w:r w:rsidR="007A595A" w:rsidRPr="008573C5">
        <w:t xml:space="preserve"> a fact</w:t>
      </w:r>
      <w:r w:rsidRPr="008573C5">
        <w:t xml:space="preserve"> which has aided the disclosures of the companies they audit. Size is seen to be significant at 5% level, while multinationality and leverage are significant at 10% level. All the other independent variables</w:t>
      </w:r>
      <w:r w:rsidR="00325584" w:rsidRPr="008573C5">
        <w:t xml:space="preserve"> (</w:t>
      </w:r>
      <w:r w:rsidRPr="008573C5">
        <w:t>profitabi</w:t>
      </w:r>
      <w:r w:rsidR="00E92C3E">
        <w:t>lity, listing age and sector) a</w:t>
      </w:r>
      <w:r w:rsidRPr="008573C5">
        <w:t>re not significant explanatory variables.</w:t>
      </w:r>
    </w:p>
    <w:p w:rsidR="00FF5EDF" w:rsidRPr="008573C5" w:rsidRDefault="00F56B26" w:rsidP="00FF5EDF">
      <w:pPr>
        <w:tabs>
          <w:tab w:val="left" w:pos="7320"/>
        </w:tabs>
        <w:spacing w:before="240" w:line="360" w:lineRule="auto"/>
        <w:jc w:val="both"/>
      </w:pPr>
      <w:r w:rsidRPr="008573C5">
        <w:t>Equation</w:t>
      </w:r>
      <w:r w:rsidR="00FF5EDF" w:rsidRPr="008573C5">
        <w:t xml:space="preserve"> </w:t>
      </w:r>
      <w:r w:rsidRPr="008573C5">
        <w:t>A</w:t>
      </w:r>
      <w:r w:rsidRPr="008573C5">
        <w:rPr>
          <w:vertAlign w:val="subscript"/>
        </w:rPr>
        <w:t>11</w:t>
      </w:r>
      <w:r w:rsidR="00FF5EDF" w:rsidRPr="008573C5">
        <w:rPr>
          <w:vertAlign w:val="subscript"/>
        </w:rPr>
        <w:t xml:space="preserve"> </w:t>
      </w:r>
      <w:r w:rsidR="007A595A" w:rsidRPr="008573C5">
        <w:t>(</w:t>
      </w:r>
      <w:r w:rsidR="00FF5EDF" w:rsidRPr="008573C5">
        <w:t>Table 4.</w:t>
      </w:r>
      <w:r w:rsidR="00807701" w:rsidRPr="008573C5">
        <w:t>22</w:t>
      </w:r>
      <w:r w:rsidR="00FF5EDF" w:rsidRPr="008573C5">
        <w:t>)</w:t>
      </w:r>
      <w:r w:rsidR="00FF5EDF" w:rsidRPr="008573C5">
        <w:rPr>
          <w:vertAlign w:val="subscript"/>
        </w:rPr>
        <w:t>,</w:t>
      </w:r>
      <w:r w:rsidR="00FF5EDF" w:rsidRPr="008573C5">
        <w:t xml:space="preserve"> reports o</w:t>
      </w:r>
      <w:r w:rsidR="00E92C3E">
        <w:t>n</w:t>
      </w:r>
      <w:r w:rsidR="00FF5EDF" w:rsidRPr="008573C5">
        <w:t xml:space="preserve"> the OLS regression using IFRS disclosure index as dependent variable. The overall model is significant with F equal to 17.283 with p less than 0.001.The t-statistics </w:t>
      </w:r>
      <w:r w:rsidR="007A595A" w:rsidRPr="008573C5">
        <w:t>are</w:t>
      </w:r>
      <w:r w:rsidR="00FF5EDF" w:rsidRPr="008573C5">
        <w:t xml:space="preserve"> positive for size, leverage, profitability, auditor type and sector. Negative signs appear for listing age and multinational</w:t>
      </w:r>
      <w:r w:rsidR="005512F1" w:rsidRPr="008573C5">
        <w:t>ity</w:t>
      </w:r>
      <w:r w:rsidR="00FF5EDF" w:rsidRPr="008573C5">
        <w:t>. The result reveals that the level of IFRS disclosure varies positively and significantly with company size and auditor type at p &lt; 0.01, this agrees with most of the previous models. There is slight association between SAS disclosures and listing age (p &lt; 0.05) and sector (p &lt; 0.10). There is no significant association between DIFRS and other variables ( profitability, leverage and multinationality).</w:t>
      </w:r>
    </w:p>
    <w:p w:rsidR="00FF5EDF" w:rsidRPr="008573C5" w:rsidRDefault="00F56B26" w:rsidP="00FF5EDF">
      <w:pPr>
        <w:tabs>
          <w:tab w:val="left" w:pos="7320"/>
        </w:tabs>
        <w:spacing w:before="240" w:line="360" w:lineRule="auto"/>
        <w:jc w:val="both"/>
        <w:rPr>
          <w:rFonts w:eastAsia="Calibri"/>
        </w:rPr>
      </w:pPr>
      <w:r w:rsidRPr="008573C5">
        <w:t>Equation</w:t>
      </w:r>
      <w:r w:rsidR="00FF5EDF" w:rsidRPr="008573C5">
        <w:t xml:space="preserve"> </w:t>
      </w:r>
      <w:r w:rsidRPr="008573C5">
        <w:t>A</w:t>
      </w:r>
      <w:r w:rsidRPr="008573C5">
        <w:rPr>
          <w:vertAlign w:val="subscript"/>
        </w:rPr>
        <w:t>12</w:t>
      </w:r>
      <w:r w:rsidR="00FF5EDF" w:rsidRPr="008573C5">
        <w:t xml:space="preserve"> in Table 4.</w:t>
      </w:r>
      <w:r w:rsidR="00807701" w:rsidRPr="008573C5">
        <w:t>22</w:t>
      </w:r>
      <w:r w:rsidR="00FF5EDF" w:rsidRPr="008573C5">
        <w:t xml:space="preserve"> presents the result of the OLS using voluntary disclosure index as dependent variable. The F-statistic</w:t>
      </w:r>
      <w:r w:rsidR="00FF5EDF" w:rsidRPr="008573C5">
        <w:rPr>
          <w:rFonts w:eastAsia="Calibri"/>
        </w:rPr>
        <w:t xml:space="preserve"> indicates that the model employ</w:t>
      </w:r>
      <w:r w:rsidR="00DE2240">
        <w:rPr>
          <w:rFonts w:eastAsia="Calibri"/>
        </w:rPr>
        <w:t>s</w:t>
      </w:r>
      <w:r w:rsidR="00FF5EDF" w:rsidRPr="008573C5">
        <w:rPr>
          <w:rFonts w:eastAsia="Calibri"/>
        </w:rPr>
        <w:t xml:space="preserve"> to explain the variations in voluntary disclosures in company annual reports is significant at p &lt; 0.001 (</w:t>
      </w:r>
      <w:r w:rsidR="00FF5EDF" w:rsidRPr="008573C5">
        <w:t xml:space="preserve"> F = 5.087), although the result show</w:t>
      </w:r>
      <w:r w:rsidR="00807701" w:rsidRPr="008573C5">
        <w:t>s</w:t>
      </w:r>
      <w:r w:rsidR="00FF5EDF" w:rsidRPr="008573C5">
        <w:t xml:space="preserve"> that the </w:t>
      </w:r>
      <w:r w:rsidR="00325584" w:rsidRPr="008573C5">
        <w:t>equation</w:t>
      </w:r>
      <w:r w:rsidR="00FF5EDF" w:rsidRPr="008573C5">
        <w:t xml:space="preserve"> has a lower overall fit than the previous </w:t>
      </w:r>
      <w:r w:rsidR="00325584" w:rsidRPr="008573C5">
        <w:t>equations</w:t>
      </w:r>
      <w:r w:rsidR="00FF5EDF" w:rsidRPr="008573C5">
        <w:t xml:space="preserve">, </w:t>
      </w:r>
      <w:r w:rsidRPr="008573C5">
        <w:t>A</w:t>
      </w:r>
      <w:r w:rsidRPr="008573C5">
        <w:rPr>
          <w:vertAlign w:val="subscript"/>
        </w:rPr>
        <w:t>9</w:t>
      </w:r>
      <w:r w:rsidR="00FF5EDF" w:rsidRPr="008573C5">
        <w:t xml:space="preserve">, </w:t>
      </w:r>
      <w:r w:rsidRPr="008573C5">
        <w:t>A</w:t>
      </w:r>
      <w:r w:rsidRPr="008573C5">
        <w:rPr>
          <w:vertAlign w:val="subscript"/>
        </w:rPr>
        <w:t>10</w:t>
      </w:r>
      <w:r w:rsidR="00FF5EDF" w:rsidRPr="008573C5">
        <w:t xml:space="preserve"> and </w:t>
      </w:r>
      <w:r w:rsidRPr="008573C5">
        <w:t>A</w:t>
      </w:r>
      <w:r w:rsidRPr="008573C5">
        <w:rPr>
          <w:vertAlign w:val="subscript"/>
        </w:rPr>
        <w:t>11</w:t>
      </w:r>
      <w:r w:rsidR="00FF5EDF" w:rsidRPr="008573C5">
        <w:rPr>
          <w:vertAlign w:val="subscript"/>
        </w:rPr>
        <w:t>.</w:t>
      </w:r>
      <w:r w:rsidR="00FF5EDF" w:rsidRPr="008573C5">
        <w:t xml:space="preserve"> The t-statistics is positive for size, listing age auditor type and multinationality but shows negative signs for the remaining variables. Company size associates significantly with voluntary disclosures at p &lt; 0.01, listing age at p &lt; 0.05 and type of auditor at </w:t>
      </w:r>
      <w:r w:rsidR="005512F1" w:rsidRPr="008573C5">
        <w:t>p &lt; 0.10. The other variables (</w:t>
      </w:r>
      <w:r w:rsidR="00FF5EDF" w:rsidRPr="008573C5">
        <w:t>profitability, leverage, sector and multinationality) are not sufficient explanatory variables.</w:t>
      </w:r>
    </w:p>
    <w:p w:rsidR="00FF5EDF" w:rsidRPr="008573C5" w:rsidRDefault="00FF5EDF" w:rsidP="00FF5EDF">
      <w:pPr>
        <w:autoSpaceDE w:val="0"/>
        <w:autoSpaceDN w:val="0"/>
        <w:adjustRightInd w:val="0"/>
        <w:spacing w:line="480" w:lineRule="auto"/>
        <w:rPr>
          <w:b/>
        </w:rPr>
      </w:pPr>
    </w:p>
    <w:p w:rsidR="009664A4" w:rsidRPr="008573C5" w:rsidRDefault="009664A4" w:rsidP="005D1901">
      <w:pPr>
        <w:autoSpaceDE w:val="0"/>
        <w:autoSpaceDN w:val="0"/>
        <w:adjustRightInd w:val="0"/>
        <w:rPr>
          <w:b/>
        </w:rPr>
      </w:pPr>
    </w:p>
    <w:p w:rsidR="009664A4" w:rsidRPr="008573C5" w:rsidRDefault="009664A4" w:rsidP="005D1901">
      <w:pPr>
        <w:autoSpaceDE w:val="0"/>
        <w:autoSpaceDN w:val="0"/>
        <w:adjustRightInd w:val="0"/>
        <w:rPr>
          <w:b/>
        </w:rPr>
      </w:pPr>
    </w:p>
    <w:p w:rsidR="009664A4" w:rsidRPr="008573C5" w:rsidRDefault="009664A4" w:rsidP="005D1901">
      <w:pPr>
        <w:autoSpaceDE w:val="0"/>
        <w:autoSpaceDN w:val="0"/>
        <w:adjustRightInd w:val="0"/>
        <w:rPr>
          <w:b/>
        </w:rPr>
      </w:pPr>
    </w:p>
    <w:p w:rsidR="009664A4" w:rsidRPr="008573C5" w:rsidRDefault="009664A4" w:rsidP="005D1901">
      <w:pPr>
        <w:autoSpaceDE w:val="0"/>
        <w:autoSpaceDN w:val="0"/>
        <w:adjustRightInd w:val="0"/>
        <w:rPr>
          <w:b/>
        </w:rPr>
      </w:pPr>
    </w:p>
    <w:p w:rsidR="009664A4" w:rsidRPr="008573C5" w:rsidRDefault="009664A4" w:rsidP="005D1901">
      <w:pPr>
        <w:autoSpaceDE w:val="0"/>
        <w:autoSpaceDN w:val="0"/>
        <w:adjustRightInd w:val="0"/>
        <w:rPr>
          <w:b/>
        </w:rPr>
      </w:pPr>
    </w:p>
    <w:p w:rsidR="009664A4" w:rsidRPr="008573C5" w:rsidRDefault="009664A4" w:rsidP="005D1901">
      <w:pPr>
        <w:autoSpaceDE w:val="0"/>
        <w:autoSpaceDN w:val="0"/>
        <w:adjustRightInd w:val="0"/>
        <w:rPr>
          <w:b/>
        </w:rPr>
      </w:pPr>
    </w:p>
    <w:p w:rsidR="009664A4" w:rsidRPr="008573C5" w:rsidRDefault="009664A4" w:rsidP="005D1901">
      <w:pPr>
        <w:autoSpaceDE w:val="0"/>
        <w:autoSpaceDN w:val="0"/>
        <w:adjustRightInd w:val="0"/>
        <w:rPr>
          <w:b/>
        </w:rPr>
      </w:pPr>
    </w:p>
    <w:p w:rsidR="009664A4" w:rsidRPr="008573C5" w:rsidRDefault="009664A4" w:rsidP="005D1901">
      <w:pPr>
        <w:autoSpaceDE w:val="0"/>
        <w:autoSpaceDN w:val="0"/>
        <w:adjustRightInd w:val="0"/>
        <w:rPr>
          <w:b/>
        </w:rPr>
      </w:pPr>
    </w:p>
    <w:p w:rsidR="009664A4" w:rsidRPr="008573C5" w:rsidRDefault="009664A4" w:rsidP="005D1901">
      <w:pPr>
        <w:autoSpaceDE w:val="0"/>
        <w:autoSpaceDN w:val="0"/>
        <w:adjustRightInd w:val="0"/>
        <w:rPr>
          <w:b/>
        </w:rPr>
      </w:pPr>
    </w:p>
    <w:p w:rsidR="00820DE2" w:rsidRPr="008573C5" w:rsidRDefault="005D1901" w:rsidP="005D1901">
      <w:pPr>
        <w:autoSpaceDE w:val="0"/>
        <w:autoSpaceDN w:val="0"/>
        <w:adjustRightInd w:val="0"/>
        <w:rPr>
          <w:b/>
        </w:rPr>
      </w:pPr>
      <w:r w:rsidRPr="008573C5">
        <w:rPr>
          <w:b/>
        </w:rPr>
        <w:t>4</w:t>
      </w:r>
      <w:r w:rsidR="000E0B9C" w:rsidRPr="008573C5">
        <w:rPr>
          <w:b/>
        </w:rPr>
        <w:t>.</w:t>
      </w:r>
      <w:r w:rsidR="006E04D2" w:rsidRPr="008573C5">
        <w:rPr>
          <w:b/>
        </w:rPr>
        <w:t>2</w:t>
      </w:r>
      <w:r w:rsidR="000E0B9C" w:rsidRPr="008573C5">
        <w:rPr>
          <w:b/>
        </w:rPr>
        <w:t>.3.4</w:t>
      </w:r>
      <w:r w:rsidR="00820DE2" w:rsidRPr="008573C5">
        <w:rPr>
          <w:b/>
        </w:rPr>
        <w:tab/>
        <w:t>Regression Result (Model 4) using Ranked OLS with Log Transformation of Total Assets</w:t>
      </w:r>
    </w:p>
    <w:p w:rsidR="00856AED" w:rsidRPr="008573C5" w:rsidRDefault="00856AED" w:rsidP="005D1901">
      <w:pPr>
        <w:autoSpaceDE w:val="0"/>
        <w:autoSpaceDN w:val="0"/>
        <w:adjustRightInd w:val="0"/>
        <w:rPr>
          <w:rFonts w:ascii="System" w:hAnsi="System" w:cs="System"/>
          <w:b/>
          <w:bCs/>
          <w:sz w:val="20"/>
          <w:szCs w:val="20"/>
        </w:rPr>
      </w:pPr>
    </w:p>
    <w:p w:rsidR="009664A4" w:rsidRPr="008573C5" w:rsidRDefault="009664A4" w:rsidP="005D1901">
      <w:pPr>
        <w:autoSpaceDE w:val="0"/>
        <w:autoSpaceDN w:val="0"/>
        <w:adjustRightInd w:val="0"/>
        <w:jc w:val="center"/>
        <w:rPr>
          <w:b/>
          <w:sz w:val="28"/>
          <w:szCs w:val="28"/>
        </w:rPr>
      </w:pPr>
    </w:p>
    <w:p w:rsidR="00C8370B" w:rsidRPr="008573C5" w:rsidRDefault="00FF5EDF" w:rsidP="005D1901">
      <w:pPr>
        <w:autoSpaceDE w:val="0"/>
        <w:autoSpaceDN w:val="0"/>
        <w:adjustRightInd w:val="0"/>
        <w:jc w:val="center"/>
        <w:rPr>
          <w:b/>
          <w:sz w:val="28"/>
          <w:szCs w:val="28"/>
        </w:rPr>
      </w:pPr>
      <w:r w:rsidRPr="008573C5">
        <w:rPr>
          <w:b/>
          <w:sz w:val="28"/>
          <w:szCs w:val="28"/>
        </w:rPr>
        <w:t>Table 4.</w:t>
      </w:r>
      <w:r w:rsidR="008453FC" w:rsidRPr="008573C5">
        <w:rPr>
          <w:b/>
          <w:sz w:val="28"/>
          <w:szCs w:val="28"/>
        </w:rPr>
        <w:t>23</w:t>
      </w:r>
      <w:r w:rsidRPr="008573C5">
        <w:rPr>
          <w:b/>
          <w:sz w:val="28"/>
          <w:szCs w:val="28"/>
        </w:rPr>
        <w:t xml:space="preserve">: Regression Result ( </w:t>
      </w:r>
      <w:r w:rsidR="00820DE2" w:rsidRPr="008573C5">
        <w:rPr>
          <w:b/>
          <w:sz w:val="28"/>
          <w:szCs w:val="28"/>
        </w:rPr>
        <w:t>Model</w:t>
      </w:r>
      <w:r w:rsidRPr="008573C5">
        <w:rPr>
          <w:b/>
          <w:sz w:val="28"/>
          <w:szCs w:val="28"/>
        </w:rPr>
        <w:t xml:space="preserve"> 4) using Ranked OLS with Log Transformation of Total Assets</w:t>
      </w:r>
      <w:r w:rsidR="00C8370B" w:rsidRPr="008573C5">
        <w:rPr>
          <w:b/>
          <w:sz w:val="28"/>
          <w:szCs w:val="28"/>
        </w:rPr>
        <w:t xml:space="preserve"> </w:t>
      </w:r>
    </w:p>
    <w:p w:rsidR="00BD1981" w:rsidRPr="008573C5" w:rsidRDefault="00BD1981" w:rsidP="005D1901">
      <w:pPr>
        <w:autoSpaceDE w:val="0"/>
        <w:autoSpaceDN w:val="0"/>
        <w:adjustRightInd w:val="0"/>
        <w:jc w:val="center"/>
        <w:rPr>
          <w:b/>
          <w:sz w:val="28"/>
          <w:szCs w:val="28"/>
        </w:rPr>
      </w:pPr>
    </w:p>
    <w:tbl>
      <w:tblPr>
        <w:tblW w:w="1022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1226"/>
        <w:gridCol w:w="990"/>
        <w:gridCol w:w="1204"/>
        <w:gridCol w:w="1046"/>
        <w:gridCol w:w="1170"/>
        <w:gridCol w:w="990"/>
        <w:gridCol w:w="1080"/>
        <w:gridCol w:w="990"/>
      </w:tblGrid>
      <w:tr w:rsidR="00C8370B" w:rsidRPr="008573C5" w:rsidTr="00BD1981">
        <w:tc>
          <w:tcPr>
            <w:tcW w:w="1530" w:type="dxa"/>
            <w:vMerge w:val="restart"/>
          </w:tcPr>
          <w:p w:rsidR="00C8370B" w:rsidRPr="008573C5" w:rsidRDefault="00C8370B" w:rsidP="00902653">
            <w:pPr>
              <w:autoSpaceDE w:val="0"/>
              <w:autoSpaceDN w:val="0"/>
              <w:adjustRightInd w:val="0"/>
              <w:spacing w:line="480" w:lineRule="auto"/>
              <w:rPr>
                <w:b/>
                <w:sz w:val="22"/>
                <w:szCs w:val="22"/>
              </w:rPr>
            </w:pPr>
            <w:r w:rsidRPr="008573C5">
              <w:rPr>
                <w:b/>
                <w:sz w:val="22"/>
                <w:szCs w:val="22"/>
              </w:rPr>
              <w:t>Independent</w:t>
            </w:r>
          </w:p>
          <w:p w:rsidR="00C8370B" w:rsidRPr="008573C5" w:rsidRDefault="00C8370B" w:rsidP="00902653">
            <w:pPr>
              <w:autoSpaceDE w:val="0"/>
              <w:autoSpaceDN w:val="0"/>
              <w:adjustRightInd w:val="0"/>
              <w:spacing w:line="480" w:lineRule="auto"/>
              <w:rPr>
                <w:b/>
                <w:sz w:val="22"/>
                <w:szCs w:val="22"/>
              </w:rPr>
            </w:pPr>
            <w:r w:rsidRPr="008573C5">
              <w:rPr>
                <w:b/>
                <w:sz w:val="22"/>
                <w:szCs w:val="22"/>
              </w:rPr>
              <w:t>Variables</w:t>
            </w:r>
          </w:p>
        </w:tc>
        <w:tc>
          <w:tcPr>
            <w:tcW w:w="8696" w:type="dxa"/>
            <w:gridSpan w:val="8"/>
          </w:tcPr>
          <w:p w:rsidR="00C8370B" w:rsidRPr="008573C5" w:rsidRDefault="00C8370B" w:rsidP="00902653">
            <w:pPr>
              <w:autoSpaceDE w:val="0"/>
              <w:autoSpaceDN w:val="0"/>
              <w:adjustRightInd w:val="0"/>
              <w:spacing w:line="480" w:lineRule="auto"/>
              <w:jc w:val="center"/>
              <w:rPr>
                <w:b/>
                <w:sz w:val="22"/>
                <w:szCs w:val="22"/>
              </w:rPr>
            </w:pPr>
            <w:r w:rsidRPr="008573C5">
              <w:rPr>
                <w:b/>
                <w:sz w:val="22"/>
                <w:szCs w:val="22"/>
              </w:rPr>
              <w:t>Coefficients and t-statistics</w:t>
            </w:r>
          </w:p>
        </w:tc>
      </w:tr>
      <w:tr w:rsidR="00C8370B" w:rsidRPr="008573C5" w:rsidTr="00BD1981">
        <w:tc>
          <w:tcPr>
            <w:tcW w:w="1530" w:type="dxa"/>
            <w:vMerge/>
          </w:tcPr>
          <w:p w:rsidR="00C8370B" w:rsidRPr="008573C5" w:rsidRDefault="00C8370B" w:rsidP="00902653">
            <w:pPr>
              <w:autoSpaceDE w:val="0"/>
              <w:autoSpaceDN w:val="0"/>
              <w:adjustRightInd w:val="0"/>
              <w:spacing w:line="480" w:lineRule="auto"/>
              <w:rPr>
                <w:b/>
                <w:sz w:val="22"/>
                <w:szCs w:val="22"/>
              </w:rPr>
            </w:pPr>
          </w:p>
        </w:tc>
        <w:tc>
          <w:tcPr>
            <w:tcW w:w="2216" w:type="dxa"/>
            <w:gridSpan w:val="2"/>
          </w:tcPr>
          <w:p w:rsidR="00C8370B" w:rsidRPr="008573C5" w:rsidRDefault="00C8370B" w:rsidP="00902653">
            <w:pPr>
              <w:autoSpaceDE w:val="0"/>
              <w:autoSpaceDN w:val="0"/>
              <w:adjustRightInd w:val="0"/>
              <w:spacing w:line="480" w:lineRule="auto"/>
              <w:rPr>
                <w:b/>
                <w:sz w:val="22"/>
                <w:szCs w:val="22"/>
              </w:rPr>
            </w:pPr>
            <w:r w:rsidRPr="008573C5">
              <w:rPr>
                <w:b/>
                <w:sz w:val="22"/>
                <w:szCs w:val="22"/>
              </w:rPr>
              <w:t>Equation A</w:t>
            </w:r>
            <w:r w:rsidRPr="008573C5">
              <w:rPr>
                <w:b/>
                <w:sz w:val="22"/>
                <w:szCs w:val="22"/>
                <w:vertAlign w:val="subscript"/>
              </w:rPr>
              <w:t>13</w:t>
            </w:r>
          </w:p>
        </w:tc>
        <w:tc>
          <w:tcPr>
            <w:tcW w:w="2250" w:type="dxa"/>
            <w:gridSpan w:val="2"/>
          </w:tcPr>
          <w:p w:rsidR="00C8370B" w:rsidRPr="008573C5" w:rsidRDefault="00C8370B" w:rsidP="00902653">
            <w:pPr>
              <w:autoSpaceDE w:val="0"/>
              <w:autoSpaceDN w:val="0"/>
              <w:adjustRightInd w:val="0"/>
              <w:spacing w:line="480" w:lineRule="auto"/>
              <w:rPr>
                <w:b/>
                <w:sz w:val="22"/>
                <w:szCs w:val="22"/>
              </w:rPr>
            </w:pPr>
            <w:r w:rsidRPr="008573C5">
              <w:rPr>
                <w:b/>
                <w:sz w:val="22"/>
                <w:szCs w:val="22"/>
              </w:rPr>
              <w:t>Equation  A</w:t>
            </w:r>
            <w:r w:rsidRPr="008573C5">
              <w:rPr>
                <w:b/>
                <w:sz w:val="22"/>
                <w:szCs w:val="22"/>
                <w:vertAlign w:val="subscript"/>
              </w:rPr>
              <w:t>14</w:t>
            </w:r>
          </w:p>
        </w:tc>
        <w:tc>
          <w:tcPr>
            <w:tcW w:w="2160" w:type="dxa"/>
            <w:gridSpan w:val="2"/>
          </w:tcPr>
          <w:p w:rsidR="00C8370B" w:rsidRPr="008573C5" w:rsidRDefault="00C8370B" w:rsidP="00902653">
            <w:pPr>
              <w:autoSpaceDE w:val="0"/>
              <w:autoSpaceDN w:val="0"/>
              <w:adjustRightInd w:val="0"/>
              <w:spacing w:line="480" w:lineRule="auto"/>
              <w:rPr>
                <w:b/>
                <w:sz w:val="22"/>
                <w:szCs w:val="22"/>
              </w:rPr>
            </w:pPr>
            <w:r w:rsidRPr="008573C5">
              <w:rPr>
                <w:b/>
                <w:sz w:val="22"/>
                <w:szCs w:val="22"/>
              </w:rPr>
              <w:t>Equation A</w:t>
            </w:r>
            <w:r w:rsidRPr="008573C5">
              <w:rPr>
                <w:b/>
                <w:sz w:val="22"/>
                <w:szCs w:val="22"/>
                <w:vertAlign w:val="subscript"/>
              </w:rPr>
              <w:t>15</w:t>
            </w:r>
          </w:p>
        </w:tc>
        <w:tc>
          <w:tcPr>
            <w:tcW w:w="2070" w:type="dxa"/>
            <w:gridSpan w:val="2"/>
          </w:tcPr>
          <w:p w:rsidR="00C8370B" w:rsidRPr="008573C5" w:rsidRDefault="00C8370B" w:rsidP="00902653">
            <w:pPr>
              <w:autoSpaceDE w:val="0"/>
              <w:autoSpaceDN w:val="0"/>
              <w:adjustRightInd w:val="0"/>
              <w:spacing w:line="480" w:lineRule="auto"/>
              <w:rPr>
                <w:b/>
                <w:sz w:val="22"/>
                <w:szCs w:val="22"/>
              </w:rPr>
            </w:pPr>
            <w:r w:rsidRPr="008573C5">
              <w:rPr>
                <w:b/>
                <w:sz w:val="22"/>
                <w:szCs w:val="22"/>
              </w:rPr>
              <w:t>Equation  A</w:t>
            </w:r>
            <w:r w:rsidRPr="008573C5">
              <w:rPr>
                <w:b/>
                <w:sz w:val="22"/>
                <w:szCs w:val="22"/>
                <w:vertAlign w:val="subscript"/>
              </w:rPr>
              <w:t>16</w:t>
            </w:r>
          </w:p>
        </w:tc>
      </w:tr>
      <w:tr w:rsidR="00BD1981" w:rsidRPr="008573C5" w:rsidTr="00BD1981">
        <w:trPr>
          <w:trHeight w:val="332"/>
        </w:trPr>
        <w:tc>
          <w:tcPr>
            <w:tcW w:w="1530" w:type="dxa"/>
          </w:tcPr>
          <w:p w:rsidR="00E038A6" w:rsidRPr="008573C5" w:rsidRDefault="00E038A6" w:rsidP="00902653">
            <w:pPr>
              <w:autoSpaceDE w:val="0"/>
              <w:autoSpaceDN w:val="0"/>
              <w:adjustRightInd w:val="0"/>
              <w:spacing w:line="480" w:lineRule="auto"/>
              <w:rPr>
                <w:sz w:val="22"/>
                <w:szCs w:val="22"/>
              </w:rPr>
            </w:pPr>
          </w:p>
        </w:tc>
        <w:tc>
          <w:tcPr>
            <w:tcW w:w="1226"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Coeff.</w:t>
            </w:r>
          </w:p>
        </w:tc>
        <w:tc>
          <w:tcPr>
            <w:tcW w:w="990" w:type="dxa"/>
          </w:tcPr>
          <w:p w:rsidR="00E038A6" w:rsidRPr="008573C5" w:rsidRDefault="00E038A6" w:rsidP="00AA7197">
            <w:pPr>
              <w:autoSpaceDE w:val="0"/>
              <w:autoSpaceDN w:val="0"/>
              <w:adjustRightInd w:val="0"/>
              <w:spacing w:line="480" w:lineRule="auto"/>
              <w:rPr>
                <w:sz w:val="22"/>
                <w:szCs w:val="22"/>
              </w:rPr>
            </w:pPr>
            <w:r w:rsidRPr="008573C5">
              <w:rPr>
                <w:sz w:val="22"/>
                <w:szCs w:val="22"/>
              </w:rPr>
              <w:t xml:space="preserve">t -statistics </w:t>
            </w:r>
          </w:p>
        </w:tc>
        <w:tc>
          <w:tcPr>
            <w:tcW w:w="1204"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Coeff.</w:t>
            </w:r>
          </w:p>
        </w:tc>
        <w:tc>
          <w:tcPr>
            <w:tcW w:w="1046" w:type="dxa"/>
          </w:tcPr>
          <w:p w:rsidR="00E038A6" w:rsidRPr="008573C5" w:rsidRDefault="00E038A6" w:rsidP="00AA7197">
            <w:pPr>
              <w:autoSpaceDE w:val="0"/>
              <w:autoSpaceDN w:val="0"/>
              <w:adjustRightInd w:val="0"/>
              <w:spacing w:line="480" w:lineRule="auto"/>
              <w:rPr>
                <w:sz w:val="22"/>
                <w:szCs w:val="22"/>
              </w:rPr>
            </w:pPr>
            <w:r w:rsidRPr="008573C5">
              <w:rPr>
                <w:sz w:val="22"/>
                <w:szCs w:val="22"/>
              </w:rPr>
              <w:t xml:space="preserve">t -statistics </w:t>
            </w:r>
          </w:p>
        </w:tc>
        <w:tc>
          <w:tcPr>
            <w:tcW w:w="1170"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Coeff.</w:t>
            </w:r>
          </w:p>
        </w:tc>
        <w:tc>
          <w:tcPr>
            <w:tcW w:w="990" w:type="dxa"/>
          </w:tcPr>
          <w:p w:rsidR="00E038A6" w:rsidRPr="008573C5" w:rsidRDefault="00E038A6" w:rsidP="00AA7197">
            <w:pPr>
              <w:autoSpaceDE w:val="0"/>
              <w:autoSpaceDN w:val="0"/>
              <w:adjustRightInd w:val="0"/>
              <w:spacing w:line="480" w:lineRule="auto"/>
              <w:rPr>
                <w:sz w:val="22"/>
                <w:szCs w:val="22"/>
              </w:rPr>
            </w:pPr>
            <w:r w:rsidRPr="008573C5">
              <w:rPr>
                <w:sz w:val="22"/>
                <w:szCs w:val="22"/>
              </w:rPr>
              <w:t xml:space="preserve">t -statistics </w:t>
            </w:r>
          </w:p>
        </w:tc>
        <w:tc>
          <w:tcPr>
            <w:tcW w:w="1080"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Coeff.</w:t>
            </w:r>
          </w:p>
        </w:tc>
        <w:tc>
          <w:tcPr>
            <w:tcW w:w="990" w:type="dxa"/>
          </w:tcPr>
          <w:p w:rsidR="00E038A6" w:rsidRPr="008573C5" w:rsidRDefault="00E038A6" w:rsidP="00AA7197">
            <w:pPr>
              <w:autoSpaceDE w:val="0"/>
              <w:autoSpaceDN w:val="0"/>
              <w:adjustRightInd w:val="0"/>
              <w:spacing w:line="480" w:lineRule="auto"/>
              <w:rPr>
                <w:sz w:val="22"/>
                <w:szCs w:val="22"/>
              </w:rPr>
            </w:pPr>
            <w:r w:rsidRPr="008573C5">
              <w:rPr>
                <w:sz w:val="22"/>
                <w:szCs w:val="22"/>
              </w:rPr>
              <w:t xml:space="preserve">t -statistics </w:t>
            </w:r>
          </w:p>
        </w:tc>
      </w:tr>
      <w:tr w:rsidR="00E038A6" w:rsidRPr="008573C5" w:rsidTr="00BD1981">
        <w:trPr>
          <w:trHeight w:val="4554"/>
        </w:trPr>
        <w:tc>
          <w:tcPr>
            <w:tcW w:w="1530"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Size (LTA)</w:t>
            </w:r>
          </w:p>
          <w:p w:rsidR="00E038A6" w:rsidRPr="008573C5" w:rsidRDefault="00E038A6" w:rsidP="00902653">
            <w:pPr>
              <w:autoSpaceDE w:val="0"/>
              <w:autoSpaceDN w:val="0"/>
              <w:adjustRightInd w:val="0"/>
              <w:spacing w:line="480" w:lineRule="auto"/>
              <w:rPr>
                <w:sz w:val="22"/>
                <w:szCs w:val="22"/>
              </w:rPr>
            </w:pPr>
            <w:r w:rsidRPr="008573C5">
              <w:rPr>
                <w:sz w:val="22"/>
                <w:szCs w:val="22"/>
              </w:rPr>
              <w:t>Profitability</w:t>
            </w:r>
          </w:p>
          <w:p w:rsidR="00E038A6" w:rsidRPr="008573C5" w:rsidRDefault="00E038A6" w:rsidP="00902653">
            <w:pPr>
              <w:autoSpaceDE w:val="0"/>
              <w:autoSpaceDN w:val="0"/>
              <w:adjustRightInd w:val="0"/>
              <w:spacing w:line="480" w:lineRule="auto"/>
              <w:rPr>
                <w:sz w:val="22"/>
                <w:szCs w:val="22"/>
              </w:rPr>
            </w:pPr>
            <w:r w:rsidRPr="008573C5">
              <w:rPr>
                <w:sz w:val="22"/>
                <w:szCs w:val="22"/>
              </w:rPr>
              <w:t>Leverage</w:t>
            </w:r>
          </w:p>
          <w:p w:rsidR="00E038A6" w:rsidRPr="008573C5" w:rsidRDefault="00E038A6" w:rsidP="00902653">
            <w:pPr>
              <w:autoSpaceDE w:val="0"/>
              <w:autoSpaceDN w:val="0"/>
              <w:adjustRightInd w:val="0"/>
              <w:spacing w:line="480" w:lineRule="auto"/>
              <w:rPr>
                <w:sz w:val="22"/>
                <w:szCs w:val="22"/>
              </w:rPr>
            </w:pPr>
            <w:r w:rsidRPr="008573C5">
              <w:rPr>
                <w:sz w:val="22"/>
                <w:szCs w:val="22"/>
              </w:rPr>
              <w:t>Age</w:t>
            </w:r>
          </w:p>
          <w:p w:rsidR="00E038A6" w:rsidRPr="008573C5" w:rsidRDefault="00E038A6" w:rsidP="00902653">
            <w:pPr>
              <w:autoSpaceDE w:val="0"/>
              <w:autoSpaceDN w:val="0"/>
              <w:adjustRightInd w:val="0"/>
              <w:spacing w:line="480" w:lineRule="auto"/>
              <w:rPr>
                <w:sz w:val="22"/>
                <w:szCs w:val="22"/>
              </w:rPr>
            </w:pPr>
            <w:r w:rsidRPr="008573C5">
              <w:rPr>
                <w:sz w:val="22"/>
                <w:szCs w:val="22"/>
              </w:rPr>
              <w:t>Multinational</w:t>
            </w:r>
          </w:p>
          <w:p w:rsidR="00E038A6" w:rsidRPr="008573C5" w:rsidRDefault="00E038A6" w:rsidP="00902653">
            <w:pPr>
              <w:autoSpaceDE w:val="0"/>
              <w:autoSpaceDN w:val="0"/>
              <w:adjustRightInd w:val="0"/>
              <w:spacing w:line="480" w:lineRule="auto"/>
              <w:rPr>
                <w:sz w:val="22"/>
                <w:szCs w:val="22"/>
              </w:rPr>
            </w:pPr>
            <w:r w:rsidRPr="008573C5">
              <w:rPr>
                <w:sz w:val="22"/>
                <w:szCs w:val="22"/>
              </w:rPr>
              <w:t>Sector</w:t>
            </w:r>
          </w:p>
          <w:p w:rsidR="00E038A6" w:rsidRPr="008573C5" w:rsidRDefault="00E038A6" w:rsidP="00902653">
            <w:pPr>
              <w:autoSpaceDE w:val="0"/>
              <w:autoSpaceDN w:val="0"/>
              <w:adjustRightInd w:val="0"/>
              <w:spacing w:line="480" w:lineRule="auto"/>
              <w:rPr>
                <w:sz w:val="22"/>
                <w:szCs w:val="22"/>
              </w:rPr>
            </w:pPr>
            <w:r w:rsidRPr="008573C5">
              <w:rPr>
                <w:sz w:val="22"/>
                <w:szCs w:val="22"/>
              </w:rPr>
              <w:t xml:space="preserve">Auditor </w:t>
            </w:r>
          </w:p>
          <w:p w:rsidR="00E038A6" w:rsidRPr="008573C5" w:rsidRDefault="00E038A6" w:rsidP="00902653">
            <w:pPr>
              <w:autoSpaceDE w:val="0"/>
              <w:autoSpaceDN w:val="0"/>
              <w:adjustRightInd w:val="0"/>
              <w:spacing w:line="480" w:lineRule="auto"/>
              <w:rPr>
                <w:sz w:val="22"/>
                <w:szCs w:val="22"/>
              </w:rPr>
            </w:pPr>
            <w:r w:rsidRPr="008573C5">
              <w:rPr>
                <w:sz w:val="22"/>
                <w:szCs w:val="22"/>
              </w:rPr>
              <w:t>Constant</w:t>
            </w:r>
          </w:p>
        </w:tc>
        <w:tc>
          <w:tcPr>
            <w:tcW w:w="1226"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0.610***</w:t>
            </w:r>
          </w:p>
          <w:p w:rsidR="00E038A6" w:rsidRPr="008573C5" w:rsidRDefault="00E038A6" w:rsidP="00902653">
            <w:pPr>
              <w:autoSpaceDE w:val="0"/>
              <w:autoSpaceDN w:val="0"/>
              <w:adjustRightInd w:val="0"/>
              <w:spacing w:line="480" w:lineRule="auto"/>
              <w:rPr>
                <w:sz w:val="22"/>
                <w:szCs w:val="22"/>
              </w:rPr>
            </w:pPr>
            <w:r w:rsidRPr="008573C5">
              <w:rPr>
                <w:sz w:val="22"/>
                <w:szCs w:val="22"/>
              </w:rPr>
              <w:t>0.104</w:t>
            </w:r>
          </w:p>
          <w:p w:rsidR="00E038A6" w:rsidRPr="008573C5" w:rsidRDefault="00E038A6" w:rsidP="00902653">
            <w:pPr>
              <w:autoSpaceDE w:val="0"/>
              <w:autoSpaceDN w:val="0"/>
              <w:adjustRightInd w:val="0"/>
              <w:spacing w:line="480" w:lineRule="auto"/>
              <w:rPr>
                <w:sz w:val="22"/>
                <w:szCs w:val="22"/>
              </w:rPr>
            </w:pPr>
            <w:r w:rsidRPr="008573C5">
              <w:rPr>
                <w:sz w:val="22"/>
                <w:szCs w:val="22"/>
              </w:rPr>
              <w:t>-0.043</w:t>
            </w:r>
          </w:p>
          <w:p w:rsidR="00E038A6" w:rsidRPr="008573C5" w:rsidRDefault="00E038A6" w:rsidP="00902653">
            <w:pPr>
              <w:autoSpaceDE w:val="0"/>
              <w:autoSpaceDN w:val="0"/>
              <w:adjustRightInd w:val="0"/>
              <w:spacing w:line="480" w:lineRule="auto"/>
              <w:rPr>
                <w:sz w:val="22"/>
                <w:szCs w:val="22"/>
              </w:rPr>
            </w:pPr>
            <w:r w:rsidRPr="008573C5">
              <w:rPr>
                <w:sz w:val="22"/>
                <w:szCs w:val="22"/>
              </w:rPr>
              <w:t>0.043</w:t>
            </w:r>
          </w:p>
          <w:p w:rsidR="00E038A6" w:rsidRPr="008573C5" w:rsidRDefault="00E038A6" w:rsidP="00902653">
            <w:pPr>
              <w:autoSpaceDE w:val="0"/>
              <w:autoSpaceDN w:val="0"/>
              <w:adjustRightInd w:val="0"/>
              <w:spacing w:line="480" w:lineRule="auto"/>
              <w:rPr>
                <w:sz w:val="22"/>
                <w:szCs w:val="22"/>
              </w:rPr>
            </w:pPr>
            <w:r w:rsidRPr="008573C5">
              <w:rPr>
                <w:sz w:val="22"/>
                <w:szCs w:val="22"/>
              </w:rPr>
              <w:t>0.035</w:t>
            </w:r>
          </w:p>
          <w:p w:rsidR="00E038A6" w:rsidRPr="008573C5" w:rsidRDefault="00E038A6" w:rsidP="00902653">
            <w:pPr>
              <w:autoSpaceDE w:val="0"/>
              <w:autoSpaceDN w:val="0"/>
              <w:adjustRightInd w:val="0"/>
              <w:spacing w:line="480" w:lineRule="auto"/>
              <w:rPr>
                <w:sz w:val="22"/>
                <w:szCs w:val="22"/>
              </w:rPr>
            </w:pPr>
            <w:r w:rsidRPr="008573C5">
              <w:rPr>
                <w:sz w:val="22"/>
                <w:szCs w:val="22"/>
              </w:rPr>
              <w:t>4.719</w:t>
            </w:r>
          </w:p>
          <w:p w:rsidR="00E038A6" w:rsidRPr="008573C5" w:rsidRDefault="00E038A6" w:rsidP="00902653">
            <w:pPr>
              <w:autoSpaceDE w:val="0"/>
              <w:autoSpaceDN w:val="0"/>
              <w:adjustRightInd w:val="0"/>
              <w:spacing w:line="480" w:lineRule="auto"/>
              <w:rPr>
                <w:sz w:val="22"/>
                <w:szCs w:val="22"/>
              </w:rPr>
            </w:pPr>
            <w:r w:rsidRPr="008573C5">
              <w:rPr>
                <w:sz w:val="22"/>
                <w:szCs w:val="22"/>
              </w:rPr>
              <w:t>20.990***</w:t>
            </w:r>
            <w:r w:rsidRPr="008573C5">
              <w:rPr>
                <w:sz w:val="22"/>
                <w:szCs w:val="22"/>
              </w:rPr>
              <w:cr/>
              <w:t>-11.711</w:t>
            </w:r>
          </w:p>
          <w:p w:rsidR="00E038A6" w:rsidRPr="008573C5" w:rsidRDefault="00E038A6" w:rsidP="00902653">
            <w:pPr>
              <w:autoSpaceDE w:val="0"/>
              <w:autoSpaceDN w:val="0"/>
              <w:adjustRightInd w:val="0"/>
              <w:spacing w:line="480" w:lineRule="auto"/>
              <w:rPr>
                <w:sz w:val="22"/>
                <w:szCs w:val="22"/>
              </w:rPr>
            </w:pPr>
          </w:p>
        </w:tc>
        <w:tc>
          <w:tcPr>
            <w:tcW w:w="990"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(6.922)</w:t>
            </w:r>
          </w:p>
          <w:p w:rsidR="00E038A6" w:rsidRPr="008573C5" w:rsidRDefault="00E038A6" w:rsidP="00902653">
            <w:pPr>
              <w:autoSpaceDE w:val="0"/>
              <w:autoSpaceDN w:val="0"/>
              <w:adjustRightInd w:val="0"/>
              <w:spacing w:line="480" w:lineRule="auto"/>
              <w:rPr>
                <w:sz w:val="22"/>
                <w:szCs w:val="22"/>
              </w:rPr>
            </w:pPr>
            <w:r w:rsidRPr="008573C5">
              <w:rPr>
                <w:sz w:val="22"/>
                <w:szCs w:val="22"/>
              </w:rPr>
              <w:t>(1.403)</w:t>
            </w:r>
          </w:p>
          <w:p w:rsidR="00E038A6" w:rsidRPr="008573C5" w:rsidRDefault="00E038A6" w:rsidP="00902653">
            <w:pPr>
              <w:autoSpaceDE w:val="0"/>
              <w:autoSpaceDN w:val="0"/>
              <w:adjustRightInd w:val="0"/>
              <w:spacing w:line="480" w:lineRule="auto"/>
              <w:rPr>
                <w:sz w:val="22"/>
                <w:szCs w:val="22"/>
              </w:rPr>
            </w:pPr>
            <w:r w:rsidRPr="008573C5">
              <w:rPr>
                <w:sz w:val="22"/>
                <w:szCs w:val="22"/>
              </w:rPr>
              <w:t>(0.535)</w:t>
            </w:r>
          </w:p>
          <w:p w:rsidR="00E038A6" w:rsidRPr="008573C5" w:rsidRDefault="00E038A6" w:rsidP="00902653">
            <w:pPr>
              <w:autoSpaceDE w:val="0"/>
              <w:autoSpaceDN w:val="0"/>
              <w:adjustRightInd w:val="0"/>
              <w:spacing w:line="480" w:lineRule="auto"/>
              <w:rPr>
                <w:sz w:val="22"/>
                <w:szCs w:val="22"/>
              </w:rPr>
            </w:pPr>
            <w:r w:rsidRPr="008573C5">
              <w:rPr>
                <w:sz w:val="22"/>
                <w:szCs w:val="22"/>
              </w:rPr>
              <w:t>(0.541)</w:t>
            </w:r>
          </w:p>
          <w:p w:rsidR="00E038A6" w:rsidRPr="008573C5" w:rsidRDefault="00E038A6" w:rsidP="00902653">
            <w:pPr>
              <w:autoSpaceDE w:val="0"/>
              <w:autoSpaceDN w:val="0"/>
              <w:adjustRightInd w:val="0"/>
              <w:spacing w:line="480" w:lineRule="auto"/>
              <w:rPr>
                <w:sz w:val="22"/>
                <w:szCs w:val="22"/>
              </w:rPr>
            </w:pPr>
            <w:r w:rsidRPr="008573C5">
              <w:rPr>
                <w:sz w:val="22"/>
                <w:szCs w:val="22"/>
              </w:rPr>
              <w:t>(0.390)</w:t>
            </w:r>
          </w:p>
          <w:p w:rsidR="00E038A6" w:rsidRPr="008573C5" w:rsidRDefault="00E038A6" w:rsidP="00902653">
            <w:pPr>
              <w:autoSpaceDE w:val="0"/>
              <w:autoSpaceDN w:val="0"/>
              <w:adjustRightInd w:val="0"/>
              <w:spacing w:line="480" w:lineRule="auto"/>
              <w:rPr>
                <w:sz w:val="22"/>
                <w:szCs w:val="22"/>
              </w:rPr>
            </w:pPr>
            <w:r w:rsidRPr="008573C5">
              <w:rPr>
                <w:sz w:val="22"/>
                <w:szCs w:val="22"/>
              </w:rPr>
              <w:t>(0.882)</w:t>
            </w:r>
          </w:p>
          <w:p w:rsidR="00E038A6" w:rsidRPr="008573C5" w:rsidRDefault="00E038A6" w:rsidP="00902653">
            <w:pPr>
              <w:autoSpaceDE w:val="0"/>
              <w:autoSpaceDN w:val="0"/>
              <w:adjustRightInd w:val="0"/>
              <w:spacing w:line="480" w:lineRule="auto"/>
              <w:rPr>
                <w:sz w:val="22"/>
                <w:szCs w:val="22"/>
              </w:rPr>
            </w:pPr>
            <w:r w:rsidRPr="008573C5">
              <w:rPr>
                <w:sz w:val="22"/>
                <w:szCs w:val="22"/>
              </w:rPr>
              <w:t>(4.495)</w:t>
            </w:r>
          </w:p>
          <w:p w:rsidR="00E038A6" w:rsidRPr="008573C5" w:rsidRDefault="00E038A6" w:rsidP="006058E9">
            <w:pPr>
              <w:autoSpaceDE w:val="0"/>
              <w:autoSpaceDN w:val="0"/>
              <w:adjustRightInd w:val="0"/>
              <w:spacing w:line="480" w:lineRule="auto"/>
              <w:rPr>
                <w:sz w:val="22"/>
                <w:szCs w:val="22"/>
              </w:rPr>
            </w:pPr>
            <w:r w:rsidRPr="008573C5">
              <w:rPr>
                <w:sz w:val="22"/>
                <w:szCs w:val="22"/>
              </w:rPr>
              <w:t>(1.155)</w:t>
            </w:r>
          </w:p>
        </w:tc>
        <w:tc>
          <w:tcPr>
            <w:tcW w:w="1204"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0.302***</w:t>
            </w:r>
          </w:p>
          <w:p w:rsidR="00E038A6" w:rsidRPr="008573C5" w:rsidRDefault="00E038A6" w:rsidP="00902653">
            <w:pPr>
              <w:autoSpaceDE w:val="0"/>
              <w:autoSpaceDN w:val="0"/>
              <w:adjustRightInd w:val="0"/>
              <w:spacing w:line="480" w:lineRule="auto"/>
              <w:rPr>
                <w:sz w:val="22"/>
                <w:szCs w:val="22"/>
              </w:rPr>
            </w:pPr>
            <w:r w:rsidRPr="008573C5">
              <w:rPr>
                <w:sz w:val="22"/>
                <w:szCs w:val="22"/>
              </w:rPr>
              <w:t>0.069</w:t>
            </w:r>
          </w:p>
          <w:p w:rsidR="00E038A6" w:rsidRPr="008573C5" w:rsidRDefault="00E038A6" w:rsidP="00902653">
            <w:pPr>
              <w:autoSpaceDE w:val="0"/>
              <w:autoSpaceDN w:val="0"/>
              <w:adjustRightInd w:val="0"/>
              <w:spacing w:line="480" w:lineRule="auto"/>
              <w:rPr>
                <w:sz w:val="22"/>
                <w:szCs w:val="22"/>
              </w:rPr>
            </w:pPr>
            <w:r w:rsidRPr="008573C5">
              <w:rPr>
                <w:sz w:val="22"/>
                <w:szCs w:val="22"/>
              </w:rPr>
              <w:t>0.205**</w:t>
            </w:r>
          </w:p>
          <w:p w:rsidR="00E038A6" w:rsidRPr="008573C5" w:rsidRDefault="00E038A6" w:rsidP="00902653">
            <w:pPr>
              <w:autoSpaceDE w:val="0"/>
              <w:autoSpaceDN w:val="0"/>
              <w:adjustRightInd w:val="0"/>
              <w:spacing w:line="480" w:lineRule="auto"/>
              <w:rPr>
                <w:sz w:val="22"/>
                <w:szCs w:val="22"/>
              </w:rPr>
            </w:pPr>
            <w:r w:rsidRPr="008573C5">
              <w:rPr>
                <w:sz w:val="22"/>
                <w:szCs w:val="22"/>
              </w:rPr>
              <w:t>0.140</w:t>
            </w:r>
          </w:p>
          <w:p w:rsidR="00E038A6" w:rsidRPr="008573C5" w:rsidRDefault="00E038A6" w:rsidP="00902653">
            <w:pPr>
              <w:autoSpaceDE w:val="0"/>
              <w:autoSpaceDN w:val="0"/>
              <w:adjustRightInd w:val="0"/>
              <w:spacing w:line="480" w:lineRule="auto"/>
              <w:rPr>
                <w:sz w:val="22"/>
                <w:szCs w:val="22"/>
              </w:rPr>
            </w:pPr>
            <w:r w:rsidRPr="008573C5">
              <w:rPr>
                <w:sz w:val="22"/>
                <w:szCs w:val="22"/>
              </w:rPr>
              <w:t>0.155</w:t>
            </w:r>
          </w:p>
          <w:p w:rsidR="00E038A6" w:rsidRPr="008573C5" w:rsidRDefault="00E038A6" w:rsidP="00902653">
            <w:pPr>
              <w:autoSpaceDE w:val="0"/>
              <w:autoSpaceDN w:val="0"/>
              <w:adjustRightInd w:val="0"/>
              <w:spacing w:line="480" w:lineRule="auto"/>
              <w:rPr>
                <w:sz w:val="22"/>
                <w:szCs w:val="22"/>
              </w:rPr>
            </w:pPr>
            <w:r w:rsidRPr="008573C5">
              <w:rPr>
                <w:sz w:val="22"/>
                <w:szCs w:val="22"/>
              </w:rPr>
              <w:t>-2.836</w:t>
            </w:r>
          </w:p>
          <w:p w:rsidR="00E038A6" w:rsidRPr="008573C5" w:rsidRDefault="00E038A6" w:rsidP="00902653">
            <w:pPr>
              <w:autoSpaceDE w:val="0"/>
              <w:autoSpaceDN w:val="0"/>
              <w:adjustRightInd w:val="0"/>
              <w:spacing w:line="480" w:lineRule="auto"/>
              <w:rPr>
                <w:sz w:val="22"/>
                <w:szCs w:val="22"/>
              </w:rPr>
            </w:pPr>
            <w:r w:rsidRPr="008573C5">
              <w:rPr>
                <w:sz w:val="22"/>
                <w:szCs w:val="22"/>
              </w:rPr>
              <w:t>20.25***</w:t>
            </w:r>
          </w:p>
          <w:p w:rsidR="00E038A6" w:rsidRPr="008573C5" w:rsidRDefault="00E038A6" w:rsidP="00902653">
            <w:pPr>
              <w:autoSpaceDE w:val="0"/>
              <w:autoSpaceDN w:val="0"/>
              <w:adjustRightInd w:val="0"/>
              <w:spacing w:line="480" w:lineRule="auto"/>
              <w:rPr>
                <w:sz w:val="22"/>
                <w:szCs w:val="22"/>
              </w:rPr>
            </w:pPr>
            <w:r w:rsidRPr="008573C5">
              <w:rPr>
                <w:sz w:val="22"/>
                <w:szCs w:val="22"/>
              </w:rPr>
              <w:t>-4.501</w:t>
            </w:r>
          </w:p>
          <w:p w:rsidR="00E038A6" w:rsidRPr="008573C5" w:rsidRDefault="00E038A6" w:rsidP="00902653">
            <w:pPr>
              <w:autoSpaceDE w:val="0"/>
              <w:autoSpaceDN w:val="0"/>
              <w:adjustRightInd w:val="0"/>
              <w:spacing w:line="480" w:lineRule="auto"/>
              <w:rPr>
                <w:sz w:val="22"/>
                <w:szCs w:val="22"/>
              </w:rPr>
            </w:pPr>
          </w:p>
        </w:tc>
        <w:tc>
          <w:tcPr>
            <w:tcW w:w="1046"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(3.052)</w:t>
            </w:r>
          </w:p>
          <w:p w:rsidR="00E038A6" w:rsidRPr="008573C5" w:rsidRDefault="00E038A6" w:rsidP="00902653">
            <w:pPr>
              <w:autoSpaceDE w:val="0"/>
              <w:autoSpaceDN w:val="0"/>
              <w:adjustRightInd w:val="0"/>
              <w:spacing w:line="480" w:lineRule="auto"/>
              <w:rPr>
                <w:sz w:val="22"/>
                <w:szCs w:val="22"/>
              </w:rPr>
            </w:pPr>
            <w:r w:rsidRPr="008573C5">
              <w:rPr>
                <w:sz w:val="22"/>
                <w:szCs w:val="22"/>
              </w:rPr>
              <w:t>(0.825)</w:t>
            </w:r>
          </w:p>
          <w:p w:rsidR="00E038A6" w:rsidRPr="008573C5" w:rsidRDefault="00E038A6" w:rsidP="00902653">
            <w:pPr>
              <w:autoSpaceDE w:val="0"/>
              <w:autoSpaceDN w:val="0"/>
              <w:adjustRightInd w:val="0"/>
              <w:spacing w:line="480" w:lineRule="auto"/>
              <w:rPr>
                <w:sz w:val="22"/>
                <w:szCs w:val="22"/>
              </w:rPr>
            </w:pPr>
            <w:r w:rsidRPr="008573C5">
              <w:rPr>
                <w:sz w:val="22"/>
                <w:szCs w:val="22"/>
              </w:rPr>
              <w:t>(2.279)</w:t>
            </w:r>
          </w:p>
          <w:p w:rsidR="00E038A6" w:rsidRPr="008573C5" w:rsidRDefault="00E038A6" w:rsidP="00902653">
            <w:pPr>
              <w:autoSpaceDE w:val="0"/>
              <w:autoSpaceDN w:val="0"/>
              <w:adjustRightInd w:val="0"/>
              <w:spacing w:line="480" w:lineRule="auto"/>
              <w:rPr>
                <w:sz w:val="22"/>
                <w:szCs w:val="22"/>
              </w:rPr>
            </w:pPr>
            <w:r w:rsidRPr="008573C5">
              <w:rPr>
                <w:sz w:val="22"/>
                <w:szCs w:val="22"/>
              </w:rPr>
              <w:t>(1.550)</w:t>
            </w:r>
          </w:p>
          <w:p w:rsidR="00E038A6" w:rsidRPr="008573C5" w:rsidRDefault="00E038A6" w:rsidP="00902653">
            <w:pPr>
              <w:autoSpaceDE w:val="0"/>
              <w:autoSpaceDN w:val="0"/>
              <w:adjustRightInd w:val="0"/>
              <w:spacing w:line="480" w:lineRule="auto"/>
              <w:rPr>
                <w:sz w:val="22"/>
                <w:szCs w:val="22"/>
              </w:rPr>
            </w:pPr>
            <w:r w:rsidRPr="008573C5">
              <w:rPr>
                <w:sz w:val="22"/>
                <w:szCs w:val="22"/>
              </w:rPr>
              <w:t>(1.533)</w:t>
            </w:r>
          </w:p>
          <w:p w:rsidR="00E038A6" w:rsidRPr="008573C5" w:rsidRDefault="00E038A6" w:rsidP="00902653">
            <w:pPr>
              <w:autoSpaceDE w:val="0"/>
              <w:autoSpaceDN w:val="0"/>
              <w:adjustRightInd w:val="0"/>
              <w:spacing w:line="480" w:lineRule="auto"/>
              <w:rPr>
                <w:sz w:val="22"/>
                <w:szCs w:val="22"/>
              </w:rPr>
            </w:pPr>
            <w:r w:rsidRPr="008573C5">
              <w:rPr>
                <w:sz w:val="22"/>
                <w:szCs w:val="22"/>
              </w:rPr>
              <w:t>(0.472)</w:t>
            </w:r>
          </w:p>
          <w:p w:rsidR="00E038A6" w:rsidRPr="008573C5" w:rsidRDefault="00E038A6" w:rsidP="00902653">
            <w:pPr>
              <w:autoSpaceDE w:val="0"/>
              <w:autoSpaceDN w:val="0"/>
              <w:adjustRightInd w:val="0"/>
              <w:spacing w:line="480" w:lineRule="auto"/>
              <w:rPr>
                <w:sz w:val="22"/>
                <w:szCs w:val="22"/>
              </w:rPr>
            </w:pPr>
            <w:r w:rsidRPr="008573C5">
              <w:rPr>
                <w:sz w:val="22"/>
                <w:szCs w:val="22"/>
              </w:rPr>
              <w:t>(3.859)</w:t>
            </w:r>
          </w:p>
          <w:p w:rsidR="00E038A6" w:rsidRPr="008573C5" w:rsidRDefault="00E038A6" w:rsidP="00902653">
            <w:pPr>
              <w:autoSpaceDE w:val="0"/>
              <w:autoSpaceDN w:val="0"/>
              <w:adjustRightInd w:val="0"/>
              <w:spacing w:line="480" w:lineRule="auto"/>
              <w:rPr>
                <w:sz w:val="22"/>
                <w:szCs w:val="22"/>
              </w:rPr>
            </w:pPr>
            <w:r w:rsidRPr="008573C5">
              <w:rPr>
                <w:sz w:val="22"/>
                <w:szCs w:val="22"/>
              </w:rPr>
              <w:t>(0.395)</w:t>
            </w:r>
          </w:p>
          <w:p w:rsidR="00E038A6" w:rsidRPr="008573C5" w:rsidRDefault="00E038A6" w:rsidP="00902653">
            <w:pPr>
              <w:autoSpaceDE w:val="0"/>
              <w:autoSpaceDN w:val="0"/>
              <w:adjustRightInd w:val="0"/>
              <w:spacing w:line="480" w:lineRule="auto"/>
              <w:rPr>
                <w:sz w:val="22"/>
                <w:szCs w:val="22"/>
              </w:rPr>
            </w:pPr>
          </w:p>
        </w:tc>
        <w:tc>
          <w:tcPr>
            <w:tcW w:w="1170"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0.630***</w:t>
            </w:r>
          </w:p>
          <w:p w:rsidR="00E038A6" w:rsidRPr="008573C5" w:rsidRDefault="00E038A6" w:rsidP="00902653">
            <w:pPr>
              <w:autoSpaceDE w:val="0"/>
              <w:autoSpaceDN w:val="0"/>
              <w:adjustRightInd w:val="0"/>
              <w:spacing w:line="480" w:lineRule="auto"/>
              <w:rPr>
                <w:sz w:val="22"/>
                <w:szCs w:val="22"/>
              </w:rPr>
            </w:pPr>
            <w:r w:rsidRPr="008573C5">
              <w:rPr>
                <w:sz w:val="22"/>
                <w:szCs w:val="22"/>
              </w:rPr>
              <w:t>0.073</w:t>
            </w:r>
          </w:p>
          <w:p w:rsidR="00E038A6" w:rsidRPr="008573C5" w:rsidRDefault="00E038A6" w:rsidP="00902653">
            <w:pPr>
              <w:autoSpaceDE w:val="0"/>
              <w:autoSpaceDN w:val="0"/>
              <w:adjustRightInd w:val="0"/>
              <w:spacing w:line="480" w:lineRule="auto"/>
              <w:rPr>
                <w:sz w:val="22"/>
                <w:szCs w:val="22"/>
              </w:rPr>
            </w:pPr>
            <w:r w:rsidRPr="008573C5">
              <w:rPr>
                <w:sz w:val="22"/>
                <w:szCs w:val="22"/>
              </w:rPr>
              <w:t>0.137*</w:t>
            </w:r>
          </w:p>
          <w:p w:rsidR="00E038A6" w:rsidRPr="008573C5" w:rsidRDefault="00E038A6" w:rsidP="00902653">
            <w:pPr>
              <w:autoSpaceDE w:val="0"/>
              <w:autoSpaceDN w:val="0"/>
              <w:adjustRightInd w:val="0"/>
              <w:spacing w:line="480" w:lineRule="auto"/>
              <w:rPr>
                <w:sz w:val="22"/>
                <w:szCs w:val="22"/>
              </w:rPr>
            </w:pPr>
            <w:r w:rsidRPr="008573C5">
              <w:rPr>
                <w:sz w:val="22"/>
                <w:szCs w:val="22"/>
              </w:rPr>
              <w:t>-0.081</w:t>
            </w:r>
          </w:p>
          <w:p w:rsidR="00E038A6" w:rsidRPr="008573C5" w:rsidRDefault="00E038A6" w:rsidP="00902653">
            <w:pPr>
              <w:autoSpaceDE w:val="0"/>
              <w:autoSpaceDN w:val="0"/>
              <w:adjustRightInd w:val="0"/>
              <w:spacing w:line="480" w:lineRule="auto"/>
              <w:rPr>
                <w:sz w:val="22"/>
                <w:szCs w:val="22"/>
              </w:rPr>
            </w:pPr>
            <w:r w:rsidRPr="008573C5">
              <w:rPr>
                <w:sz w:val="22"/>
                <w:szCs w:val="22"/>
              </w:rPr>
              <w:t>-0.148</w:t>
            </w:r>
          </w:p>
          <w:p w:rsidR="00E038A6" w:rsidRPr="008573C5" w:rsidRDefault="00E038A6" w:rsidP="00902653">
            <w:pPr>
              <w:autoSpaceDE w:val="0"/>
              <w:autoSpaceDN w:val="0"/>
              <w:adjustRightInd w:val="0"/>
              <w:spacing w:line="480" w:lineRule="auto"/>
              <w:rPr>
                <w:sz w:val="22"/>
                <w:szCs w:val="22"/>
              </w:rPr>
            </w:pPr>
            <w:r w:rsidRPr="008573C5">
              <w:rPr>
                <w:sz w:val="22"/>
                <w:szCs w:val="22"/>
              </w:rPr>
              <w:t>10.990**</w:t>
            </w:r>
          </w:p>
          <w:p w:rsidR="00E038A6" w:rsidRPr="008573C5" w:rsidRDefault="00E038A6" w:rsidP="00902653">
            <w:pPr>
              <w:autoSpaceDE w:val="0"/>
              <w:autoSpaceDN w:val="0"/>
              <w:adjustRightInd w:val="0"/>
              <w:spacing w:line="480" w:lineRule="auto"/>
              <w:rPr>
                <w:sz w:val="22"/>
                <w:szCs w:val="22"/>
              </w:rPr>
            </w:pPr>
            <w:r w:rsidRPr="008573C5">
              <w:rPr>
                <w:sz w:val="22"/>
                <w:szCs w:val="22"/>
              </w:rPr>
              <w:t>15.316***</w:t>
            </w:r>
            <w:r w:rsidRPr="008573C5">
              <w:rPr>
                <w:sz w:val="22"/>
                <w:szCs w:val="22"/>
              </w:rPr>
              <w:cr/>
              <w:t>-11.798</w:t>
            </w:r>
          </w:p>
          <w:p w:rsidR="00E038A6" w:rsidRPr="008573C5" w:rsidRDefault="00E038A6" w:rsidP="00902653">
            <w:pPr>
              <w:autoSpaceDE w:val="0"/>
              <w:autoSpaceDN w:val="0"/>
              <w:adjustRightInd w:val="0"/>
              <w:spacing w:line="480" w:lineRule="auto"/>
              <w:rPr>
                <w:sz w:val="22"/>
                <w:szCs w:val="22"/>
              </w:rPr>
            </w:pPr>
          </w:p>
        </w:tc>
        <w:tc>
          <w:tcPr>
            <w:tcW w:w="990"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(7.232)</w:t>
            </w:r>
          </w:p>
          <w:p w:rsidR="00E038A6" w:rsidRPr="008573C5" w:rsidRDefault="00E038A6" w:rsidP="00902653">
            <w:pPr>
              <w:autoSpaceDE w:val="0"/>
              <w:autoSpaceDN w:val="0"/>
              <w:adjustRightInd w:val="0"/>
              <w:spacing w:line="480" w:lineRule="auto"/>
              <w:rPr>
                <w:sz w:val="22"/>
                <w:szCs w:val="22"/>
              </w:rPr>
            </w:pPr>
            <w:r w:rsidRPr="008573C5">
              <w:rPr>
                <w:sz w:val="22"/>
                <w:szCs w:val="22"/>
              </w:rPr>
              <w:t>(1.001)</w:t>
            </w:r>
          </w:p>
          <w:p w:rsidR="00E038A6" w:rsidRPr="008573C5" w:rsidRDefault="00E038A6" w:rsidP="00902653">
            <w:pPr>
              <w:autoSpaceDE w:val="0"/>
              <w:autoSpaceDN w:val="0"/>
              <w:adjustRightInd w:val="0"/>
              <w:spacing w:line="480" w:lineRule="auto"/>
              <w:rPr>
                <w:sz w:val="22"/>
                <w:szCs w:val="22"/>
              </w:rPr>
            </w:pPr>
            <w:r w:rsidRPr="008573C5">
              <w:rPr>
                <w:sz w:val="22"/>
                <w:szCs w:val="22"/>
              </w:rPr>
              <w:t>(1.729)</w:t>
            </w:r>
          </w:p>
          <w:p w:rsidR="00E038A6" w:rsidRPr="008573C5" w:rsidRDefault="00E038A6" w:rsidP="00902653">
            <w:pPr>
              <w:autoSpaceDE w:val="0"/>
              <w:autoSpaceDN w:val="0"/>
              <w:adjustRightInd w:val="0"/>
              <w:spacing w:line="480" w:lineRule="auto"/>
              <w:rPr>
                <w:sz w:val="22"/>
                <w:szCs w:val="22"/>
              </w:rPr>
            </w:pPr>
            <w:r w:rsidRPr="008573C5">
              <w:rPr>
                <w:sz w:val="22"/>
                <w:szCs w:val="22"/>
              </w:rPr>
              <w:t>(1.023)</w:t>
            </w:r>
          </w:p>
          <w:p w:rsidR="00E038A6" w:rsidRPr="008573C5" w:rsidRDefault="00E038A6" w:rsidP="00902653">
            <w:pPr>
              <w:autoSpaceDE w:val="0"/>
              <w:autoSpaceDN w:val="0"/>
              <w:adjustRightInd w:val="0"/>
              <w:spacing w:line="480" w:lineRule="auto"/>
              <w:rPr>
                <w:sz w:val="22"/>
                <w:szCs w:val="22"/>
              </w:rPr>
            </w:pPr>
            <w:r w:rsidRPr="008573C5">
              <w:rPr>
                <w:sz w:val="22"/>
                <w:szCs w:val="22"/>
              </w:rPr>
              <w:t>(1.664)</w:t>
            </w:r>
          </w:p>
          <w:p w:rsidR="00E038A6" w:rsidRPr="008573C5" w:rsidRDefault="00E038A6" w:rsidP="00902653">
            <w:pPr>
              <w:autoSpaceDE w:val="0"/>
              <w:autoSpaceDN w:val="0"/>
              <w:adjustRightInd w:val="0"/>
              <w:spacing w:line="480" w:lineRule="auto"/>
              <w:rPr>
                <w:sz w:val="22"/>
                <w:szCs w:val="22"/>
              </w:rPr>
            </w:pPr>
            <w:r w:rsidRPr="008573C5">
              <w:rPr>
                <w:sz w:val="22"/>
                <w:szCs w:val="22"/>
              </w:rPr>
              <w:t>(2.076)</w:t>
            </w:r>
          </w:p>
          <w:p w:rsidR="00E038A6" w:rsidRPr="008573C5" w:rsidRDefault="00E038A6" w:rsidP="00902653">
            <w:pPr>
              <w:autoSpaceDE w:val="0"/>
              <w:autoSpaceDN w:val="0"/>
              <w:adjustRightInd w:val="0"/>
              <w:spacing w:line="480" w:lineRule="auto"/>
              <w:rPr>
                <w:sz w:val="22"/>
                <w:szCs w:val="22"/>
              </w:rPr>
            </w:pPr>
            <w:r w:rsidRPr="008573C5">
              <w:rPr>
                <w:sz w:val="22"/>
                <w:szCs w:val="22"/>
              </w:rPr>
              <w:t>(3.316)</w:t>
            </w:r>
          </w:p>
          <w:p w:rsidR="00E038A6" w:rsidRPr="008573C5" w:rsidRDefault="00E038A6" w:rsidP="00EC67E4">
            <w:pPr>
              <w:autoSpaceDE w:val="0"/>
              <w:autoSpaceDN w:val="0"/>
              <w:adjustRightInd w:val="0"/>
              <w:spacing w:line="480" w:lineRule="auto"/>
              <w:rPr>
                <w:sz w:val="22"/>
                <w:szCs w:val="22"/>
              </w:rPr>
            </w:pPr>
            <w:r w:rsidRPr="008573C5">
              <w:rPr>
                <w:sz w:val="22"/>
                <w:szCs w:val="22"/>
              </w:rPr>
              <w:t>(1.176)</w:t>
            </w:r>
          </w:p>
        </w:tc>
        <w:tc>
          <w:tcPr>
            <w:tcW w:w="1080"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0.363***</w:t>
            </w:r>
          </w:p>
          <w:p w:rsidR="00E038A6" w:rsidRPr="008573C5" w:rsidRDefault="00E038A6" w:rsidP="00902653">
            <w:pPr>
              <w:autoSpaceDE w:val="0"/>
              <w:autoSpaceDN w:val="0"/>
              <w:adjustRightInd w:val="0"/>
              <w:spacing w:line="480" w:lineRule="auto"/>
              <w:rPr>
                <w:sz w:val="22"/>
                <w:szCs w:val="22"/>
              </w:rPr>
            </w:pPr>
            <w:r w:rsidRPr="008573C5">
              <w:rPr>
                <w:sz w:val="22"/>
                <w:szCs w:val="22"/>
              </w:rPr>
              <w:t>0.073</w:t>
            </w:r>
          </w:p>
          <w:p w:rsidR="00E038A6" w:rsidRPr="008573C5" w:rsidRDefault="00E038A6" w:rsidP="00902653">
            <w:pPr>
              <w:autoSpaceDE w:val="0"/>
              <w:autoSpaceDN w:val="0"/>
              <w:adjustRightInd w:val="0"/>
              <w:spacing w:line="480" w:lineRule="auto"/>
              <w:rPr>
                <w:sz w:val="22"/>
                <w:szCs w:val="22"/>
              </w:rPr>
            </w:pPr>
            <w:r w:rsidRPr="008573C5">
              <w:rPr>
                <w:sz w:val="22"/>
                <w:szCs w:val="22"/>
              </w:rPr>
              <w:t>-0.209*</w:t>
            </w:r>
          </w:p>
          <w:p w:rsidR="00E038A6" w:rsidRPr="008573C5" w:rsidRDefault="00E038A6" w:rsidP="00902653">
            <w:pPr>
              <w:autoSpaceDE w:val="0"/>
              <w:autoSpaceDN w:val="0"/>
              <w:adjustRightInd w:val="0"/>
              <w:spacing w:line="480" w:lineRule="auto"/>
              <w:rPr>
                <w:sz w:val="22"/>
                <w:szCs w:val="22"/>
              </w:rPr>
            </w:pPr>
            <w:r w:rsidRPr="008573C5">
              <w:rPr>
                <w:sz w:val="22"/>
                <w:szCs w:val="22"/>
              </w:rPr>
              <w:t>0.195</w:t>
            </w:r>
          </w:p>
          <w:p w:rsidR="00E038A6" w:rsidRPr="008573C5" w:rsidRDefault="00E038A6" w:rsidP="00902653">
            <w:pPr>
              <w:autoSpaceDE w:val="0"/>
              <w:autoSpaceDN w:val="0"/>
              <w:adjustRightInd w:val="0"/>
              <w:spacing w:line="480" w:lineRule="auto"/>
              <w:rPr>
                <w:sz w:val="22"/>
                <w:szCs w:val="22"/>
              </w:rPr>
            </w:pPr>
            <w:r w:rsidRPr="008573C5">
              <w:rPr>
                <w:sz w:val="22"/>
                <w:szCs w:val="22"/>
              </w:rPr>
              <w:t>0.169</w:t>
            </w:r>
          </w:p>
          <w:p w:rsidR="00E038A6" w:rsidRPr="008573C5" w:rsidRDefault="00E038A6" w:rsidP="00902653">
            <w:pPr>
              <w:autoSpaceDE w:val="0"/>
              <w:autoSpaceDN w:val="0"/>
              <w:adjustRightInd w:val="0"/>
              <w:spacing w:line="480" w:lineRule="auto"/>
              <w:rPr>
                <w:sz w:val="22"/>
                <w:szCs w:val="22"/>
              </w:rPr>
            </w:pPr>
            <w:r w:rsidRPr="008573C5">
              <w:rPr>
                <w:sz w:val="22"/>
                <w:szCs w:val="22"/>
              </w:rPr>
              <w:t>-3.539</w:t>
            </w:r>
          </w:p>
          <w:p w:rsidR="00E038A6" w:rsidRPr="008573C5" w:rsidRDefault="00E038A6" w:rsidP="00902653">
            <w:pPr>
              <w:autoSpaceDE w:val="0"/>
              <w:autoSpaceDN w:val="0"/>
              <w:adjustRightInd w:val="0"/>
              <w:spacing w:line="480" w:lineRule="auto"/>
              <w:rPr>
                <w:sz w:val="22"/>
                <w:szCs w:val="22"/>
              </w:rPr>
            </w:pPr>
            <w:r w:rsidRPr="008573C5">
              <w:rPr>
                <w:sz w:val="22"/>
                <w:szCs w:val="22"/>
              </w:rPr>
              <w:t>14.627**</w:t>
            </w:r>
            <w:r w:rsidRPr="008573C5">
              <w:rPr>
                <w:sz w:val="22"/>
                <w:szCs w:val="22"/>
              </w:rPr>
              <w:cr/>
              <w:t>13.735</w:t>
            </w:r>
          </w:p>
          <w:p w:rsidR="00E038A6" w:rsidRPr="008573C5" w:rsidRDefault="00E038A6" w:rsidP="00902653">
            <w:pPr>
              <w:autoSpaceDE w:val="0"/>
              <w:autoSpaceDN w:val="0"/>
              <w:adjustRightInd w:val="0"/>
              <w:spacing w:line="480" w:lineRule="auto"/>
              <w:rPr>
                <w:sz w:val="22"/>
                <w:szCs w:val="22"/>
              </w:rPr>
            </w:pPr>
          </w:p>
        </w:tc>
        <w:tc>
          <w:tcPr>
            <w:tcW w:w="990" w:type="dxa"/>
          </w:tcPr>
          <w:p w:rsidR="00E038A6" w:rsidRPr="008573C5" w:rsidRDefault="00E038A6" w:rsidP="00902653">
            <w:pPr>
              <w:autoSpaceDE w:val="0"/>
              <w:autoSpaceDN w:val="0"/>
              <w:adjustRightInd w:val="0"/>
              <w:spacing w:line="480" w:lineRule="auto"/>
              <w:rPr>
                <w:sz w:val="22"/>
                <w:szCs w:val="22"/>
              </w:rPr>
            </w:pPr>
            <w:r w:rsidRPr="008573C5">
              <w:rPr>
                <w:sz w:val="22"/>
                <w:szCs w:val="22"/>
              </w:rPr>
              <w:t>(2.993)</w:t>
            </w:r>
          </w:p>
          <w:p w:rsidR="00E038A6" w:rsidRPr="008573C5" w:rsidRDefault="00E038A6" w:rsidP="00902653">
            <w:pPr>
              <w:autoSpaceDE w:val="0"/>
              <w:autoSpaceDN w:val="0"/>
              <w:adjustRightInd w:val="0"/>
              <w:spacing w:line="480" w:lineRule="auto"/>
              <w:rPr>
                <w:sz w:val="22"/>
                <w:szCs w:val="22"/>
              </w:rPr>
            </w:pPr>
            <w:r w:rsidRPr="008573C5">
              <w:rPr>
                <w:sz w:val="22"/>
                <w:szCs w:val="22"/>
              </w:rPr>
              <w:t>(0.719)</w:t>
            </w:r>
          </w:p>
          <w:p w:rsidR="00E038A6" w:rsidRPr="008573C5" w:rsidRDefault="00E038A6" w:rsidP="00902653">
            <w:pPr>
              <w:autoSpaceDE w:val="0"/>
              <w:autoSpaceDN w:val="0"/>
              <w:adjustRightInd w:val="0"/>
              <w:spacing w:line="480" w:lineRule="auto"/>
              <w:rPr>
                <w:sz w:val="22"/>
                <w:szCs w:val="22"/>
              </w:rPr>
            </w:pPr>
            <w:r w:rsidRPr="008573C5">
              <w:rPr>
                <w:sz w:val="22"/>
                <w:szCs w:val="22"/>
              </w:rPr>
              <w:t>(1.898)</w:t>
            </w:r>
          </w:p>
          <w:p w:rsidR="00E038A6" w:rsidRPr="008573C5" w:rsidRDefault="00E038A6" w:rsidP="00902653">
            <w:pPr>
              <w:autoSpaceDE w:val="0"/>
              <w:autoSpaceDN w:val="0"/>
              <w:adjustRightInd w:val="0"/>
              <w:spacing w:line="480" w:lineRule="auto"/>
              <w:rPr>
                <w:sz w:val="22"/>
                <w:szCs w:val="22"/>
              </w:rPr>
            </w:pPr>
            <w:r w:rsidRPr="008573C5">
              <w:rPr>
                <w:sz w:val="22"/>
                <w:szCs w:val="22"/>
              </w:rPr>
              <w:t>(1.765)</w:t>
            </w:r>
          </w:p>
          <w:p w:rsidR="00E038A6" w:rsidRPr="008573C5" w:rsidRDefault="00E038A6" w:rsidP="00902653">
            <w:pPr>
              <w:autoSpaceDE w:val="0"/>
              <w:autoSpaceDN w:val="0"/>
              <w:adjustRightInd w:val="0"/>
              <w:spacing w:line="480" w:lineRule="auto"/>
              <w:rPr>
                <w:sz w:val="22"/>
                <w:szCs w:val="22"/>
              </w:rPr>
            </w:pPr>
            <w:r w:rsidRPr="008573C5">
              <w:rPr>
                <w:sz w:val="22"/>
                <w:szCs w:val="22"/>
              </w:rPr>
              <w:t>(1.365)</w:t>
            </w:r>
          </w:p>
          <w:p w:rsidR="00E038A6" w:rsidRPr="008573C5" w:rsidRDefault="00E038A6" w:rsidP="00902653">
            <w:pPr>
              <w:autoSpaceDE w:val="0"/>
              <w:autoSpaceDN w:val="0"/>
              <w:adjustRightInd w:val="0"/>
              <w:spacing w:line="480" w:lineRule="auto"/>
              <w:rPr>
                <w:sz w:val="22"/>
                <w:szCs w:val="22"/>
              </w:rPr>
            </w:pPr>
            <w:r w:rsidRPr="008573C5">
              <w:rPr>
                <w:sz w:val="22"/>
                <w:szCs w:val="22"/>
              </w:rPr>
              <w:t>(0.480)</w:t>
            </w:r>
          </w:p>
          <w:p w:rsidR="00E038A6" w:rsidRPr="008573C5" w:rsidRDefault="00E038A6" w:rsidP="00902653">
            <w:pPr>
              <w:autoSpaceDE w:val="0"/>
              <w:autoSpaceDN w:val="0"/>
              <w:adjustRightInd w:val="0"/>
              <w:spacing w:line="480" w:lineRule="auto"/>
              <w:rPr>
                <w:sz w:val="22"/>
                <w:szCs w:val="22"/>
              </w:rPr>
            </w:pPr>
            <w:r w:rsidRPr="008573C5">
              <w:rPr>
                <w:sz w:val="22"/>
                <w:szCs w:val="22"/>
              </w:rPr>
              <w:t>(2.276)</w:t>
            </w:r>
          </w:p>
          <w:p w:rsidR="00E038A6" w:rsidRPr="008573C5" w:rsidRDefault="00E038A6" w:rsidP="00856AED">
            <w:pPr>
              <w:autoSpaceDE w:val="0"/>
              <w:autoSpaceDN w:val="0"/>
              <w:adjustRightInd w:val="0"/>
              <w:spacing w:line="480" w:lineRule="auto"/>
              <w:rPr>
                <w:sz w:val="22"/>
                <w:szCs w:val="22"/>
              </w:rPr>
            </w:pPr>
            <w:r w:rsidRPr="008573C5">
              <w:rPr>
                <w:sz w:val="22"/>
                <w:szCs w:val="22"/>
              </w:rPr>
              <w:t>(0.984)</w:t>
            </w:r>
          </w:p>
        </w:tc>
      </w:tr>
      <w:tr w:rsidR="00E038A6" w:rsidRPr="008573C5" w:rsidTr="00BD1981">
        <w:tc>
          <w:tcPr>
            <w:tcW w:w="153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Number of cases</w:t>
            </w:r>
          </w:p>
        </w:tc>
        <w:tc>
          <w:tcPr>
            <w:tcW w:w="1226"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86</w:t>
            </w:r>
          </w:p>
        </w:tc>
        <w:tc>
          <w:tcPr>
            <w:tcW w:w="990" w:type="dxa"/>
          </w:tcPr>
          <w:p w:rsidR="00E038A6" w:rsidRPr="008573C5" w:rsidRDefault="00E038A6" w:rsidP="00902653">
            <w:pPr>
              <w:autoSpaceDE w:val="0"/>
              <w:autoSpaceDN w:val="0"/>
              <w:adjustRightInd w:val="0"/>
              <w:spacing w:line="480" w:lineRule="auto"/>
              <w:rPr>
                <w:b/>
                <w:sz w:val="22"/>
                <w:szCs w:val="22"/>
              </w:rPr>
            </w:pPr>
          </w:p>
        </w:tc>
        <w:tc>
          <w:tcPr>
            <w:tcW w:w="1204"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86</w:t>
            </w:r>
          </w:p>
        </w:tc>
        <w:tc>
          <w:tcPr>
            <w:tcW w:w="1046" w:type="dxa"/>
          </w:tcPr>
          <w:p w:rsidR="00E038A6" w:rsidRPr="008573C5" w:rsidRDefault="00E038A6" w:rsidP="00902653">
            <w:pPr>
              <w:autoSpaceDE w:val="0"/>
              <w:autoSpaceDN w:val="0"/>
              <w:adjustRightInd w:val="0"/>
              <w:spacing w:line="480" w:lineRule="auto"/>
              <w:rPr>
                <w:b/>
                <w:sz w:val="22"/>
                <w:szCs w:val="22"/>
              </w:rPr>
            </w:pPr>
          </w:p>
        </w:tc>
        <w:tc>
          <w:tcPr>
            <w:tcW w:w="117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86</w:t>
            </w:r>
          </w:p>
        </w:tc>
        <w:tc>
          <w:tcPr>
            <w:tcW w:w="990" w:type="dxa"/>
          </w:tcPr>
          <w:p w:rsidR="00E038A6" w:rsidRPr="008573C5" w:rsidRDefault="00E038A6" w:rsidP="00902653">
            <w:pPr>
              <w:autoSpaceDE w:val="0"/>
              <w:autoSpaceDN w:val="0"/>
              <w:adjustRightInd w:val="0"/>
              <w:spacing w:line="480" w:lineRule="auto"/>
              <w:rPr>
                <w:b/>
                <w:sz w:val="22"/>
                <w:szCs w:val="22"/>
              </w:rPr>
            </w:pPr>
          </w:p>
        </w:tc>
        <w:tc>
          <w:tcPr>
            <w:tcW w:w="108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86</w:t>
            </w:r>
          </w:p>
        </w:tc>
        <w:tc>
          <w:tcPr>
            <w:tcW w:w="990" w:type="dxa"/>
          </w:tcPr>
          <w:p w:rsidR="00E038A6" w:rsidRPr="008573C5" w:rsidRDefault="00E038A6" w:rsidP="00902653">
            <w:pPr>
              <w:autoSpaceDE w:val="0"/>
              <w:autoSpaceDN w:val="0"/>
              <w:adjustRightInd w:val="0"/>
              <w:spacing w:line="480" w:lineRule="auto"/>
              <w:rPr>
                <w:b/>
                <w:sz w:val="22"/>
                <w:szCs w:val="22"/>
              </w:rPr>
            </w:pPr>
          </w:p>
        </w:tc>
      </w:tr>
      <w:tr w:rsidR="00E038A6" w:rsidRPr="008573C5" w:rsidTr="00BD1981">
        <w:tc>
          <w:tcPr>
            <w:tcW w:w="1530" w:type="dxa"/>
          </w:tcPr>
          <w:p w:rsidR="00E038A6" w:rsidRPr="008573C5" w:rsidRDefault="00E038A6" w:rsidP="00902653">
            <w:pPr>
              <w:autoSpaceDE w:val="0"/>
              <w:autoSpaceDN w:val="0"/>
              <w:adjustRightInd w:val="0"/>
              <w:spacing w:line="480" w:lineRule="auto"/>
              <w:jc w:val="both"/>
              <w:rPr>
                <w:b/>
                <w:sz w:val="22"/>
                <w:szCs w:val="22"/>
                <w:vertAlign w:val="superscript"/>
              </w:rPr>
            </w:pPr>
            <w:r w:rsidRPr="008573C5">
              <w:rPr>
                <w:b/>
                <w:sz w:val="22"/>
                <w:szCs w:val="22"/>
              </w:rPr>
              <w:t>R</w:t>
            </w:r>
            <w:r w:rsidRPr="008573C5">
              <w:rPr>
                <w:b/>
                <w:sz w:val="22"/>
                <w:szCs w:val="22"/>
                <w:vertAlign w:val="superscript"/>
              </w:rPr>
              <w:t>2</w:t>
            </w:r>
          </w:p>
        </w:tc>
        <w:tc>
          <w:tcPr>
            <w:tcW w:w="1226"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0.620</w:t>
            </w:r>
          </w:p>
        </w:tc>
        <w:tc>
          <w:tcPr>
            <w:tcW w:w="990" w:type="dxa"/>
          </w:tcPr>
          <w:p w:rsidR="00E038A6" w:rsidRPr="008573C5" w:rsidRDefault="00E038A6" w:rsidP="00902653">
            <w:pPr>
              <w:autoSpaceDE w:val="0"/>
              <w:autoSpaceDN w:val="0"/>
              <w:adjustRightInd w:val="0"/>
              <w:spacing w:line="480" w:lineRule="auto"/>
              <w:rPr>
                <w:b/>
                <w:sz w:val="22"/>
                <w:szCs w:val="22"/>
              </w:rPr>
            </w:pPr>
          </w:p>
        </w:tc>
        <w:tc>
          <w:tcPr>
            <w:tcW w:w="1204"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0.514</w:t>
            </w:r>
          </w:p>
        </w:tc>
        <w:tc>
          <w:tcPr>
            <w:tcW w:w="1046" w:type="dxa"/>
          </w:tcPr>
          <w:p w:rsidR="00E038A6" w:rsidRPr="008573C5" w:rsidRDefault="00E038A6" w:rsidP="00902653">
            <w:pPr>
              <w:autoSpaceDE w:val="0"/>
              <w:autoSpaceDN w:val="0"/>
              <w:adjustRightInd w:val="0"/>
              <w:spacing w:line="480" w:lineRule="auto"/>
              <w:rPr>
                <w:b/>
                <w:sz w:val="22"/>
                <w:szCs w:val="22"/>
              </w:rPr>
            </w:pPr>
          </w:p>
        </w:tc>
        <w:tc>
          <w:tcPr>
            <w:tcW w:w="117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0.623</w:t>
            </w:r>
          </w:p>
        </w:tc>
        <w:tc>
          <w:tcPr>
            <w:tcW w:w="990" w:type="dxa"/>
          </w:tcPr>
          <w:p w:rsidR="00E038A6" w:rsidRPr="008573C5" w:rsidRDefault="00E038A6" w:rsidP="00902653">
            <w:pPr>
              <w:autoSpaceDE w:val="0"/>
              <w:autoSpaceDN w:val="0"/>
              <w:adjustRightInd w:val="0"/>
              <w:spacing w:line="480" w:lineRule="auto"/>
              <w:rPr>
                <w:b/>
                <w:sz w:val="22"/>
                <w:szCs w:val="22"/>
              </w:rPr>
            </w:pPr>
          </w:p>
        </w:tc>
        <w:tc>
          <w:tcPr>
            <w:tcW w:w="108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0.299</w:t>
            </w:r>
          </w:p>
        </w:tc>
        <w:tc>
          <w:tcPr>
            <w:tcW w:w="990" w:type="dxa"/>
          </w:tcPr>
          <w:p w:rsidR="00E038A6" w:rsidRPr="008573C5" w:rsidRDefault="00E038A6" w:rsidP="00902653">
            <w:pPr>
              <w:autoSpaceDE w:val="0"/>
              <w:autoSpaceDN w:val="0"/>
              <w:adjustRightInd w:val="0"/>
              <w:spacing w:line="480" w:lineRule="auto"/>
              <w:rPr>
                <w:b/>
                <w:sz w:val="22"/>
                <w:szCs w:val="22"/>
              </w:rPr>
            </w:pPr>
          </w:p>
        </w:tc>
      </w:tr>
      <w:tr w:rsidR="00E038A6" w:rsidRPr="008573C5" w:rsidTr="00BD1981">
        <w:trPr>
          <w:trHeight w:val="70"/>
        </w:trPr>
        <w:tc>
          <w:tcPr>
            <w:tcW w:w="1530" w:type="dxa"/>
          </w:tcPr>
          <w:p w:rsidR="00E038A6" w:rsidRPr="008573C5" w:rsidRDefault="00E038A6" w:rsidP="00902653">
            <w:pPr>
              <w:autoSpaceDE w:val="0"/>
              <w:autoSpaceDN w:val="0"/>
              <w:adjustRightInd w:val="0"/>
              <w:spacing w:line="480" w:lineRule="auto"/>
              <w:jc w:val="both"/>
              <w:rPr>
                <w:b/>
                <w:sz w:val="22"/>
                <w:szCs w:val="22"/>
                <w:vertAlign w:val="superscript"/>
              </w:rPr>
            </w:pPr>
            <w:r w:rsidRPr="008573C5">
              <w:rPr>
                <w:b/>
                <w:sz w:val="22"/>
                <w:szCs w:val="22"/>
              </w:rPr>
              <w:t>Adjusted R</w:t>
            </w:r>
            <w:r w:rsidRPr="008573C5">
              <w:rPr>
                <w:b/>
                <w:sz w:val="22"/>
                <w:szCs w:val="22"/>
                <w:vertAlign w:val="superscript"/>
              </w:rPr>
              <w:t>2</w:t>
            </w:r>
          </w:p>
        </w:tc>
        <w:tc>
          <w:tcPr>
            <w:tcW w:w="1226"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0.585</w:t>
            </w:r>
          </w:p>
        </w:tc>
        <w:tc>
          <w:tcPr>
            <w:tcW w:w="990" w:type="dxa"/>
          </w:tcPr>
          <w:p w:rsidR="00E038A6" w:rsidRPr="008573C5" w:rsidRDefault="00E038A6" w:rsidP="00902653">
            <w:pPr>
              <w:autoSpaceDE w:val="0"/>
              <w:autoSpaceDN w:val="0"/>
              <w:adjustRightInd w:val="0"/>
              <w:spacing w:line="480" w:lineRule="auto"/>
              <w:rPr>
                <w:b/>
                <w:sz w:val="22"/>
                <w:szCs w:val="22"/>
              </w:rPr>
            </w:pPr>
          </w:p>
        </w:tc>
        <w:tc>
          <w:tcPr>
            <w:tcW w:w="1204"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0.470</w:t>
            </w:r>
          </w:p>
        </w:tc>
        <w:tc>
          <w:tcPr>
            <w:tcW w:w="1046" w:type="dxa"/>
          </w:tcPr>
          <w:p w:rsidR="00E038A6" w:rsidRPr="008573C5" w:rsidRDefault="00E038A6" w:rsidP="00902653">
            <w:pPr>
              <w:autoSpaceDE w:val="0"/>
              <w:autoSpaceDN w:val="0"/>
              <w:adjustRightInd w:val="0"/>
              <w:spacing w:line="480" w:lineRule="auto"/>
              <w:rPr>
                <w:b/>
                <w:sz w:val="22"/>
                <w:szCs w:val="22"/>
              </w:rPr>
            </w:pPr>
          </w:p>
        </w:tc>
        <w:tc>
          <w:tcPr>
            <w:tcW w:w="117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0.590</w:t>
            </w:r>
          </w:p>
        </w:tc>
        <w:tc>
          <w:tcPr>
            <w:tcW w:w="990" w:type="dxa"/>
          </w:tcPr>
          <w:p w:rsidR="00E038A6" w:rsidRPr="008573C5" w:rsidRDefault="00E038A6" w:rsidP="00902653">
            <w:pPr>
              <w:autoSpaceDE w:val="0"/>
              <w:autoSpaceDN w:val="0"/>
              <w:adjustRightInd w:val="0"/>
              <w:spacing w:line="480" w:lineRule="auto"/>
              <w:rPr>
                <w:b/>
                <w:sz w:val="22"/>
                <w:szCs w:val="22"/>
              </w:rPr>
            </w:pPr>
          </w:p>
        </w:tc>
        <w:tc>
          <w:tcPr>
            <w:tcW w:w="108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0.236</w:t>
            </w:r>
          </w:p>
        </w:tc>
        <w:tc>
          <w:tcPr>
            <w:tcW w:w="990" w:type="dxa"/>
          </w:tcPr>
          <w:p w:rsidR="00E038A6" w:rsidRPr="008573C5" w:rsidRDefault="00E038A6" w:rsidP="00902653">
            <w:pPr>
              <w:autoSpaceDE w:val="0"/>
              <w:autoSpaceDN w:val="0"/>
              <w:adjustRightInd w:val="0"/>
              <w:spacing w:line="480" w:lineRule="auto"/>
              <w:rPr>
                <w:b/>
                <w:sz w:val="22"/>
                <w:szCs w:val="22"/>
              </w:rPr>
            </w:pPr>
          </w:p>
        </w:tc>
      </w:tr>
      <w:tr w:rsidR="00E038A6" w:rsidRPr="008573C5" w:rsidTr="00BD1981">
        <w:tc>
          <w:tcPr>
            <w:tcW w:w="1530" w:type="dxa"/>
          </w:tcPr>
          <w:p w:rsidR="00E038A6" w:rsidRPr="008573C5" w:rsidRDefault="00B57843" w:rsidP="00902653">
            <w:pPr>
              <w:autoSpaceDE w:val="0"/>
              <w:autoSpaceDN w:val="0"/>
              <w:adjustRightInd w:val="0"/>
              <w:spacing w:line="480" w:lineRule="auto"/>
              <w:jc w:val="both"/>
              <w:rPr>
                <w:b/>
                <w:sz w:val="22"/>
                <w:szCs w:val="22"/>
              </w:rPr>
            </w:pPr>
            <w:r w:rsidRPr="008573C5">
              <w:rPr>
                <w:b/>
                <w:sz w:val="22"/>
                <w:szCs w:val="22"/>
              </w:rPr>
              <w:t>F- Statistics</w:t>
            </w:r>
          </w:p>
        </w:tc>
        <w:tc>
          <w:tcPr>
            <w:tcW w:w="1226"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18.144</w:t>
            </w:r>
          </w:p>
        </w:tc>
        <w:tc>
          <w:tcPr>
            <w:tcW w:w="990" w:type="dxa"/>
          </w:tcPr>
          <w:p w:rsidR="00E038A6" w:rsidRPr="008573C5" w:rsidRDefault="00E038A6" w:rsidP="00902653">
            <w:pPr>
              <w:autoSpaceDE w:val="0"/>
              <w:autoSpaceDN w:val="0"/>
              <w:adjustRightInd w:val="0"/>
              <w:spacing w:line="480" w:lineRule="auto"/>
              <w:rPr>
                <w:b/>
                <w:sz w:val="22"/>
                <w:szCs w:val="22"/>
              </w:rPr>
            </w:pPr>
          </w:p>
        </w:tc>
        <w:tc>
          <w:tcPr>
            <w:tcW w:w="1204"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11.763</w:t>
            </w:r>
          </w:p>
        </w:tc>
        <w:tc>
          <w:tcPr>
            <w:tcW w:w="1046" w:type="dxa"/>
          </w:tcPr>
          <w:p w:rsidR="00E038A6" w:rsidRPr="008573C5" w:rsidRDefault="00E038A6" w:rsidP="00902653">
            <w:pPr>
              <w:autoSpaceDE w:val="0"/>
              <w:autoSpaceDN w:val="0"/>
              <w:adjustRightInd w:val="0"/>
              <w:spacing w:line="480" w:lineRule="auto"/>
              <w:rPr>
                <w:b/>
                <w:sz w:val="22"/>
                <w:szCs w:val="22"/>
              </w:rPr>
            </w:pPr>
          </w:p>
        </w:tc>
        <w:tc>
          <w:tcPr>
            <w:tcW w:w="117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18.440</w:t>
            </w:r>
          </w:p>
        </w:tc>
        <w:tc>
          <w:tcPr>
            <w:tcW w:w="990" w:type="dxa"/>
          </w:tcPr>
          <w:p w:rsidR="00E038A6" w:rsidRPr="008573C5" w:rsidRDefault="00E038A6" w:rsidP="00902653">
            <w:pPr>
              <w:autoSpaceDE w:val="0"/>
              <w:autoSpaceDN w:val="0"/>
              <w:adjustRightInd w:val="0"/>
              <w:spacing w:line="480" w:lineRule="auto"/>
              <w:rPr>
                <w:b/>
                <w:sz w:val="22"/>
                <w:szCs w:val="22"/>
              </w:rPr>
            </w:pPr>
          </w:p>
        </w:tc>
        <w:tc>
          <w:tcPr>
            <w:tcW w:w="108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4.753</w:t>
            </w:r>
          </w:p>
        </w:tc>
        <w:tc>
          <w:tcPr>
            <w:tcW w:w="990" w:type="dxa"/>
          </w:tcPr>
          <w:p w:rsidR="00E038A6" w:rsidRPr="008573C5" w:rsidRDefault="00E038A6" w:rsidP="00902653">
            <w:pPr>
              <w:autoSpaceDE w:val="0"/>
              <w:autoSpaceDN w:val="0"/>
              <w:adjustRightInd w:val="0"/>
              <w:spacing w:line="480" w:lineRule="auto"/>
              <w:rPr>
                <w:b/>
                <w:sz w:val="22"/>
                <w:szCs w:val="22"/>
              </w:rPr>
            </w:pPr>
          </w:p>
        </w:tc>
      </w:tr>
      <w:tr w:rsidR="00E038A6" w:rsidRPr="008573C5" w:rsidTr="00BD1981">
        <w:tc>
          <w:tcPr>
            <w:tcW w:w="1530" w:type="dxa"/>
          </w:tcPr>
          <w:p w:rsidR="00E038A6" w:rsidRPr="008573C5" w:rsidRDefault="00E038A6" w:rsidP="00902653">
            <w:pPr>
              <w:autoSpaceDE w:val="0"/>
              <w:autoSpaceDN w:val="0"/>
              <w:adjustRightInd w:val="0"/>
              <w:spacing w:line="480" w:lineRule="auto"/>
              <w:jc w:val="both"/>
              <w:rPr>
                <w:b/>
                <w:sz w:val="22"/>
                <w:szCs w:val="22"/>
              </w:rPr>
            </w:pPr>
            <w:r w:rsidRPr="008573C5">
              <w:rPr>
                <w:b/>
                <w:sz w:val="22"/>
                <w:szCs w:val="22"/>
              </w:rPr>
              <w:t>Prob. (F)</w:t>
            </w:r>
          </w:p>
        </w:tc>
        <w:tc>
          <w:tcPr>
            <w:tcW w:w="1226"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0.000***</w:t>
            </w:r>
          </w:p>
        </w:tc>
        <w:tc>
          <w:tcPr>
            <w:tcW w:w="990" w:type="dxa"/>
          </w:tcPr>
          <w:p w:rsidR="00E038A6" w:rsidRPr="008573C5" w:rsidRDefault="00E038A6" w:rsidP="00902653">
            <w:pPr>
              <w:autoSpaceDE w:val="0"/>
              <w:autoSpaceDN w:val="0"/>
              <w:adjustRightInd w:val="0"/>
              <w:spacing w:line="480" w:lineRule="auto"/>
              <w:rPr>
                <w:b/>
                <w:sz w:val="22"/>
                <w:szCs w:val="22"/>
              </w:rPr>
            </w:pPr>
          </w:p>
        </w:tc>
        <w:tc>
          <w:tcPr>
            <w:tcW w:w="1204"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0.000***</w:t>
            </w:r>
          </w:p>
        </w:tc>
        <w:tc>
          <w:tcPr>
            <w:tcW w:w="1046" w:type="dxa"/>
          </w:tcPr>
          <w:p w:rsidR="00E038A6" w:rsidRPr="008573C5" w:rsidRDefault="00E038A6" w:rsidP="00902653">
            <w:pPr>
              <w:autoSpaceDE w:val="0"/>
              <w:autoSpaceDN w:val="0"/>
              <w:adjustRightInd w:val="0"/>
              <w:spacing w:line="480" w:lineRule="auto"/>
              <w:rPr>
                <w:b/>
                <w:sz w:val="22"/>
                <w:szCs w:val="22"/>
              </w:rPr>
            </w:pPr>
          </w:p>
        </w:tc>
        <w:tc>
          <w:tcPr>
            <w:tcW w:w="117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0.000***</w:t>
            </w:r>
          </w:p>
        </w:tc>
        <w:tc>
          <w:tcPr>
            <w:tcW w:w="990" w:type="dxa"/>
          </w:tcPr>
          <w:p w:rsidR="00E038A6" w:rsidRPr="008573C5" w:rsidRDefault="00E038A6" w:rsidP="00902653">
            <w:pPr>
              <w:autoSpaceDE w:val="0"/>
              <w:autoSpaceDN w:val="0"/>
              <w:adjustRightInd w:val="0"/>
              <w:spacing w:line="480" w:lineRule="auto"/>
              <w:rPr>
                <w:b/>
                <w:sz w:val="22"/>
                <w:szCs w:val="22"/>
              </w:rPr>
            </w:pPr>
          </w:p>
        </w:tc>
        <w:tc>
          <w:tcPr>
            <w:tcW w:w="1080" w:type="dxa"/>
          </w:tcPr>
          <w:p w:rsidR="00E038A6" w:rsidRPr="008573C5" w:rsidRDefault="00E038A6" w:rsidP="00902653">
            <w:pPr>
              <w:autoSpaceDE w:val="0"/>
              <w:autoSpaceDN w:val="0"/>
              <w:adjustRightInd w:val="0"/>
              <w:spacing w:line="480" w:lineRule="auto"/>
              <w:rPr>
                <w:b/>
                <w:sz w:val="22"/>
                <w:szCs w:val="22"/>
              </w:rPr>
            </w:pPr>
            <w:r w:rsidRPr="008573C5">
              <w:rPr>
                <w:b/>
                <w:sz w:val="22"/>
                <w:szCs w:val="22"/>
              </w:rPr>
              <w:t>0.000***</w:t>
            </w:r>
          </w:p>
        </w:tc>
        <w:tc>
          <w:tcPr>
            <w:tcW w:w="990" w:type="dxa"/>
          </w:tcPr>
          <w:p w:rsidR="00E038A6" w:rsidRPr="008573C5" w:rsidRDefault="00E038A6" w:rsidP="00902653">
            <w:pPr>
              <w:autoSpaceDE w:val="0"/>
              <w:autoSpaceDN w:val="0"/>
              <w:adjustRightInd w:val="0"/>
              <w:spacing w:line="480" w:lineRule="auto"/>
              <w:rPr>
                <w:b/>
                <w:sz w:val="22"/>
                <w:szCs w:val="22"/>
              </w:rPr>
            </w:pPr>
          </w:p>
        </w:tc>
      </w:tr>
    </w:tbl>
    <w:p w:rsidR="00C8370B" w:rsidRPr="008573C5" w:rsidRDefault="00C8370B" w:rsidP="00C8370B">
      <w:pPr>
        <w:rPr>
          <w:sz w:val="16"/>
          <w:szCs w:val="16"/>
        </w:rPr>
      </w:pPr>
    </w:p>
    <w:p w:rsidR="00C8370B" w:rsidRPr="008573C5" w:rsidRDefault="00C8370B" w:rsidP="00C8370B">
      <w:pPr>
        <w:rPr>
          <w:sz w:val="16"/>
          <w:szCs w:val="16"/>
        </w:rPr>
      </w:pPr>
      <w:r w:rsidRPr="008573C5">
        <w:rPr>
          <w:sz w:val="16"/>
          <w:szCs w:val="16"/>
        </w:rPr>
        <w:t xml:space="preserve">Note: </w:t>
      </w:r>
      <w:r w:rsidRPr="008573C5">
        <w:rPr>
          <w:sz w:val="16"/>
          <w:szCs w:val="16"/>
        </w:rPr>
        <w:tab/>
        <w:t>t-statistics are in the parentheses</w:t>
      </w:r>
    </w:p>
    <w:p w:rsidR="00C8370B" w:rsidRPr="008573C5" w:rsidRDefault="00C8370B" w:rsidP="00C8370B">
      <w:pPr>
        <w:ind w:firstLine="720"/>
        <w:rPr>
          <w:sz w:val="16"/>
          <w:szCs w:val="16"/>
        </w:rPr>
      </w:pPr>
      <w:r w:rsidRPr="008573C5">
        <w:rPr>
          <w:sz w:val="16"/>
          <w:szCs w:val="16"/>
        </w:rPr>
        <w:t>* ** significant at the 1% level</w:t>
      </w:r>
    </w:p>
    <w:p w:rsidR="00C8370B" w:rsidRPr="008573C5" w:rsidRDefault="00C8370B" w:rsidP="00C8370B">
      <w:pPr>
        <w:ind w:firstLine="720"/>
        <w:rPr>
          <w:sz w:val="16"/>
          <w:szCs w:val="16"/>
        </w:rPr>
      </w:pPr>
      <w:r w:rsidRPr="008573C5">
        <w:rPr>
          <w:sz w:val="16"/>
          <w:szCs w:val="16"/>
        </w:rPr>
        <w:t>** significant at the 5% level</w:t>
      </w:r>
    </w:p>
    <w:p w:rsidR="00C8370B" w:rsidRPr="008573C5" w:rsidRDefault="00C8370B" w:rsidP="00C8370B">
      <w:pPr>
        <w:ind w:firstLine="720"/>
        <w:rPr>
          <w:sz w:val="16"/>
          <w:szCs w:val="16"/>
        </w:rPr>
      </w:pPr>
      <w:r w:rsidRPr="008573C5">
        <w:rPr>
          <w:sz w:val="16"/>
          <w:szCs w:val="16"/>
        </w:rPr>
        <w:t>* significant at the 10% level</w:t>
      </w:r>
    </w:p>
    <w:p w:rsidR="00C8370B" w:rsidRPr="008573C5" w:rsidRDefault="00C8370B" w:rsidP="00C8370B">
      <w:pPr>
        <w:autoSpaceDE w:val="0"/>
        <w:autoSpaceDN w:val="0"/>
        <w:adjustRightInd w:val="0"/>
        <w:jc w:val="center"/>
        <w:rPr>
          <w:rFonts w:eastAsia="Calibri"/>
          <w:b/>
          <w:bCs/>
        </w:rPr>
      </w:pPr>
      <w:r w:rsidRPr="008573C5">
        <w:rPr>
          <w:rFonts w:eastAsia="Calibri"/>
          <w:b/>
          <w:bCs/>
        </w:rPr>
        <w:t>Source: Field Study (2009)</w:t>
      </w:r>
    </w:p>
    <w:p w:rsidR="005D1901" w:rsidRPr="008573C5" w:rsidRDefault="005D1901" w:rsidP="00FF5EDF">
      <w:pPr>
        <w:autoSpaceDE w:val="0"/>
        <w:autoSpaceDN w:val="0"/>
        <w:adjustRightInd w:val="0"/>
        <w:spacing w:line="360" w:lineRule="auto"/>
        <w:jc w:val="both"/>
        <w:rPr>
          <w:rFonts w:eastAsia="Calibri"/>
        </w:rPr>
      </w:pPr>
    </w:p>
    <w:p w:rsidR="00FF5EDF" w:rsidRPr="008573C5" w:rsidRDefault="00FF5EDF" w:rsidP="00FF5EDF">
      <w:pPr>
        <w:autoSpaceDE w:val="0"/>
        <w:autoSpaceDN w:val="0"/>
        <w:adjustRightInd w:val="0"/>
        <w:spacing w:line="360" w:lineRule="auto"/>
        <w:jc w:val="both"/>
      </w:pPr>
      <w:r w:rsidRPr="008573C5">
        <w:rPr>
          <w:rFonts w:eastAsia="Calibri"/>
        </w:rPr>
        <w:t xml:space="preserve">The OLS regression analysis of </w:t>
      </w:r>
      <w:r w:rsidR="00C60B9D" w:rsidRPr="008573C5">
        <w:rPr>
          <w:rFonts w:eastAsia="Calibri"/>
        </w:rPr>
        <w:t>Model</w:t>
      </w:r>
      <w:r w:rsidRPr="008573C5">
        <w:rPr>
          <w:rFonts w:eastAsia="Calibri"/>
        </w:rPr>
        <w:t xml:space="preserve"> 3 is re-estimated using ranked regression. </w:t>
      </w:r>
      <w:r w:rsidRPr="008573C5">
        <w:t>Table 4.</w:t>
      </w:r>
      <w:r w:rsidR="00807701" w:rsidRPr="008573C5">
        <w:t>23</w:t>
      </w:r>
      <w:r w:rsidRPr="008573C5">
        <w:t xml:space="preserve"> contains the four </w:t>
      </w:r>
      <w:r w:rsidR="00C60B9D" w:rsidRPr="008573C5">
        <w:t>equations</w:t>
      </w:r>
      <w:r w:rsidRPr="008573C5">
        <w:t xml:space="preserve"> analysed in </w:t>
      </w:r>
      <w:r w:rsidR="00C60B9D" w:rsidRPr="008573C5">
        <w:t>Model</w:t>
      </w:r>
      <w:r w:rsidRPr="008573C5">
        <w:t xml:space="preserve"> 4. The ranked regression model entailed the ranking of all the continuous variables in the model. The four models have common independent variables, these are: rank of log of total assets, rank of profitability, rank of leverage, rank of company listing age, rank of multinationality, sector and auditor type. The dependent variable are rank of ODI for </w:t>
      </w:r>
      <w:r w:rsidR="00807701" w:rsidRPr="008573C5">
        <w:t>equation A</w:t>
      </w:r>
      <w:r w:rsidRPr="008573C5">
        <w:rPr>
          <w:vertAlign w:val="subscript"/>
        </w:rPr>
        <w:t>1</w:t>
      </w:r>
      <w:r w:rsidR="00807701" w:rsidRPr="008573C5">
        <w:rPr>
          <w:vertAlign w:val="subscript"/>
        </w:rPr>
        <w:t>3</w:t>
      </w:r>
      <w:r w:rsidRPr="008573C5">
        <w:t xml:space="preserve">, rank of DISAS for </w:t>
      </w:r>
      <w:r w:rsidR="0047701C" w:rsidRPr="008573C5">
        <w:t>equation A</w:t>
      </w:r>
      <w:r w:rsidR="0047701C" w:rsidRPr="008573C5">
        <w:rPr>
          <w:vertAlign w:val="subscript"/>
        </w:rPr>
        <w:t>14</w:t>
      </w:r>
      <w:r w:rsidRPr="008573C5">
        <w:t xml:space="preserve">, rank of DIFRS for </w:t>
      </w:r>
      <w:r w:rsidR="00C60B9D" w:rsidRPr="008573C5">
        <w:t>equation</w:t>
      </w:r>
      <w:r w:rsidRPr="008573C5">
        <w:t xml:space="preserve"> </w:t>
      </w:r>
      <w:r w:rsidR="00C60B9D" w:rsidRPr="008573C5">
        <w:t>A</w:t>
      </w:r>
      <w:r w:rsidR="00C60B9D" w:rsidRPr="008573C5">
        <w:rPr>
          <w:vertAlign w:val="subscript"/>
        </w:rPr>
        <w:t>15</w:t>
      </w:r>
      <w:r w:rsidRPr="008573C5">
        <w:t xml:space="preserve"> and rank of DIVol for </w:t>
      </w:r>
      <w:r w:rsidR="00C60B9D" w:rsidRPr="008573C5">
        <w:t>equation</w:t>
      </w:r>
      <w:r w:rsidRPr="008573C5">
        <w:t xml:space="preserve"> </w:t>
      </w:r>
      <w:r w:rsidR="00C60B9D" w:rsidRPr="008573C5">
        <w:t>A</w:t>
      </w:r>
      <w:r w:rsidR="00C60B9D" w:rsidRPr="008573C5">
        <w:rPr>
          <w:vertAlign w:val="subscript"/>
        </w:rPr>
        <w:t>16</w:t>
      </w:r>
      <w:r w:rsidRPr="008573C5">
        <w:t xml:space="preserve">. The correlation matrix was reviewed and VIF was assessed to see if there could be any multicollinearity challenge. VIF for each of the independent variables is seen to be satisfactorily below 10, they are: size 1.629, profitability 1.127, leverage 1.333, listing age 1.336, sector 2.002, auditor type 1.259 and multinational parent 1.453. The tolerance for each independent variable is also satisfactorily above 0.2, they are: size 0.614, profitability 0.887, leverage 0.750, listing age 0.748, sector 0.499, auditor type 0.794 and multinational parent 0.688. Durbin-Watson results for the </w:t>
      </w:r>
      <w:r w:rsidR="005F757D" w:rsidRPr="008573C5">
        <w:t>equations</w:t>
      </w:r>
      <w:r w:rsidRPr="008573C5">
        <w:t xml:space="preserve"> are between 1.562 and 2.155</w:t>
      </w:r>
      <w:r w:rsidR="00807701" w:rsidRPr="008573C5">
        <w:t>. T</w:t>
      </w:r>
      <w:r w:rsidRPr="008573C5">
        <w:t>his does not pose a threat of independent errors since it is a figure not far from 2.</w:t>
      </w:r>
    </w:p>
    <w:p w:rsidR="00FF5EDF" w:rsidRPr="008573C5" w:rsidRDefault="00C60B9D" w:rsidP="00FF5EDF">
      <w:pPr>
        <w:tabs>
          <w:tab w:val="left" w:pos="7320"/>
        </w:tabs>
        <w:spacing w:before="240" w:line="360" w:lineRule="auto"/>
        <w:jc w:val="both"/>
      </w:pPr>
      <w:r w:rsidRPr="008573C5">
        <w:t>For Equation</w:t>
      </w:r>
      <w:r w:rsidR="00FF5EDF" w:rsidRPr="008573C5">
        <w:t xml:space="preserve"> </w:t>
      </w:r>
      <w:r w:rsidRPr="008573C5">
        <w:t>A</w:t>
      </w:r>
      <w:r w:rsidRPr="008573C5">
        <w:rPr>
          <w:vertAlign w:val="subscript"/>
        </w:rPr>
        <w:t>13</w:t>
      </w:r>
      <w:r w:rsidR="00FF5EDF" w:rsidRPr="008573C5">
        <w:t xml:space="preserve"> (Table 4.</w:t>
      </w:r>
      <w:r w:rsidR="00807701" w:rsidRPr="008573C5">
        <w:t>23</w:t>
      </w:r>
      <w:r w:rsidR="00FF5EDF" w:rsidRPr="008573C5">
        <w:t>)</w:t>
      </w:r>
      <w:r w:rsidR="00FF5EDF" w:rsidRPr="008573C5">
        <w:rPr>
          <w:vertAlign w:val="subscript"/>
        </w:rPr>
        <w:t>,</w:t>
      </w:r>
      <w:r w:rsidR="00FF5EDF" w:rsidRPr="008573C5">
        <w:t xml:space="preserve"> the F</w:t>
      </w:r>
      <w:r w:rsidR="00AB01E5" w:rsidRPr="008573C5">
        <w:t>-statistics</w:t>
      </w:r>
      <w:r w:rsidR="00FF5EDF" w:rsidRPr="008573C5">
        <w:t xml:space="preserve"> is 1</w:t>
      </w:r>
      <w:r w:rsidR="000E09D9" w:rsidRPr="008573C5">
        <w:t>8.144</w:t>
      </w:r>
      <w:r w:rsidR="00FF5EDF" w:rsidRPr="008573C5">
        <w:t xml:space="preserve"> at p &lt; 0.001, indicating the model as a whole is well specified. </w:t>
      </w:r>
      <w:r w:rsidR="000E09D9" w:rsidRPr="008573C5">
        <w:t xml:space="preserve">This </w:t>
      </w:r>
      <w:r w:rsidR="00FF5EDF" w:rsidRPr="008573C5">
        <w:t xml:space="preserve">suggests the overall model </w:t>
      </w:r>
      <w:r w:rsidR="00FF5EDF" w:rsidRPr="008573C5">
        <w:rPr>
          <w:rFonts w:eastAsia="Calibri"/>
        </w:rPr>
        <w:t xml:space="preserve">possesses reasonably strong explanatory power compared </w:t>
      </w:r>
      <w:r w:rsidR="00807701" w:rsidRPr="008573C5">
        <w:rPr>
          <w:rFonts w:eastAsia="Calibri"/>
        </w:rPr>
        <w:t>with</w:t>
      </w:r>
      <w:r w:rsidR="00FF5EDF" w:rsidRPr="008573C5">
        <w:rPr>
          <w:rFonts w:eastAsia="Calibri"/>
        </w:rPr>
        <w:t xml:space="preserve"> previous results in </w:t>
      </w:r>
      <w:r w:rsidR="005F757D" w:rsidRPr="008573C5">
        <w:rPr>
          <w:rFonts w:eastAsia="Calibri"/>
        </w:rPr>
        <w:t>Models</w:t>
      </w:r>
      <w:r w:rsidR="00FF5EDF" w:rsidRPr="008573C5">
        <w:rPr>
          <w:rFonts w:eastAsia="Calibri"/>
        </w:rPr>
        <w:t xml:space="preserve"> 1, 2 and 3</w:t>
      </w:r>
      <w:r w:rsidR="000E09D9" w:rsidRPr="008573C5">
        <w:rPr>
          <w:rFonts w:eastAsia="Calibri"/>
        </w:rPr>
        <w:t xml:space="preserve"> with values of 10.120, 11.973 and17.894 respectively</w:t>
      </w:r>
      <w:r w:rsidR="00FF5EDF" w:rsidRPr="008573C5">
        <w:rPr>
          <w:rFonts w:eastAsia="Calibri"/>
        </w:rPr>
        <w:t xml:space="preserve">. </w:t>
      </w:r>
      <w:r w:rsidR="00FF5EDF" w:rsidRPr="008573C5">
        <w:t>The t-statistics is positive for size, profitability, auditor type, sector, listing age  and multinational</w:t>
      </w:r>
      <w:r w:rsidR="005512F1" w:rsidRPr="008573C5">
        <w:t>ity</w:t>
      </w:r>
      <w:r w:rsidR="00FF5EDF" w:rsidRPr="008573C5">
        <w:t xml:space="preserve"> and negative for leverage. Company size and auditor type were the only two variables that are significant at p &lt; 0.01. This is consistent with the previous analysis in models A</w:t>
      </w:r>
      <w:r w:rsidR="00FF5EDF" w:rsidRPr="008573C5">
        <w:rPr>
          <w:vertAlign w:val="subscript"/>
        </w:rPr>
        <w:t>1</w:t>
      </w:r>
      <w:r w:rsidR="00FF5EDF" w:rsidRPr="008573C5">
        <w:t>, B</w:t>
      </w:r>
      <w:r w:rsidR="00FF5EDF" w:rsidRPr="008573C5">
        <w:rPr>
          <w:vertAlign w:val="subscript"/>
        </w:rPr>
        <w:t>1</w:t>
      </w:r>
      <w:r w:rsidR="00FF5EDF" w:rsidRPr="008573C5">
        <w:t xml:space="preserve"> and C</w:t>
      </w:r>
      <w:r w:rsidR="00FF5EDF" w:rsidRPr="008573C5">
        <w:rPr>
          <w:vertAlign w:val="subscript"/>
        </w:rPr>
        <w:t xml:space="preserve">1 </w:t>
      </w:r>
      <w:r w:rsidR="00FF5EDF" w:rsidRPr="008573C5">
        <w:t xml:space="preserve">relating to overall compliance level (ODI). It is obvious that these are the two principal variables that relates to the level of overall compliance. The other five variables, profitability, leverage, </w:t>
      </w:r>
      <w:r w:rsidR="005F757D" w:rsidRPr="008573C5">
        <w:t>listing age</w:t>
      </w:r>
      <w:r w:rsidR="00FF5EDF" w:rsidRPr="008573C5">
        <w:t>, sector and multinational</w:t>
      </w:r>
      <w:r w:rsidR="005512F1" w:rsidRPr="008573C5">
        <w:t>ity</w:t>
      </w:r>
      <w:r w:rsidR="00FF5EDF" w:rsidRPr="008573C5">
        <w:t xml:space="preserve"> are not statistically related.</w:t>
      </w:r>
    </w:p>
    <w:p w:rsidR="00FF5EDF" w:rsidRPr="008573C5" w:rsidRDefault="00C60B9D" w:rsidP="00FF5EDF">
      <w:pPr>
        <w:tabs>
          <w:tab w:val="left" w:pos="7320"/>
        </w:tabs>
        <w:spacing w:before="240" w:line="360" w:lineRule="auto"/>
        <w:jc w:val="both"/>
      </w:pPr>
      <w:r w:rsidRPr="008573C5">
        <w:t>Equation</w:t>
      </w:r>
      <w:r w:rsidR="00FF5EDF" w:rsidRPr="008573C5">
        <w:t xml:space="preserve"> </w:t>
      </w:r>
      <w:r w:rsidRPr="008573C5">
        <w:t>A</w:t>
      </w:r>
      <w:r w:rsidRPr="008573C5">
        <w:rPr>
          <w:vertAlign w:val="subscript"/>
        </w:rPr>
        <w:t>14</w:t>
      </w:r>
      <w:r w:rsidR="00FF5EDF" w:rsidRPr="008573C5">
        <w:t xml:space="preserve"> in Table 4.</w:t>
      </w:r>
      <w:r w:rsidR="00807701" w:rsidRPr="008573C5">
        <w:t>23</w:t>
      </w:r>
      <w:r w:rsidR="00FF5EDF" w:rsidRPr="008573C5">
        <w:t xml:space="preserve"> summarises the regression result using the rank of DISAS as the dependent variable.  The F-value is 11.763 at a significance of p &lt; 0.001. This shows that the overall model is well fit.  The t-statistics is positive for all the independent variables with the exception of sector. Out of the seven corporate attribute variables, only auditor type and company size were significant at 1%. Leverage is significant at 5% with a t value of 2.279. Four of the variables profitability, listing age, sector and multinationality were not significant.</w:t>
      </w:r>
    </w:p>
    <w:p w:rsidR="00FF5EDF" w:rsidRPr="008573C5" w:rsidRDefault="00FF5EDF" w:rsidP="00FF5EDF">
      <w:pPr>
        <w:tabs>
          <w:tab w:val="left" w:pos="7320"/>
        </w:tabs>
        <w:spacing w:before="240" w:line="360" w:lineRule="auto"/>
        <w:jc w:val="both"/>
        <w:rPr>
          <w:rFonts w:eastAsia="Calibri"/>
        </w:rPr>
      </w:pPr>
      <w:r w:rsidRPr="008573C5">
        <w:t xml:space="preserve">Using the ranked IFRS disclosure index as dependent variable, </w:t>
      </w:r>
      <w:r w:rsidR="00C60B9D" w:rsidRPr="008573C5">
        <w:t>Equation</w:t>
      </w:r>
      <w:r w:rsidRPr="008573C5">
        <w:t xml:space="preserve"> </w:t>
      </w:r>
      <w:r w:rsidR="00C60B9D" w:rsidRPr="008573C5">
        <w:t>A</w:t>
      </w:r>
      <w:r w:rsidR="00C60B9D" w:rsidRPr="008573C5">
        <w:rPr>
          <w:vertAlign w:val="subscript"/>
        </w:rPr>
        <w:t>15</w:t>
      </w:r>
      <w:r w:rsidRPr="008573C5">
        <w:t xml:space="preserve"> is summarized in Table 4.</w:t>
      </w:r>
      <w:r w:rsidR="00807701" w:rsidRPr="008573C5">
        <w:t>23</w:t>
      </w:r>
      <w:r w:rsidRPr="008573C5">
        <w:t xml:space="preserve">. </w:t>
      </w:r>
      <w:r w:rsidRPr="008573C5">
        <w:rPr>
          <w:rFonts w:eastAsia="Calibri"/>
        </w:rPr>
        <w:t>The ANOVA presents the F</w:t>
      </w:r>
      <w:r w:rsidR="000537F2" w:rsidRPr="008573C5">
        <w:rPr>
          <w:rFonts w:eastAsia="Calibri"/>
        </w:rPr>
        <w:t>-Statistics</w:t>
      </w:r>
      <w:r w:rsidRPr="008573C5">
        <w:rPr>
          <w:rFonts w:eastAsia="Calibri"/>
        </w:rPr>
        <w:t xml:space="preserve"> </w:t>
      </w:r>
      <w:r w:rsidR="00C665F0" w:rsidRPr="008573C5">
        <w:rPr>
          <w:rFonts w:eastAsia="Calibri"/>
        </w:rPr>
        <w:t xml:space="preserve">as </w:t>
      </w:r>
      <w:r w:rsidRPr="008573C5">
        <w:rPr>
          <w:rFonts w:eastAsia="Calibri"/>
        </w:rPr>
        <w:t>18.440</w:t>
      </w:r>
      <w:r w:rsidR="00C665F0" w:rsidRPr="008573C5">
        <w:rPr>
          <w:rFonts w:eastAsia="Calibri"/>
        </w:rPr>
        <w:t xml:space="preserve"> which </w:t>
      </w:r>
      <w:r w:rsidRPr="008573C5">
        <w:rPr>
          <w:rFonts w:eastAsia="Calibri"/>
        </w:rPr>
        <w:t>indicates that the model is fitted at a significant at p &lt; 0.001. All the control variables show positive t value except for multinationality and listing age. T</w:t>
      </w:r>
      <w:r w:rsidR="00DE2240">
        <w:rPr>
          <w:rFonts w:eastAsia="Calibri"/>
        </w:rPr>
        <w:t>he remaining five variables a</w:t>
      </w:r>
      <w:r w:rsidRPr="008573C5">
        <w:rPr>
          <w:rFonts w:eastAsia="Calibri"/>
        </w:rPr>
        <w:t xml:space="preserve">re found to have negative effect on the </w:t>
      </w:r>
      <w:r w:rsidRPr="008573C5">
        <w:t xml:space="preserve">disclosure practices of the sample companies. Both company size and  auditor type are found to be significant at 1%. </w:t>
      </w:r>
    </w:p>
    <w:p w:rsidR="00FF5EDF" w:rsidRPr="008573C5" w:rsidRDefault="00FF5EDF" w:rsidP="00FF5EDF">
      <w:pPr>
        <w:autoSpaceDE w:val="0"/>
        <w:autoSpaceDN w:val="0"/>
        <w:adjustRightInd w:val="0"/>
        <w:rPr>
          <w:rFonts w:ascii="AdvTT5843c571" w:eastAsia="Calibri" w:hAnsi="AdvTT5843c571" w:cs="AdvTT5843c571"/>
          <w:sz w:val="20"/>
          <w:szCs w:val="20"/>
        </w:rPr>
      </w:pPr>
    </w:p>
    <w:p w:rsidR="005A6CA1" w:rsidRPr="008573C5" w:rsidRDefault="00C60B9D" w:rsidP="005A6CA1">
      <w:pPr>
        <w:tabs>
          <w:tab w:val="left" w:pos="7320"/>
        </w:tabs>
        <w:spacing w:before="240" w:line="360" w:lineRule="auto"/>
        <w:jc w:val="both"/>
        <w:rPr>
          <w:rFonts w:eastAsia="Calibri"/>
        </w:rPr>
      </w:pPr>
      <w:r w:rsidRPr="008573C5">
        <w:t>Equation</w:t>
      </w:r>
      <w:r w:rsidR="00FF5EDF" w:rsidRPr="008573C5">
        <w:t xml:space="preserve"> </w:t>
      </w:r>
      <w:r w:rsidRPr="008573C5">
        <w:t>A</w:t>
      </w:r>
      <w:r w:rsidRPr="008573C5">
        <w:rPr>
          <w:vertAlign w:val="subscript"/>
        </w:rPr>
        <w:t>16</w:t>
      </w:r>
      <w:r w:rsidR="00FF5EDF" w:rsidRPr="008573C5">
        <w:t xml:space="preserve"> in Table 4.</w:t>
      </w:r>
      <w:r w:rsidR="00807701" w:rsidRPr="008573C5">
        <w:t>23</w:t>
      </w:r>
      <w:r w:rsidR="00FF5EDF" w:rsidRPr="008573C5">
        <w:t xml:space="preserve"> presents the result of the OLS using ranked voluntary disclosure index as dependent variable. The result show</w:t>
      </w:r>
      <w:r w:rsidR="00807701" w:rsidRPr="008573C5">
        <w:t>s</w:t>
      </w:r>
      <w:r w:rsidR="00DE2240">
        <w:t xml:space="preserve"> that the model has an</w:t>
      </w:r>
      <w:r w:rsidR="00FF5EDF" w:rsidRPr="008573C5">
        <w:t xml:space="preserve"> F-</w:t>
      </w:r>
      <w:r w:rsidR="000E09D9" w:rsidRPr="008573C5">
        <w:t xml:space="preserve">Statistics </w:t>
      </w:r>
      <w:r w:rsidR="00FF5EDF" w:rsidRPr="008573C5">
        <w:t>of 4.753 which is significan</w:t>
      </w:r>
      <w:r w:rsidR="00807701" w:rsidRPr="008573C5">
        <w:t>t</w:t>
      </w:r>
      <w:r w:rsidR="00FF5EDF" w:rsidRPr="008573C5">
        <w:t xml:space="preserve"> at a 1 % level. The t-statistics reveal</w:t>
      </w:r>
      <w:r w:rsidR="00DE2240">
        <w:t>s</w:t>
      </w:r>
      <w:r w:rsidR="00FF5EDF" w:rsidRPr="008573C5">
        <w:t xml:space="preserve"> only</w:t>
      </w:r>
      <w:r w:rsidR="00FF5EDF" w:rsidRPr="008573C5">
        <w:rPr>
          <w:rFonts w:eastAsia="Calibri"/>
        </w:rPr>
        <w:t xml:space="preserve"> leverage and sector have negative signs while the others are positive. Audito</w:t>
      </w:r>
      <w:r w:rsidR="00DE2240">
        <w:rPr>
          <w:rFonts w:eastAsia="Calibri"/>
        </w:rPr>
        <w:t>r and company size still emerge</w:t>
      </w:r>
      <w:r w:rsidR="00FF5EDF" w:rsidRPr="008573C5">
        <w:rPr>
          <w:rFonts w:eastAsia="Calibri"/>
        </w:rPr>
        <w:t xml:space="preserve"> as positive significant variables. Leverage and age are also found to be significant at 10% level.  The other control variables do not have explanatory powers.</w:t>
      </w:r>
    </w:p>
    <w:p w:rsidR="00FF5EDF" w:rsidRPr="008573C5" w:rsidRDefault="005A6CA1" w:rsidP="005A6CA1">
      <w:pPr>
        <w:tabs>
          <w:tab w:val="left" w:pos="7320"/>
        </w:tabs>
        <w:spacing w:before="240" w:line="360" w:lineRule="auto"/>
        <w:jc w:val="both"/>
        <w:rPr>
          <w:b/>
        </w:rPr>
      </w:pPr>
      <w:r w:rsidRPr="008573C5">
        <w:rPr>
          <w:b/>
        </w:rPr>
        <w:t xml:space="preserve"> </w:t>
      </w:r>
    </w:p>
    <w:p w:rsidR="00FF5EDF" w:rsidRPr="008573C5" w:rsidRDefault="006E04D2" w:rsidP="00FF5EDF">
      <w:pPr>
        <w:autoSpaceDE w:val="0"/>
        <w:autoSpaceDN w:val="0"/>
        <w:adjustRightInd w:val="0"/>
        <w:spacing w:line="480" w:lineRule="auto"/>
        <w:rPr>
          <w:b/>
          <w:sz w:val="28"/>
          <w:szCs w:val="28"/>
        </w:rPr>
      </w:pPr>
      <w:r w:rsidRPr="008573C5">
        <w:rPr>
          <w:b/>
          <w:sz w:val="28"/>
          <w:szCs w:val="28"/>
        </w:rPr>
        <w:t>4.2</w:t>
      </w:r>
      <w:r w:rsidR="000E0B9C" w:rsidRPr="008573C5">
        <w:rPr>
          <w:b/>
          <w:sz w:val="28"/>
          <w:szCs w:val="28"/>
        </w:rPr>
        <w:t xml:space="preserve">.4.   </w:t>
      </w:r>
      <w:r w:rsidR="00FF5EDF" w:rsidRPr="008573C5">
        <w:rPr>
          <w:b/>
          <w:sz w:val="28"/>
          <w:szCs w:val="28"/>
        </w:rPr>
        <w:t>Robustness Checks</w:t>
      </w:r>
    </w:p>
    <w:p w:rsidR="00FF5EDF" w:rsidRPr="008573C5" w:rsidRDefault="00FF5EDF" w:rsidP="00FF5EDF">
      <w:pPr>
        <w:tabs>
          <w:tab w:val="left" w:pos="7320"/>
        </w:tabs>
        <w:spacing w:before="240" w:line="360" w:lineRule="auto"/>
        <w:jc w:val="both"/>
      </w:pPr>
      <w:r w:rsidRPr="008573C5">
        <w:rPr>
          <w:rFonts w:eastAsia="Calibri"/>
        </w:rPr>
        <w:t xml:space="preserve">In order to determine the most effective model, four alternate </w:t>
      </w:r>
      <w:r w:rsidR="00C63099" w:rsidRPr="008573C5">
        <w:rPr>
          <w:rFonts w:eastAsia="Calibri"/>
        </w:rPr>
        <w:t>models</w:t>
      </w:r>
      <w:r w:rsidRPr="008573C5">
        <w:rPr>
          <w:rFonts w:eastAsia="Calibri"/>
        </w:rPr>
        <w:t xml:space="preserve"> </w:t>
      </w:r>
      <w:r w:rsidR="00DE2240">
        <w:rPr>
          <w:rFonts w:eastAsia="Calibri"/>
        </w:rPr>
        <w:t>a</w:t>
      </w:r>
      <w:r w:rsidRPr="008573C5">
        <w:rPr>
          <w:rFonts w:eastAsia="Calibri"/>
        </w:rPr>
        <w:t xml:space="preserve">re created. In each </w:t>
      </w:r>
      <w:r w:rsidR="00C63099" w:rsidRPr="008573C5">
        <w:rPr>
          <w:rFonts w:eastAsia="Calibri"/>
        </w:rPr>
        <w:t>model</w:t>
      </w:r>
      <w:r w:rsidR="00DE2240">
        <w:rPr>
          <w:rFonts w:eastAsia="Calibri"/>
        </w:rPr>
        <w:t>,</w:t>
      </w:r>
      <w:r w:rsidRPr="008573C5">
        <w:rPr>
          <w:rFonts w:eastAsia="Calibri"/>
        </w:rPr>
        <w:t xml:space="preserve"> four different </w:t>
      </w:r>
      <w:r w:rsidR="00C63099" w:rsidRPr="008573C5">
        <w:rPr>
          <w:rFonts w:eastAsia="Calibri"/>
        </w:rPr>
        <w:t>equations</w:t>
      </w:r>
      <w:r w:rsidR="00DE2240">
        <w:rPr>
          <w:rFonts w:eastAsia="Calibri"/>
        </w:rPr>
        <w:t xml:space="preserve"> a</w:t>
      </w:r>
      <w:r w:rsidRPr="008573C5">
        <w:rPr>
          <w:rFonts w:eastAsia="Calibri"/>
        </w:rPr>
        <w:t xml:space="preserve">re analysed using </w:t>
      </w:r>
      <w:r w:rsidR="00C63099" w:rsidRPr="008573C5">
        <w:t>common independent variables</w:t>
      </w:r>
      <w:r w:rsidRPr="008573C5">
        <w:t>. The original dependent variable is the Overall Disclos</w:t>
      </w:r>
      <w:r w:rsidR="00DE2240">
        <w:t>ure Index (ODI), this is split</w:t>
      </w:r>
      <w:r w:rsidRPr="008573C5">
        <w:t xml:space="preserve"> into its three constituent parts, DISAS, DIFRS and DIVOL</w:t>
      </w:r>
      <w:r w:rsidR="00DE2240">
        <w:t>. E</w:t>
      </w:r>
      <w:r w:rsidRPr="008573C5">
        <w:t>ach of th</w:t>
      </w:r>
      <w:r w:rsidR="00DE2240">
        <w:t>ese i</w:t>
      </w:r>
      <w:r w:rsidRPr="008573C5">
        <w:t xml:space="preserve">s used as a dependent variable. The result of the regression analyses were as explained </w:t>
      </w:r>
      <w:r w:rsidR="005D1901" w:rsidRPr="008573C5">
        <w:t xml:space="preserve">for Models 1 to 4 </w:t>
      </w:r>
      <w:r w:rsidR="00582664">
        <w:t>above. It i</w:t>
      </w:r>
      <w:r w:rsidRPr="008573C5">
        <w:t xml:space="preserve">s observed that for the four </w:t>
      </w:r>
      <w:r w:rsidR="009629DA" w:rsidRPr="008573C5">
        <w:t>model</w:t>
      </w:r>
      <w:r w:rsidRPr="008573C5">
        <w:t>s the collinearity diagnosis reveal a VIF well below 2, a tolerance above 0.2 and Durbin-Watson about 2. This shows there is no threat of multicollinearity or independent errors in any of the panels. Also</w:t>
      </w:r>
      <w:r w:rsidR="00582664">
        <w:t>,</w:t>
      </w:r>
      <w:r w:rsidRPr="008573C5">
        <w:t xml:space="preserve"> all correlation coefficients and plots of residual do not suggest a departure from normality</w:t>
      </w:r>
      <w:r w:rsidR="00807701" w:rsidRPr="008573C5">
        <w:t>.</w:t>
      </w:r>
      <w:r w:rsidRPr="008573C5">
        <w:t xml:space="preserve"> Moreover all the </w:t>
      </w:r>
      <w:r w:rsidR="00582664">
        <w:t>F- values a</w:t>
      </w:r>
      <w:r w:rsidRPr="008573C5">
        <w:t xml:space="preserve">re significant showing a p &lt; 0.001, which shows that all the </w:t>
      </w:r>
      <w:r w:rsidR="009629DA" w:rsidRPr="008573C5">
        <w:t>equations</w:t>
      </w:r>
      <w:r w:rsidRPr="008573C5">
        <w:t xml:space="preserve"> have a good overall fit.</w:t>
      </w:r>
    </w:p>
    <w:p w:rsidR="00FF5EDF" w:rsidRPr="008573C5" w:rsidRDefault="00FF5EDF" w:rsidP="00FF5EDF">
      <w:pPr>
        <w:tabs>
          <w:tab w:val="left" w:pos="7320"/>
        </w:tabs>
        <w:spacing w:before="240" w:line="360" w:lineRule="auto"/>
        <w:jc w:val="both"/>
        <w:rPr>
          <w:b/>
        </w:rPr>
      </w:pPr>
      <w:r w:rsidRPr="008573C5">
        <w:t xml:space="preserve">The major difference is sighted in the </w:t>
      </w:r>
      <w:r w:rsidR="000537F2" w:rsidRPr="008573C5">
        <w:t>F-Statistics</w:t>
      </w:r>
      <w:r w:rsidRPr="008573C5">
        <w:rPr>
          <w:vertAlign w:val="superscript"/>
        </w:rPr>
        <w:t xml:space="preserve"> </w:t>
      </w:r>
      <w:r w:rsidRPr="008573C5">
        <w:rPr>
          <w:rFonts w:eastAsia="Calibri"/>
        </w:rPr>
        <w:t xml:space="preserve">which reveals the </w:t>
      </w:r>
      <w:r w:rsidR="009629DA" w:rsidRPr="008573C5">
        <w:rPr>
          <w:rFonts w:eastAsia="Calibri"/>
        </w:rPr>
        <w:t>equation’</w:t>
      </w:r>
      <w:r w:rsidRPr="008573C5">
        <w:rPr>
          <w:rFonts w:eastAsia="Calibri"/>
        </w:rPr>
        <w:t>s ability in explaining the variability in disclosing information in the</w:t>
      </w:r>
      <w:r w:rsidR="000537F2" w:rsidRPr="008573C5">
        <w:rPr>
          <w:rFonts w:eastAsia="Calibri"/>
        </w:rPr>
        <w:t xml:space="preserve"> cross sectional</w:t>
      </w:r>
      <w:r w:rsidRPr="008573C5">
        <w:rPr>
          <w:rFonts w:eastAsia="Calibri"/>
        </w:rPr>
        <w:t xml:space="preserve"> sampled annual reports. Since our </w:t>
      </w:r>
      <w:r w:rsidRPr="008573C5">
        <w:t xml:space="preserve">original interest is in the overall disclosure, the robustness of the model was assessed using </w:t>
      </w:r>
      <w:r w:rsidR="000537F2" w:rsidRPr="008573C5">
        <w:t>the F-Statistics</w:t>
      </w:r>
      <w:r w:rsidR="00C63099" w:rsidRPr="008573C5">
        <w:t>.</w:t>
      </w:r>
      <w:r w:rsidRPr="008573C5">
        <w:t xml:space="preserve"> For </w:t>
      </w:r>
      <w:r w:rsidR="00DB0E1C" w:rsidRPr="008573C5">
        <w:t>Model</w:t>
      </w:r>
      <w:r w:rsidR="000537F2" w:rsidRPr="008573C5">
        <w:t xml:space="preserve"> 1</w:t>
      </w:r>
      <w:r w:rsidR="00DB0E1C" w:rsidRPr="008573C5">
        <w:t>,</w:t>
      </w:r>
      <w:r w:rsidRPr="008573C5">
        <w:t xml:space="preserve"> </w:t>
      </w:r>
      <w:r w:rsidR="000537F2" w:rsidRPr="008573C5">
        <w:t>F-Statistics</w:t>
      </w:r>
      <w:r w:rsidRPr="008573C5">
        <w:rPr>
          <w:vertAlign w:val="superscript"/>
        </w:rPr>
        <w:t xml:space="preserve"> </w:t>
      </w:r>
      <w:r w:rsidRPr="008573C5">
        <w:t xml:space="preserve">= </w:t>
      </w:r>
      <w:r w:rsidR="000537F2" w:rsidRPr="008573C5">
        <w:t>10.120</w:t>
      </w:r>
      <w:r w:rsidRPr="008573C5">
        <w:t xml:space="preserve">, </w:t>
      </w:r>
      <w:r w:rsidR="000537F2" w:rsidRPr="008573C5">
        <w:t>For Model 2, F-Statistics</w:t>
      </w:r>
      <w:r w:rsidR="000537F2" w:rsidRPr="008573C5">
        <w:rPr>
          <w:vertAlign w:val="superscript"/>
        </w:rPr>
        <w:t xml:space="preserve"> </w:t>
      </w:r>
      <w:r w:rsidR="000537F2" w:rsidRPr="008573C5">
        <w:t>= 11.973</w:t>
      </w:r>
      <w:r w:rsidR="00DB0E1C" w:rsidRPr="008573C5">
        <w:t>,</w:t>
      </w:r>
      <w:r w:rsidR="000537F2" w:rsidRPr="008573C5">
        <w:t xml:space="preserve"> For Model 3, F-Statistics</w:t>
      </w:r>
      <w:r w:rsidR="000537F2" w:rsidRPr="008573C5">
        <w:rPr>
          <w:vertAlign w:val="superscript"/>
        </w:rPr>
        <w:t xml:space="preserve"> </w:t>
      </w:r>
      <w:r w:rsidR="000537F2" w:rsidRPr="008573C5">
        <w:t>= 17.894,</w:t>
      </w:r>
      <w:r w:rsidR="00DB0E1C" w:rsidRPr="008573C5">
        <w:t xml:space="preserve"> </w:t>
      </w:r>
      <w:r w:rsidR="000537F2" w:rsidRPr="008573C5">
        <w:t>For Model 4, F-Statistics</w:t>
      </w:r>
      <w:r w:rsidR="000537F2" w:rsidRPr="008573C5">
        <w:rPr>
          <w:vertAlign w:val="superscript"/>
        </w:rPr>
        <w:t xml:space="preserve"> </w:t>
      </w:r>
      <w:r w:rsidR="000537F2" w:rsidRPr="008573C5">
        <w:t>= 18.144</w:t>
      </w:r>
      <w:r w:rsidRPr="008573C5">
        <w:t xml:space="preserve">. </w:t>
      </w:r>
      <w:r w:rsidRPr="008573C5">
        <w:rPr>
          <w:rFonts w:eastAsia="Calibri"/>
        </w:rPr>
        <w:t>Comparing these models</w:t>
      </w:r>
      <w:r w:rsidR="00582664">
        <w:t xml:space="preserve"> it is clear that there i</w:t>
      </w:r>
      <w:r w:rsidRPr="008573C5">
        <w:t xml:space="preserve">s a gradual improvement in each method but the best model is </w:t>
      </w:r>
      <w:r w:rsidR="00DB0E1C" w:rsidRPr="008573C5">
        <w:t>equation A</w:t>
      </w:r>
      <w:r w:rsidRPr="008573C5">
        <w:rPr>
          <w:vertAlign w:val="subscript"/>
        </w:rPr>
        <w:t>1</w:t>
      </w:r>
      <w:r w:rsidR="003F770B" w:rsidRPr="008573C5">
        <w:rPr>
          <w:vertAlign w:val="subscript"/>
        </w:rPr>
        <w:t>3</w:t>
      </w:r>
      <w:r w:rsidRPr="008573C5">
        <w:rPr>
          <w:vertAlign w:val="subscript"/>
        </w:rPr>
        <w:t xml:space="preserve">, </w:t>
      </w:r>
      <w:r w:rsidRPr="008573C5">
        <w:t xml:space="preserve">where we have the highest explanatory power explaining </w:t>
      </w:r>
      <w:r w:rsidR="000537F2" w:rsidRPr="008573C5">
        <w:t>the variability</w:t>
      </w:r>
      <w:r w:rsidRPr="008573C5">
        <w:t xml:space="preserve"> of the dependent variable. With this we decided to use </w:t>
      </w:r>
      <w:r w:rsidR="003F770B" w:rsidRPr="008573C5">
        <w:t>equation A</w:t>
      </w:r>
      <w:r w:rsidRPr="008573C5">
        <w:rPr>
          <w:vertAlign w:val="subscript"/>
        </w:rPr>
        <w:t>1</w:t>
      </w:r>
      <w:r w:rsidR="003F770B" w:rsidRPr="008573C5">
        <w:rPr>
          <w:vertAlign w:val="subscript"/>
        </w:rPr>
        <w:t>3</w:t>
      </w:r>
      <w:r w:rsidRPr="008573C5">
        <w:rPr>
          <w:vertAlign w:val="subscript"/>
        </w:rPr>
        <w:t xml:space="preserve"> </w:t>
      </w:r>
      <w:r w:rsidRPr="008573C5">
        <w:t>as our core model in testing our hypothesis.</w:t>
      </w:r>
    </w:p>
    <w:p w:rsidR="00FF5EDF" w:rsidRPr="008573C5" w:rsidRDefault="00FF5EDF" w:rsidP="00FF5EDF">
      <w:pPr>
        <w:autoSpaceDE w:val="0"/>
        <w:autoSpaceDN w:val="0"/>
        <w:adjustRightInd w:val="0"/>
        <w:spacing w:line="480" w:lineRule="auto"/>
        <w:rPr>
          <w:lang w:val="en-GB"/>
        </w:rPr>
      </w:pPr>
    </w:p>
    <w:p w:rsidR="00FF5EDF" w:rsidRDefault="00E1476A" w:rsidP="00FF5EDF">
      <w:pPr>
        <w:autoSpaceDE w:val="0"/>
        <w:autoSpaceDN w:val="0"/>
        <w:adjustRightInd w:val="0"/>
        <w:spacing w:line="480" w:lineRule="auto"/>
        <w:rPr>
          <w:lang w:val="en-GB"/>
        </w:rPr>
      </w:pPr>
      <w:r>
        <w:rPr>
          <w:lang w:val="en-GB"/>
        </w:rPr>
        <w:t>The estimation result i</w:t>
      </w:r>
      <w:r w:rsidR="00FF5EDF" w:rsidRPr="008573C5">
        <w:rPr>
          <w:lang w:val="en-GB"/>
        </w:rPr>
        <w:t>s summarized in Table 4.</w:t>
      </w:r>
      <w:r>
        <w:rPr>
          <w:lang w:val="en-GB"/>
        </w:rPr>
        <w:t>24 as</w:t>
      </w:r>
      <w:r w:rsidR="00FF5EDF" w:rsidRPr="008573C5">
        <w:rPr>
          <w:lang w:val="en-GB"/>
        </w:rPr>
        <w:t xml:space="preserve"> </w:t>
      </w:r>
      <w:r w:rsidR="00582664">
        <w:rPr>
          <w:lang w:val="en-GB"/>
        </w:rPr>
        <w:t>shown</w:t>
      </w:r>
      <w:r w:rsidR="00FF5EDF" w:rsidRPr="008573C5">
        <w:rPr>
          <w:lang w:val="en-GB"/>
        </w:rPr>
        <w:t xml:space="preserve"> below:</w:t>
      </w:r>
    </w:p>
    <w:p w:rsidR="00E1476A" w:rsidRPr="00E1476A" w:rsidRDefault="00E1476A" w:rsidP="00E1476A">
      <w:pPr>
        <w:autoSpaceDE w:val="0"/>
        <w:autoSpaceDN w:val="0"/>
        <w:adjustRightInd w:val="0"/>
        <w:spacing w:line="480" w:lineRule="auto"/>
        <w:jc w:val="center"/>
        <w:rPr>
          <w:b/>
          <w:sz w:val="28"/>
          <w:szCs w:val="28"/>
          <w:lang w:val="en-GB"/>
        </w:rPr>
      </w:pPr>
      <w:r w:rsidRPr="00E1476A">
        <w:rPr>
          <w:b/>
          <w:sz w:val="28"/>
          <w:szCs w:val="28"/>
          <w:lang w:val="en-GB"/>
        </w:rPr>
        <w:t>Table 4.24</w:t>
      </w:r>
    </w:p>
    <w:p w:rsidR="00E1476A" w:rsidRPr="00E1476A" w:rsidRDefault="00E1476A" w:rsidP="00E1476A">
      <w:pPr>
        <w:autoSpaceDE w:val="0"/>
        <w:autoSpaceDN w:val="0"/>
        <w:adjustRightInd w:val="0"/>
        <w:spacing w:line="480" w:lineRule="auto"/>
        <w:jc w:val="center"/>
        <w:rPr>
          <w:b/>
          <w:sz w:val="28"/>
          <w:szCs w:val="28"/>
          <w:lang w:val="en-GB"/>
        </w:rPr>
      </w:pPr>
      <w:r w:rsidRPr="00E1476A">
        <w:rPr>
          <w:b/>
          <w:sz w:val="28"/>
          <w:szCs w:val="28"/>
          <w:lang w:val="en-GB"/>
        </w:rPr>
        <w:t>Estimated Result</w:t>
      </w:r>
    </w:p>
    <w:tbl>
      <w:tblPr>
        <w:tblStyle w:val="TableGrid"/>
        <w:tblW w:w="0" w:type="auto"/>
        <w:tblLook w:val="04A0"/>
      </w:tblPr>
      <w:tblGrid>
        <w:gridCol w:w="2178"/>
        <w:gridCol w:w="6347"/>
      </w:tblGrid>
      <w:tr w:rsidR="00E1476A" w:rsidTr="00E1476A">
        <w:tc>
          <w:tcPr>
            <w:tcW w:w="2178" w:type="dxa"/>
          </w:tcPr>
          <w:p w:rsidR="00E1476A" w:rsidRPr="00E1476A" w:rsidRDefault="00E1476A" w:rsidP="00E1476A">
            <w:pPr>
              <w:autoSpaceDE w:val="0"/>
              <w:autoSpaceDN w:val="0"/>
              <w:adjustRightInd w:val="0"/>
              <w:spacing w:line="480" w:lineRule="auto"/>
              <w:jc w:val="center"/>
              <w:rPr>
                <w:b/>
                <w:sz w:val="22"/>
                <w:szCs w:val="22"/>
              </w:rPr>
            </w:pPr>
            <w:r>
              <w:rPr>
                <w:b/>
                <w:sz w:val="22"/>
                <w:szCs w:val="22"/>
              </w:rPr>
              <w:t>Dependent Variable</w:t>
            </w:r>
          </w:p>
        </w:tc>
        <w:tc>
          <w:tcPr>
            <w:tcW w:w="6347" w:type="dxa"/>
          </w:tcPr>
          <w:p w:rsidR="00E1476A" w:rsidRPr="008573C5" w:rsidRDefault="00E1476A" w:rsidP="00E1476A">
            <w:pPr>
              <w:autoSpaceDE w:val="0"/>
              <w:autoSpaceDN w:val="0"/>
              <w:adjustRightInd w:val="0"/>
              <w:spacing w:line="480" w:lineRule="auto"/>
              <w:jc w:val="center"/>
              <w:rPr>
                <w:b/>
                <w:bCs/>
              </w:rPr>
            </w:pPr>
            <w:r>
              <w:rPr>
                <w:b/>
                <w:bCs/>
              </w:rPr>
              <w:t>Independent Variables</w:t>
            </w:r>
          </w:p>
        </w:tc>
      </w:tr>
      <w:tr w:rsidR="00E1476A" w:rsidTr="00E1476A">
        <w:tc>
          <w:tcPr>
            <w:tcW w:w="2178" w:type="dxa"/>
          </w:tcPr>
          <w:p w:rsidR="00E1476A" w:rsidRPr="00E1476A" w:rsidRDefault="00E1476A" w:rsidP="00E1476A">
            <w:pPr>
              <w:autoSpaceDE w:val="0"/>
              <w:autoSpaceDN w:val="0"/>
              <w:adjustRightInd w:val="0"/>
              <w:spacing w:line="480" w:lineRule="auto"/>
              <w:jc w:val="center"/>
              <w:rPr>
                <w:sz w:val="22"/>
                <w:szCs w:val="22"/>
              </w:rPr>
            </w:pPr>
            <w:r w:rsidRPr="00E1476A">
              <w:rPr>
                <w:sz w:val="22"/>
                <w:szCs w:val="22"/>
              </w:rPr>
              <w:t>ODI</w:t>
            </w:r>
          </w:p>
        </w:tc>
        <w:tc>
          <w:tcPr>
            <w:tcW w:w="6347" w:type="dxa"/>
          </w:tcPr>
          <w:p w:rsidR="00E1476A" w:rsidRPr="00E1476A" w:rsidRDefault="00E1476A" w:rsidP="00E1476A">
            <w:pPr>
              <w:autoSpaceDE w:val="0"/>
              <w:autoSpaceDN w:val="0"/>
              <w:adjustRightInd w:val="0"/>
              <w:spacing w:line="480" w:lineRule="auto"/>
              <w:rPr>
                <w:sz w:val="22"/>
                <w:szCs w:val="22"/>
              </w:rPr>
            </w:pPr>
            <w:r w:rsidRPr="00E1476A">
              <w:rPr>
                <w:bCs/>
              </w:rPr>
              <w:t>-11.711</w:t>
            </w:r>
            <w:r w:rsidRPr="00E1476A">
              <w:rPr>
                <w:bCs/>
                <w:vertAlign w:val="subscript"/>
              </w:rPr>
              <w:t xml:space="preserve"> </w:t>
            </w:r>
            <w:r w:rsidRPr="00E1476A">
              <w:rPr>
                <w:bCs/>
              </w:rPr>
              <w:t>+ 0.610SIZE (LTA) + 0.104PRO – 0.043RLEV + 0.043RAGE  + 4.719SEC + 20.990AUD+ 0.035RMULT</w:t>
            </w:r>
          </w:p>
        </w:tc>
      </w:tr>
    </w:tbl>
    <w:p w:rsidR="00E1476A" w:rsidRPr="008573C5" w:rsidRDefault="00E1476A" w:rsidP="00E1476A">
      <w:pPr>
        <w:autoSpaceDE w:val="0"/>
        <w:autoSpaceDN w:val="0"/>
        <w:adjustRightInd w:val="0"/>
        <w:jc w:val="center"/>
        <w:rPr>
          <w:rFonts w:eastAsia="Calibri"/>
          <w:b/>
          <w:bCs/>
        </w:rPr>
      </w:pPr>
      <w:r w:rsidRPr="008573C5">
        <w:rPr>
          <w:rFonts w:eastAsia="Calibri"/>
          <w:b/>
          <w:bCs/>
        </w:rPr>
        <w:t xml:space="preserve">Source: </w:t>
      </w:r>
      <w:r>
        <w:rPr>
          <w:rFonts w:eastAsia="Calibri"/>
          <w:b/>
          <w:bCs/>
        </w:rPr>
        <w:t xml:space="preserve">Computed by Researcher </w:t>
      </w:r>
      <w:r w:rsidRPr="008573C5">
        <w:rPr>
          <w:rFonts w:eastAsia="Calibri"/>
          <w:b/>
          <w:bCs/>
        </w:rPr>
        <w:t>(2009)</w:t>
      </w:r>
    </w:p>
    <w:p w:rsidR="00E1476A" w:rsidRPr="008573C5" w:rsidRDefault="00E1476A" w:rsidP="00E1476A">
      <w:pPr>
        <w:autoSpaceDE w:val="0"/>
        <w:autoSpaceDN w:val="0"/>
        <w:adjustRightInd w:val="0"/>
        <w:spacing w:line="480" w:lineRule="auto"/>
        <w:jc w:val="center"/>
        <w:rPr>
          <w:sz w:val="22"/>
          <w:szCs w:val="22"/>
        </w:rPr>
      </w:pPr>
      <w:r>
        <w:rPr>
          <w:sz w:val="22"/>
          <w:szCs w:val="22"/>
        </w:rPr>
        <w:t xml:space="preserve"> </w:t>
      </w:r>
    </w:p>
    <w:p w:rsidR="00B238A1" w:rsidRPr="008573C5" w:rsidRDefault="00B238A1" w:rsidP="00B238A1">
      <w:pPr>
        <w:tabs>
          <w:tab w:val="left" w:pos="6945"/>
        </w:tabs>
        <w:spacing w:before="100" w:beforeAutospacing="1" w:after="100" w:afterAutospacing="1" w:line="360" w:lineRule="auto"/>
        <w:rPr>
          <w:b/>
          <w:sz w:val="28"/>
          <w:szCs w:val="28"/>
        </w:rPr>
      </w:pPr>
      <w:r w:rsidRPr="008573C5">
        <w:rPr>
          <w:b/>
          <w:sz w:val="28"/>
          <w:szCs w:val="28"/>
        </w:rPr>
        <w:t xml:space="preserve">4.2.5   Voluntary Items Cluster Analysis </w:t>
      </w:r>
    </w:p>
    <w:p w:rsidR="00B238A1" w:rsidRPr="008573C5" w:rsidRDefault="00B238A1" w:rsidP="00B238A1">
      <w:pPr>
        <w:autoSpaceDE w:val="0"/>
        <w:autoSpaceDN w:val="0"/>
        <w:adjustRightInd w:val="0"/>
        <w:spacing w:line="360" w:lineRule="auto"/>
        <w:jc w:val="both"/>
      </w:pPr>
      <w:r w:rsidRPr="008573C5">
        <w:rPr>
          <w:rFonts w:eastAsia="Calibri"/>
        </w:rPr>
        <w:t>According to Chavent et al</w:t>
      </w:r>
      <w:r w:rsidR="007A05C5" w:rsidRPr="008573C5">
        <w:rPr>
          <w:rFonts w:eastAsia="Calibri"/>
        </w:rPr>
        <w:t xml:space="preserve">. </w:t>
      </w:r>
      <w:r w:rsidRPr="008573C5">
        <w:rPr>
          <w:rFonts w:eastAsia="Calibri"/>
        </w:rPr>
        <w:t>(2006:187), it is  acknowledged that a  major limitation of linear regression lies in</w:t>
      </w:r>
      <w:r w:rsidR="00582664">
        <w:rPr>
          <w:rFonts w:eastAsia="Calibri"/>
        </w:rPr>
        <w:t xml:space="preserve"> the</w:t>
      </w:r>
      <w:r w:rsidRPr="008573C5">
        <w:rPr>
          <w:rFonts w:eastAsia="Calibri"/>
        </w:rPr>
        <w:t xml:space="preserve"> fact that it cannot explore the pattern (profile) of items. Since the voluntary items are d</w:t>
      </w:r>
      <w:r w:rsidR="00394955" w:rsidRPr="008573C5">
        <w:rPr>
          <w:rFonts w:eastAsia="Calibri"/>
        </w:rPr>
        <w:t>iscretionary an</w:t>
      </w:r>
      <w:r w:rsidR="000A7A37" w:rsidRPr="008573C5">
        <w:rPr>
          <w:rFonts w:eastAsia="Calibri"/>
        </w:rPr>
        <w:t xml:space="preserve">d not mandatory, </w:t>
      </w:r>
      <w:r w:rsidR="00582664">
        <w:rPr>
          <w:rFonts w:eastAsia="Calibri"/>
        </w:rPr>
        <w:t xml:space="preserve">exploring </w:t>
      </w:r>
      <w:r w:rsidRPr="008573C5">
        <w:rPr>
          <w:rFonts w:eastAsia="Calibri"/>
        </w:rPr>
        <w:t>the voluntary items disclosure patterns using cluster analysis</w:t>
      </w:r>
      <w:r w:rsidR="00582664">
        <w:rPr>
          <w:rFonts w:eastAsia="Calibri"/>
        </w:rPr>
        <w:t xml:space="preserve"> is considered</w:t>
      </w:r>
      <w:r w:rsidRPr="008573C5">
        <w:rPr>
          <w:rFonts w:eastAsia="Calibri"/>
        </w:rPr>
        <w:t xml:space="preserve">. This reflects the structure of the published information. A </w:t>
      </w:r>
      <w:r w:rsidRPr="008573C5">
        <w:t xml:space="preserve">hierarchical classification is used instead of the </w:t>
      </w:r>
      <w:r w:rsidR="00394955" w:rsidRPr="008573C5">
        <w:t>Divisive</w:t>
      </w:r>
      <w:r w:rsidRPr="008573C5">
        <w:t xml:space="preserve"> method utilized by </w:t>
      </w:r>
      <w:r w:rsidRPr="008573C5">
        <w:rPr>
          <w:rFonts w:eastAsia="Calibri"/>
        </w:rPr>
        <w:t>Chavent et al</w:t>
      </w:r>
      <w:r w:rsidRPr="008573C5">
        <w:rPr>
          <w:rFonts w:eastAsia="Calibri"/>
          <w:i/>
        </w:rPr>
        <w:t xml:space="preserve"> </w:t>
      </w:r>
      <w:r w:rsidRPr="008573C5">
        <w:rPr>
          <w:rFonts w:eastAsia="Calibri"/>
        </w:rPr>
        <w:t xml:space="preserve">(2006:187) in </w:t>
      </w:r>
      <w:r w:rsidRPr="008573C5">
        <w:t xml:space="preserve">exploring the patterns for each aspect of disclosure. </w:t>
      </w:r>
    </w:p>
    <w:p w:rsidR="00B238A1" w:rsidRPr="008573C5" w:rsidRDefault="00B238A1" w:rsidP="00B238A1">
      <w:pPr>
        <w:autoSpaceDE w:val="0"/>
        <w:autoSpaceDN w:val="0"/>
        <w:adjustRightInd w:val="0"/>
        <w:spacing w:line="360" w:lineRule="auto"/>
        <w:jc w:val="both"/>
        <w:rPr>
          <w:b/>
        </w:rPr>
      </w:pPr>
    </w:p>
    <w:p w:rsidR="00B238A1" w:rsidRPr="008573C5" w:rsidRDefault="00B238A1" w:rsidP="00F1437B">
      <w:pPr>
        <w:autoSpaceDE w:val="0"/>
        <w:autoSpaceDN w:val="0"/>
        <w:adjustRightInd w:val="0"/>
        <w:spacing w:line="360" w:lineRule="auto"/>
        <w:jc w:val="both"/>
        <w:rPr>
          <w:b/>
          <w:sz w:val="28"/>
          <w:szCs w:val="28"/>
        </w:rPr>
      </w:pPr>
      <w:r w:rsidRPr="008573C5">
        <w:t xml:space="preserve">The result of the agglomerative hierarchical clustering method is </w:t>
      </w:r>
      <w:r w:rsidR="003809BB" w:rsidRPr="008573C5">
        <w:t xml:space="preserve">as </w:t>
      </w:r>
      <w:r w:rsidRPr="008573C5">
        <w:t xml:space="preserve">presented </w:t>
      </w:r>
      <w:r w:rsidR="003809BB" w:rsidRPr="008573C5">
        <w:t>on Table 4.2</w:t>
      </w:r>
      <w:r w:rsidR="00E1476A">
        <w:t>5</w:t>
      </w:r>
      <w:r w:rsidR="003809BB" w:rsidRPr="008573C5">
        <w:t xml:space="preserve"> below.</w:t>
      </w:r>
      <w:r w:rsidRPr="008573C5">
        <w:t xml:space="preserve"> </w:t>
      </w:r>
    </w:p>
    <w:p w:rsidR="00B238A1" w:rsidRPr="008573C5" w:rsidRDefault="00B238A1" w:rsidP="00B238A1">
      <w:pPr>
        <w:autoSpaceDE w:val="0"/>
        <w:autoSpaceDN w:val="0"/>
        <w:adjustRightInd w:val="0"/>
        <w:rPr>
          <w:rFonts w:ascii="System" w:eastAsia="Calibri" w:hAnsi="System" w:cs="System"/>
          <w:b/>
          <w:bCs/>
          <w:sz w:val="20"/>
          <w:szCs w:val="20"/>
        </w:rPr>
      </w:pPr>
    </w:p>
    <w:p w:rsidR="009664A4" w:rsidRPr="008573C5" w:rsidRDefault="009664A4" w:rsidP="00B238A1">
      <w:pPr>
        <w:autoSpaceDE w:val="0"/>
        <w:autoSpaceDN w:val="0"/>
        <w:adjustRightInd w:val="0"/>
        <w:jc w:val="center"/>
        <w:rPr>
          <w:b/>
          <w:sz w:val="28"/>
          <w:szCs w:val="28"/>
        </w:rPr>
      </w:pPr>
    </w:p>
    <w:p w:rsidR="009664A4" w:rsidRPr="008573C5" w:rsidRDefault="009664A4" w:rsidP="00B238A1">
      <w:pPr>
        <w:autoSpaceDE w:val="0"/>
        <w:autoSpaceDN w:val="0"/>
        <w:adjustRightInd w:val="0"/>
        <w:jc w:val="center"/>
        <w:rPr>
          <w:b/>
          <w:sz w:val="28"/>
          <w:szCs w:val="28"/>
        </w:rPr>
      </w:pPr>
    </w:p>
    <w:p w:rsidR="00B238A1" w:rsidRPr="008573C5" w:rsidRDefault="00B238A1" w:rsidP="00B238A1">
      <w:pPr>
        <w:autoSpaceDE w:val="0"/>
        <w:autoSpaceDN w:val="0"/>
        <w:adjustRightInd w:val="0"/>
        <w:jc w:val="center"/>
        <w:rPr>
          <w:rFonts w:ascii="System" w:eastAsia="Calibri" w:hAnsi="System" w:cs="System"/>
          <w:b/>
          <w:bCs/>
          <w:sz w:val="28"/>
          <w:szCs w:val="28"/>
        </w:rPr>
      </w:pPr>
      <w:r w:rsidRPr="008573C5">
        <w:rPr>
          <w:b/>
          <w:sz w:val="28"/>
          <w:szCs w:val="28"/>
        </w:rPr>
        <w:t>Table 4.</w:t>
      </w:r>
      <w:r w:rsidR="00E1476A">
        <w:rPr>
          <w:b/>
          <w:sz w:val="28"/>
          <w:szCs w:val="28"/>
        </w:rPr>
        <w:t>25</w:t>
      </w:r>
      <w:r w:rsidRPr="008573C5">
        <w:rPr>
          <w:b/>
          <w:sz w:val="28"/>
          <w:szCs w:val="28"/>
        </w:rPr>
        <w:t>: Voluntary Disclosures Hierarchical Cluster Results</w:t>
      </w:r>
    </w:p>
    <w:p w:rsidR="00B238A1" w:rsidRPr="008573C5" w:rsidRDefault="00B238A1" w:rsidP="00B238A1">
      <w:pPr>
        <w:autoSpaceDE w:val="0"/>
        <w:autoSpaceDN w:val="0"/>
        <w:adjustRightInd w:val="0"/>
        <w:rPr>
          <w:rFonts w:ascii="System" w:eastAsia="Calibri" w:hAnsi="System" w:cs="System"/>
          <w:b/>
          <w:bCs/>
          <w:sz w:val="28"/>
          <w:szCs w:val="28"/>
        </w:rPr>
      </w:pPr>
    </w:p>
    <w:p w:rsidR="00B238A1" w:rsidRPr="008573C5" w:rsidRDefault="00B238A1" w:rsidP="00B238A1">
      <w:pPr>
        <w:autoSpaceDE w:val="0"/>
        <w:autoSpaceDN w:val="0"/>
        <w:adjustRightInd w:val="0"/>
        <w:rPr>
          <w:rFonts w:ascii="System" w:eastAsia="Calibri" w:hAnsi="System" w:cs="System"/>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5"/>
        <w:gridCol w:w="1212"/>
        <w:gridCol w:w="1212"/>
        <w:gridCol w:w="1212"/>
        <w:gridCol w:w="1212"/>
        <w:gridCol w:w="1212"/>
        <w:gridCol w:w="1190"/>
      </w:tblGrid>
      <w:tr w:rsidR="00B238A1" w:rsidRPr="008573C5" w:rsidTr="00821D73">
        <w:tc>
          <w:tcPr>
            <w:tcW w:w="1275" w:type="dxa"/>
          </w:tcPr>
          <w:p w:rsidR="00B238A1" w:rsidRPr="008573C5" w:rsidRDefault="00B238A1" w:rsidP="00821D73">
            <w:pPr>
              <w:spacing w:before="100" w:beforeAutospacing="1" w:after="100" w:afterAutospacing="1" w:line="480" w:lineRule="auto"/>
              <w:rPr>
                <w:sz w:val="22"/>
                <w:szCs w:val="22"/>
              </w:rPr>
            </w:pP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Group 1</w:t>
            </w:r>
          </w:p>
          <w:p w:rsidR="00B238A1" w:rsidRPr="008573C5" w:rsidRDefault="00B238A1" w:rsidP="00821D73">
            <w:pPr>
              <w:spacing w:before="100" w:beforeAutospacing="1" w:after="100" w:afterAutospacing="1" w:line="480" w:lineRule="auto"/>
              <w:rPr>
                <w:sz w:val="22"/>
                <w:szCs w:val="22"/>
              </w:rPr>
            </w:pPr>
            <w:r w:rsidRPr="008573C5">
              <w:rPr>
                <w:sz w:val="22"/>
                <w:szCs w:val="22"/>
              </w:rPr>
              <w:t>(%)</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Group 2</w:t>
            </w:r>
          </w:p>
          <w:p w:rsidR="00B238A1" w:rsidRPr="008573C5" w:rsidRDefault="00B238A1" w:rsidP="00821D73">
            <w:pPr>
              <w:spacing w:before="100" w:beforeAutospacing="1" w:after="100" w:afterAutospacing="1" w:line="480" w:lineRule="auto"/>
              <w:rPr>
                <w:sz w:val="22"/>
                <w:szCs w:val="22"/>
              </w:rPr>
            </w:pPr>
            <w:r w:rsidRPr="008573C5">
              <w:rPr>
                <w:sz w:val="22"/>
                <w:szCs w:val="22"/>
              </w:rPr>
              <w:t>(%)</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Group 3</w:t>
            </w:r>
          </w:p>
          <w:p w:rsidR="00B238A1" w:rsidRPr="008573C5" w:rsidRDefault="00B238A1" w:rsidP="00821D73">
            <w:pPr>
              <w:spacing w:before="100" w:beforeAutospacing="1" w:after="100" w:afterAutospacing="1" w:line="480" w:lineRule="auto"/>
              <w:rPr>
                <w:sz w:val="22"/>
                <w:szCs w:val="22"/>
              </w:rPr>
            </w:pPr>
            <w:r w:rsidRPr="008573C5">
              <w:rPr>
                <w:sz w:val="22"/>
                <w:szCs w:val="22"/>
              </w:rPr>
              <w:t>(%)</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Group 4</w:t>
            </w:r>
          </w:p>
          <w:p w:rsidR="00B238A1" w:rsidRPr="008573C5" w:rsidRDefault="00B238A1" w:rsidP="00821D73">
            <w:pPr>
              <w:spacing w:before="100" w:beforeAutospacing="1" w:after="100" w:afterAutospacing="1" w:line="480" w:lineRule="auto"/>
              <w:rPr>
                <w:sz w:val="22"/>
                <w:szCs w:val="22"/>
              </w:rPr>
            </w:pPr>
            <w:r w:rsidRPr="008573C5">
              <w:rPr>
                <w:sz w:val="22"/>
                <w:szCs w:val="22"/>
              </w:rPr>
              <w:t>(%)</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Group 5</w:t>
            </w:r>
          </w:p>
          <w:p w:rsidR="00B238A1" w:rsidRPr="008573C5" w:rsidRDefault="00B238A1" w:rsidP="00821D73">
            <w:pPr>
              <w:spacing w:before="100" w:beforeAutospacing="1" w:after="100" w:afterAutospacing="1" w:line="480" w:lineRule="auto"/>
              <w:rPr>
                <w:sz w:val="22"/>
                <w:szCs w:val="22"/>
              </w:rPr>
            </w:pPr>
            <w:r w:rsidRPr="008573C5">
              <w:rPr>
                <w:sz w:val="22"/>
                <w:szCs w:val="22"/>
              </w:rPr>
              <w:t>(%)</w:t>
            </w:r>
          </w:p>
        </w:tc>
        <w:tc>
          <w:tcPr>
            <w:tcW w:w="1190"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p value</w:t>
            </w:r>
          </w:p>
          <w:p w:rsidR="00B238A1" w:rsidRPr="008573C5" w:rsidRDefault="00B238A1" w:rsidP="00821D73">
            <w:pPr>
              <w:spacing w:before="100" w:beforeAutospacing="1" w:after="100" w:afterAutospacing="1" w:line="480" w:lineRule="auto"/>
              <w:rPr>
                <w:sz w:val="22"/>
                <w:szCs w:val="22"/>
              </w:rPr>
            </w:pPr>
            <w:r w:rsidRPr="008573C5">
              <w:rPr>
                <w:sz w:val="22"/>
                <w:szCs w:val="22"/>
              </w:rPr>
              <w:t xml:space="preserve"> ( X</w:t>
            </w:r>
            <w:r w:rsidRPr="008573C5">
              <w:rPr>
                <w:sz w:val="22"/>
                <w:szCs w:val="22"/>
                <w:vertAlign w:val="superscript"/>
              </w:rPr>
              <w:t>2</w:t>
            </w:r>
            <w:r w:rsidRPr="008573C5">
              <w:rPr>
                <w:sz w:val="22"/>
                <w:szCs w:val="22"/>
              </w:rPr>
              <w:t>)</w:t>
            </w:r>
          </w:p>
        </w:tc>
      </w:tr>
      <w:tr w:rsidR="00B238A1" w:rsidRPr="008573C5" w:rsidTr="00821D73">
        <w:tc>
          <w:tcPr>
            <w:tcW w:w="1275" w:type="dxa"/>
          </w:tcPr>
          <w:p w:rsidR="00B238A1" w:rsidRPr="008573C5" w:rsidRDefault="001346C4" w:rsidP="00821D73">
            <w:pPr>
              <w:spacing w:before="100" w:beforeAutospacing="1" w:after="100" w:afterAutospacing="1" w:line="480" w:lineRule="auto"/>
              <w:rPr>
                <w:sz w:val="22"/>
                <w:szCs w:val="22"/>
              </w:rPr>
            </w:pPr>
            <w:r w:rsidRPr="008573C5">
              <w:rPr>
                <w:sz w:val="22"/>
                <w:szCs w:val="22"/>
              </w:rPr>
              <w:t>Item</w:t>
            </w:r>
            <w:r w:rsidR="00B238A1" w:rsidRPr="008573C5">
              <w:rPr>
                <w:sz w:val="22"/>
                <w:szCs w:val="22"/>
              </w:rPr>
              <w:t xml:space="preserve"> 1</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93.1</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64.5</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66.7</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91.7</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20</w:t>
            </w:r>
          </w:p>
        </w:tc>
        <w:tc>
          <w:tcPr>
            <w:tcW w:w="1190"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.000</w:t>
            </w:r>
          </w:p>
        </w:tc>
      </w:tr>
      <w:tr w:rsidR="00B238A1" w:rsidRPr="008573C5" w:rsidTr="00821D73">
        <w:tc>
          <w:tcPr>
            <w:tcW w:w="1275" w:type="dxa"/>
          </w:tcPr>
          <w:p w:rsidR="00B238A1" w:rsidRPr="008573C5" w:rsidRDefault="001346C4" w:rsidP="00821D73">
            <w:pPr>
              <w:rPr>
                <w:sz w:val="22"/>
                <w:szCs w:val="22"/>
              </w:rPr>
            </w:pPr>
            <w:r w:rsidRPr="008573C5">
              <w:rPr>
                <w:sz w:val="22"/>
                <w:szCs w:val="22"/>
              </w:rPr>
              <w:t>Item</w:t>
            </w:r>
            <w:r w:rsidR="00B238A1" w:rsidRPr="008573C5">
              <w:rPr>
                <w:sz w:val="22"/>
                <w:szCs w:val="22"/>
              </w:rPr>
              <w:t xml:space="preserve"> 3</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100</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w:t>
            </w:r>
          </w:p>
        </w:tc>
        <w:tc>
          <w:tcPr>
            <w:tcW w:w="1212" w:type="dxa"/>
          </w:tcPr>
          <w:p w:rsidR="00B238A1" w:rsidRPr="008573C5" w:rsidRDefault="00B238A1" w:rsidP="00821D73">
            <w:pPr>
              <w:rPr>
                <w:sz w:val="22"/>
                <w:szCs w:val="22"/>
              </w:rPr>
            </w:pPr>
            <w:r w:rsidRPr="008573C5">
              <w:rPr>
                <w:sz w:val="22"/>
                <w:szCs w:val="22"/>
              </w:rPr>
              <w:t>66.7</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100</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w:t>
            </w:r>
          </w:p>
        </w:tc>
        <w:tc>
          <w:tcPr>
            <w:tcW w:w="1190"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.000</w:t>
            </w:r>
          </w:p>
        </w:tc>
      </w:tr>
      <w:tr w:rsidR="00B238A1" w:rsidRPr="008573C5" w:rsidTr="00821D73">
        <w:tc>
          <w:tcPr>
            <w:tcW w:w="1275" w:type="dxa"/>
          </w:tcPr>
          <w:p w:rsidR="00B238A1" w:rsidRPr="008573C5" w:rsidRDefault="001346C4" w:rsidP="00821D73">
            <w:pPr>
              <w:rPr>
                <w:sz w:val="22"/>
                <w:szCs w:val="22"/>
              </w:rPr>
            </w:pPr>
            <w:r w:rsidRPr="008573C5">
              <w:rPr>
                <w:sz w:val="22"/>
                <w:szCs w:val="22"/>
              </w:rPr>
              <w:t>Item</w:t>
            </w:r>
            <w:r w:rsidR="00B238A1" w:rsidRPr="008573C5">
              <w:rPr>
                <w:sz w:val="22"/>
                <w:szCs w:val="22"/>
              </w:rPr>
              <w:t xml:space="preserve"> 4</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31</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3.2</w:t>
            </w:r>
          </w:p>
        </w:tc>
        <w:tc>
          <w:tcPr>
            <w:tcW w:w="1212" w:type="dxa"/>
          </w:tcPr>
          <w:p w:rsidR="00B238A1" w:rsidRPr="008573C5" w:rsidRDefault="00B238A1" w:rsidP="00821D73">
            <w:pPr>
              <w:rPr>
                <w:sz w:val="22"/>
                <w:szCs w:val="22"/>
              </w:rPr>
            </w:pPr>
            <w:r w:rsidRPr="008573C5">
              <w:rPr>
                <w:sz w:val="22"/>
                <w:szCs w:val="22"/>
              </w:rPr>
              <w:t>66.7</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w:t>
            </w:r>
          </w:p>
        </w:tc>
        <w:tc>
          <w:tcPr>
            <w:tcW w:w="1190"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.000</w:t>
            </w:r>
          </w:p>
        </w:tc>
      </w:tr>
      <w:tr w:rsidR="00B238A1" w:rsidRPr="008573C5" w:rsidTr="00821D73">
        <w:tc>
          <w:tcPr>
            <w:tcW w:w="1275" w:type="dxa"/>
          </w:tcPr>
          <w:p w:rsidR="00B238A1" w:rsidRPr="008573C5" w:rsidRDefault="001346C4" w:rsidP="00821D73">
            <w:pPr>
              <w:rPr>
                <w:sz w:val="22"/>
                <w:szCs w:val="22"/>
              </w:rPr>
            </w:pPr>
            <w:r w:rsidRPr="008573C5">
              <w:rPr>
                <w:sz w:val="22"/>
                <w:szCs w:val="22"/>
              </w:rPr>
              <w:t>Item</w:t>
            </w:r>
            <w:r w:rsidR="00B238A1" w:rsidRPr="008573C5">
              <w:rPr>
                <w:sz w:val="22"/>
                <w:szCs w:val="22"/>
              </w:rPr>
              <w:t xml:space="preserve"> 5</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17.2</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29.0</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100</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8.3</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6.7</w:t>
            </w:r>
          </w:p>
        </w:tc>
        <w:tc>
          <w:tcPr>
            <w:tcW w:w="1190"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.003</w:t>
            </w:r>
          </w:p>
        </w:tc>
      </w:tr>
      <w:tr w:rsidR="00B238A1" w:rsidRPr="008573C5" w:rsidTr="00821D73">
        <w:tc>
          <w:tcPr>
            <w:tcW w:w="1275" w:type="dxa"/>
          </w:tcPr>
          <w:p w:rsidR="00B238A1" w:rsidRPr="008573C5" w:rsidRDefault="001346C4" w:rsidP="00821D73">
            <w:pPr>
              <w:rPr>
                <w:sz w:val="22"/>
                <w:szCs w:val="22"/>
              </w:rPr>
            </w:pPr>
            <w:r w:rsidRPr="008573C5">
              <w:rPr>
                <w:sz w:val="22"/>
                <w:szCs w:val="22"/>
              </w:rPr>
              <w:t>Item</w:t>
            </w:r>
            <w:r w:rsidR="00B238A1" w:rsidRPr="008573C5">
              <w:rPr>
                <w:sz w:val="22"/>
                <w:szCs w:val="22"/>
              </w:rPr>
              <w:t xml:space="preserve"> 6</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100</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96.8</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100</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w:t>
            </w:r>
          </w:p>
        </w:tc>
        <w:tc>
          <w:tcPr>
            <w:tcW w:w="1190"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.194</w:t>
            </w:r>
          </w:p>
        </w:tc>
      </w:tr>
      <w:tr w:rsidR="00B238A1" w:rsidRPr="008573C5" w:rsidTr="00821D73">
        <w:tc>
          <w:tcPr>
            <w:tcW w:w="1275" w:type="dxa"/>
          </w:tcPr>
          <w:p w:rsidR="00B238A1" w:rsidRPr="008573C5" w:rsidRDefault="001346C4" w:rsidP="00821D73">
            <w:pPr>
              <w:rPr>
                <w:sz w:val="22"/>
                <w:szCs w:val="22"/>
              </w:rPr>
            </w:pPr>
            <w:r w:rsidRPr="008573C5">
              <w:rPr>
                <w:sz w:val="22"/>
                <w:szCs w:val="22"/>
              </w:rPr>
              <w:t>Item</w:t>
            </w:r>
            <w:r w:rsidR="00B238A1" w:rsidRPr="008573C5">
              <w:rPr>
                <w:sz w:val="22"/>
                <w:szCs w:val="22"/>
              </w:rPr>
              <w:t xml:space="preserve"> 7</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100</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96.8</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100</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w:t>
            </w:r>
          </w:p>
        </w:tc>
        <w:tc>
          <w:tcPr>
            <w:tcW w:w="1190"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.000</w:t>
            </w:r>
          </w:p>
        </w:tc>
      </w:tr>
      <w:tr w:rsidR="00B238A1" w:rsidRPr="008573C5" w:rsidTr="00821D73">
        <w:tc>
          <w:tcPr>
            <w:tcW w:w="1275" w:type="dxa"/>
          </w:tcPr>
          <w:p w:rsidR="00B238A1" w:rsidRPr="008573C5" w:rsidRDefault="001346C4" w:rsidP="00821D73">
            <w:pPr>
              <w:rPr>
                <w:sz w:val="22"/>
                <w:szCs w:val="22"/>
              </w:rPr>
            </w:pPr>
            <w:r w:rsidRPr="008573C5">
              <w:rPr>
                <w:sz w:val="22"/>
                <w:szCs w:val="22"/>
              </w:rPr>
              <w:t>Item</w:t>
            </w:r>
            <w:r w:rsidR="00B238A1" w:rsidRPr="008573C5">
              <w:rPr>
                <w:sz w:val="22"/>
                <w:szCs w:val="22"/>
              </w:rPr>
              <w:t xml:space="preserve"> 8</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100</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96.8</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100</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w:t>
            </w:r>
          </w:p>
        </w:tc>
        <w:tc>
          <w:tcPr>
            <w:tcW w:w="1190"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.000</w:t>
            </w:r>
          </w:p>
        </w:tc>
      </w:tr>
      <w:tr w:rsidR="00B238A1" w:rsidRPr="008573C5" w:rsidTr="00821D73">
        <w:tc>
          <w:tcPr>
            <w:tcW w:w="1275" w:type="dxa"/>
          </w:tcPr>
          <w:p w:rsidR="00B238A1" w:rsidRPr="008573C5" w:rsidRDefault="001346C4" w:rsidP="00821D73">
            <w:pPr>
              <w:rPr>
                <w:sz w:val="22"/>
                <w:szCs w:val="22"/>
              </w:rPr>
            </w:pPr>
            <w:r w:rsidRPr="008573C5">
              <w:rPr>
                <w:sz w:val="22"/>
                <w:szCs w:val="22"/>
              </w:rPr>
              <w:t>Item</w:t>
            </w:r>
            <w:r w:rsidR="00B238A1" w:rsidRPr="008573C5">
              <w:rPr>
                <w:sz w:val="22"/>
                <w:szCs w:val="22"/>
              </w:rPr>
              <w:t xml:space="preserve"> 9</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6.5</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100</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w:t>
            </w:r>
          </w:p>
        </w:tc>
        <w:tc>
          <w:tcPr>
            <w:tcW w:w="1190"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.000</w:t>
            </w:r>
          </w:p>
        </w:tc>
      </w:tr>
      <w:tr w:rsidR="00B238A1" w:rsidRPr="008573C5" w:rsidTr="00821D73">
        <w:tc>
          <w:tcPr>
            <w:tcW w:w="1275" w:type="dxa"/>
          </w:tcPr>
          <w:p w:rsidR="00B238A1" w:rsidRPr="008573C5" w:rsidRDefault="001346C4" w:rsidP="00821D73">
            <w:pPr>
              <w:rPr>
                <w:sz w:val="22"/>
                <w:szCs w:val="22"/>
              </w:rPr>
            </w:pPr>
            <w:r w:rsidRPr="008573C5">
              <w:rPr>
                <w:sz w:val="22"/>
                <w:szCs w:val="22"/>
              </w:rPr>
              <w:t>Item</w:t>
            </w:r>
            <w:r w:rsidR="00B238A1" w:rsidRPr="008573C5">
              <w:rPr>
                <w:sz w:val="22"/>
                <w:szCs w:val="22"/>
              </w:rPr>
              <w:t xml:space="preserve"> 10</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17.2</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19.4</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33.3</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w:t>
            </w:r>
          </w:p>
        </w:tc>
        <w:tc>
          <w:tcPr>
            <w:tcW w:w="1190"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.052</w:t>
            </w:r>
          </w:p>
        </w:tc>
      </w:tr>
      <w:tr w:rsidR="00B238A1" w:rsidRPr="008573C5" w:rsidTr="00821D73">
        <w:tc>
          <w:tcPr>
            <w:tcW w:w="1275" w:type="dxa"/>
          </w:tcPr>
          <w:p w:rsidR="00B238A1" w:rsidRPr="008573C5" w:rsidRDefault="00B238A1" w:rsidP="00821D73">
            <w:pPr>
              <w:rPr>
                <w:sz w:val="22"/>
                <w:szCs w:val="22"/>
              </w:rPr>
            </w:pPr>
            <w:r w:rsidRPr="008573C5">
              <w:rPr>
                <w:sz w:val="22"/>
                <w:szCs w:val="22"/>
              </w:rPr>
              <w:t>Average</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55.85</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43.3</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63.34</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20</w:t>
            </w:r>
          </w:p>
        </w:tc>
        <w:tc>
          <w:tcPr>
            <w:tcW w:w="1212" w:type="dxa"/>
          </w:tcPr>
          <w:p w:rsidR="00B238A1" w:rsidRPr="008573C5" w:rsidRDefault="00B238A1" w:rsidP="00821D73">
            <w:pPr>
              <w:spacing w:before="100" w:beforeAutospacing="1" w:after="100" w:afterAutospacing="1" w:line="480" w:lineRule="auto"/>
              <w:rPr>
                <w:sz w:val="22"/>
                <w:szCs w:val="22"/>
              </w:rPr>
            </w:pPr>
            <w:r w:rsidRPr="008573C5">
              <w:rPr>
                <w:sz w:val="22"/>
                <w:szCs w:val="22"/>
              </w:rPr>
              <w:t>2.67</w:t>
            </w:r>
          </w:p>
        </w:tc>
        <w:tc>
          <w:tcPr>
            <w:tcW w:w="1190" w:type="dxa"/>
          </w:tcPr>
          <w:p w:rsidR="00B238A1" w:rsidRPr="008573C5" w:rsidRDefault="00B238A1" w:rsidP="00821D73">
            <w:pPr>
              <w:spacing w:before="100" w:beforeAutospacing="1" w:after="100" w:afterAutospacing="1" w:line="480" w:lineRule="auto"/>
              <w:rPr>
                <w:sz w:val="22"/>
                <w:szCs w:val="22"/>
              </w:rPr>
            </w:pPr>
          </w:p>
        </w:tc>
      </w:tr>
    </w:tbl>
    <w:p w:rsidR="00B238A1" w:rsidRPr="008573C5" w:rsidRDefault="00B238A1" w:rsidP="00B238A1">
      <w:pPr>
        <w:autoSpaceDE w:val="0"/>
        <w:autoSpaceDN w:val="0"/>
        <w:adjustRightInd w:val="0"/>
        <w:jc w:val="center"/>
        <w:rPr>
          <w:rFonts w:eastAsia="Calibri"/>
          <w:b/>
          <w:bCs/>
        </w:rPr>
      </w:pPr>
      <w:r w:rsidRPr="008573C5">
        <w:rPr>
          <w:rFonts w:eastAsia="Calibri"/>
          <w:b/>
          <w:bCs/>
        </w:rPr>
        <w:t>Source: Field Study (2009)</w:t>
      </w:r>
    </w:p>
    <w:p w:rsidR="00B238A1" w:rsidRPr="008573C5" w:rsidRDefault="00B238A1" w:rsidP="00B238A1">
      <w:pPr>
        <w:spacing w:after="120" w:line="480" w:lineRule="auto"/>
        <w:jc w:val="center"/>
      </w:pPr>
    </w:p>
    <w:p w:rsidR="00B238A1" w:rsidRPr="008573C5" w:rsidRDefault="00B238A1" w:rsidP="00B238A1">
      <w:pPr>
        <w:autoSpaceDE w:val="0"/>
        <w:autoSpaceDN w:val="0"/>
        <w:adjustRightInd w:val="0"/>
        <w:spacing w:line="360" w:lineRule="auto"/>
        <w:jc w:val="both"/>
      </w:pPr>
      <w:r w:rsidRPr="008573C5">
        <w:t xml:space="preserve">Appendix </w:t>
      </w:r>
      <w:r w:rsidR="00F741EB" w:rsidRPr="008573C5">
        <w:t>VII</w:t>
      </w:r>
      <w:r w:rsidRPr="008573C5">
        <w:t xml:space="preserve"> displays the agglomeration Schedule of the Voluntary Items. In the first stage of the schedule the two companies with </w:t>
      </w:r>
      <w:r w:rsidR="008332AD">
        <w:t>similar disclosures that group</w:t>
      </w:r>
      <w:r w:rsidRPr="008573C5">
        <w:t xml:space="preserve"> together as a single company are Company 77 and Company 89. At the middle of the schedule we have Company 8 and Company 18 combining together and towards the end of the schedule we have Company 4 and Company 12 coming together. At the end</w:t>
      </w:r>
      <w:r w:rsidR="008332AD">
        <w:t xml:space="preserve">, </w:t>
      </w:r>
      <w:r w:rsidRPr="008573C5">
        <w:t xml:space="preserve"> all the companies h</w:t>
      </w:r>
      <w:r w:rsidR="008332AD">
        <w:t>ave</w:t>
      </w:r>
      <w:r w:rsidRPr="008573C5">
        <w:t xml:space="preserve"> combined together to form a single company. The clusters identified in the dendrogram are classified into five groups: </w:t>
      </w:r>
      <w:r w:rsidR="001346C4" w:rsidRPr="008573C5">
        <w:t>G</w:t>
      </w:r>
      <w:r w:rsidRPr="008573C5">
        <w:t xml:space="preserve">roup </w:t>
      </w:r>
      <w:r w:rsidR="001346C4" w:rsidRPr="008573C5">
        <w:t>O</w:t>
      </w:r>
      <w:r w:rsidRPr="008573C5">
        <w:t xml:space="preserve">ne, twenty nine companies; </w:t>
      </w:r>
      <w:r w:rsidR="001346C4" w:rsidRPr="008573C5">
        <w:t>G</w:t>
      </w:r>
      <w:r w:rsidRPr="008573C5">
        <w:t xml:space="preserve">roup </w:t>
      </w:r>
      <w:r w:rsidR="001346C4" w:rsidRPr="008573C5">
        <w:t>T</w:t>
      </w:r>
      <w:r w:rsidRPr="008573C5">
        <w:t xml:space="preserve">wo, thirty one companies; </w:t>
      </w:r>
      <w:r w:rsidR="001346C4" w:rsidRPr="008573C5">
        <w:t>G</w:t>
      </w:r>
      <w:r w:rsidRPr="008573C5">
        <w:t xml:space="preserve">roup </w:t>
      </w:r>
      <w:r w:rsidR="001346C4" w:rsidRPr="008573C5">
        <w:t>Three, three companies; G</w:t>
      </w:r>
      <w:r w:rsidRPr="008573C5">
        <w:t xml:space="preserve">roup </w:t>
      </w:r>
      <w:r w:rsidR="001346C4" w:rsidRPr="008573C5">
        <w:t>F</w:t>
      </w:r>
      <w:r w:rsidRPr="008573C5">
        <w:t xml:space="preserve">our, twelve companies; and </w:t>
      </w:r>
      <w:r w:rsidR="001346C4" w:rsidRPr="008573C5">
        <w:t>Group F</w:t>
      </w:r>
      <w:r w:rsidRPr="008573C5">
        <w:t xml:space="preserve">ive, fifteen companies. All the companies in each group </w:t>
      </w:r>
      <w:r w:rsidR="00F741EB" w:rsidRPr="008573C5">
        <w:t>are as highlighted in Appendix VI</w:t>
      </w:r>
      <w:r w:rsidRPr="008573C5">
        <w:t>II. A descriptive statistics showing the percentage of companies that fully disclose the voluntary items in each group is as presented in Table 4.</w:t>
      </w:r>
      <w:r w:rsidR="00E1476A">
        <w:t>25</w:t>
      </w:r>
      <w:r w:rsidRPr="008573C5">
        <w:t xml:space="preserve"> above. Item 2 (Quantitative forecast of performance for the next year) </w:t>
      </w:r>
      <w:r w:rsidR="008332AD">
        <w:t>is not highlighted because it i</w:t>
      </w:r>
      <w:r w:rsidRPr="008573C5">
        <w:t>s not disclosed by any of the sampled companies. Generally</w:t>
      </w:r>
      <w:r w:rsidR="008332AD">
        <w:t xml:space="preserve">, </w:t>
      </w:r>
      <w:r w:rsidRPr="008573C5">
        <w:t xml:space="preserve"> items </w:t>
      </w:r>
      <w:r w:rsidR="008332AD">
        <w:t>are</w:t>
      </w:r>
      <w:r w:rsidRPr="008573C5">
        <w:t xml:space="preserve"> disclosed by 0% to 100% of the companies. Regarding total full disclosure level, Table 4.</w:t>
      </w:r>
      <w:r w:rsidR="00F741EB" w:rsidRPr="008573C5">
        <w:t>24</w:t>
      </w:r>
      <w:r w:rsidRPr="008573C5">
        <w:t xml:space="preserve"> shows that the companies in Group </w:t>
      </w:r>
      <w:r w:rsidR="00912D19" w:rsidRPr="008573C5">
        <w:t>Three</w:t>
      </w:r>
      <w:r w:rsidRPr="008573C5">
        <w:t xml:space="preserve"> (Dunlop  Nigeria Plc., First Bank of Nigeria Plc. Zenith Bank Plc.) disclose the highest qu</w:t>
      </w:r>
      <w:r w:rsidR="007A595A" w:rsidRPr="008573C5">
        <w:t>antity of voluntary information</w:t>
      </w:r>
      <w:r w:rsidRPr="008573C5">
        <w:t xml:space="preserve"> the average disc</w:t>
      </w:r>
      <w:r w:rsidR="007A595A" w:rsidRPr="008573C5">
        <w:t>losure for this group is 63.34%</w:t>
      </w:r>
      <w:r w:rsidRPr="008573C5">
        <w:t xml:space="preserve"> this is followed by group 1 (55.85), group 2 (43.3%), group 4 (20%) and group 5 (2.67%). The result reveals that companies from different industries are </w:t>
      </w:r>
      <w:r w:rsidR="008332AD">
        <w:t>represented in each group. It i</w:t>
      </w:r>
      <w:r w:rsidRPr="008573C5">
        <w:t xml:space="preserve">s considered </w:t>
      </w:r>
      <w:r w:rsidR="008332AD">
        <w:t>that the various groups differ</w:t>
      </w:r>
      <w:r w:rsidRPr="008573C5">
        <w:t xml:space="preserve"> in disclosing voluntary i</w:t>
      </w:r>
      <w:r w:rsidR="008332AD">
        <w:t>tems if the chi square result i</w:t>
      </w:r>
      <w:r w:rsidRPr="008573C5">
        <w:t xml:space="preserve">s significant at the 0.01 and 0.05 levels. From the </w:t>
      </w:r>
      <w:r w:rsidR="007A595A" w:rsidRPr="008573C5">
        <w:t>T</w:t>
      </w:r>
      <w:r w:rsidRPr="008573C5">
        <w:t xml:space="preserve">able </w:t>
      </w:r>
      <w:r w:rsidR="008332AD">
        <w:t>it is realised</w:t>
      </w:r>
      <w:r w:rsidRPr="008573C5">
        <w:t xml:space="preserve"> th</w:t>
      </w:r>
      <w:r w:rsidR="00E1476A">
        <w:t xml:space="preserve">at companies disclosure </w:t>
      </w:r>
      <w:r w:rsidR="008332AD">
        <w:t>a</w:t>
      </w:r>
      <w:r w:rsidR="00912D19" w:rsidRPr="008573C5">
        <w:t>re</w:t>
      </w:r>
      <w:r w:rsidRPr="008573C5">
        <w:t xml:space="preserve"> not of the same extent for all items except item 6 w</w:t>
      </w:r>
      <w:r w:rsidR="00912D19" w:rsidRPr="008573C5">
        <w:t>ith p-value of</w:t>
      </w:r>
      <w:r w:rsidRPr="008573C5">
        <w:t xml:space="preserve"> 0.194.</w:t>
      </w:r>
    </w:p>
    <w:p w:rsidR="00867C8A" w:rsidRPr="008573C5" w:rsidRDefault="00867C8A" w:rsidP="00B238A1">
      <w:pPr>
        <w:autoSpaceDE w:val="0"/>
        <w:autoSpaceDN w:val="0"/>
        <w:adjustRightInd w:val="0"/>
        <w:spacing w:line="360" w:lineRule="auto"/>
        <w:jc w:val="both"/>
      </w:pPr>
    </w:p>
    <w:p w:rsidR="00FF5EDF" w:rsidRPr="008573C5" w:rsidRDefault="00F03243" w:rsidP="00FF5EDF">
      <w:pPr>
        <w:spacing w:before="100" w:beforeAutospacing="1" w:after="100" w:afterAutospacing="1" w:line="480" w:lineRule="auto"/>
        <w:jc w:val="both"/>
        <w:rPr>
          <w:b/>
          <w:sz w:val="28"/>
          <w:szCs w:val="28"/>
        </w:rPr>
      </w:pPr>
      <w:r w:rsidRPr="008573C5">
        <w:rPr>
          <w:b/>
          <w:sz w:val="28"/>
          <w:szCs w:val="28"/>
        </w:rPr>
        <w:t>4.</w:t>
      </w:r>
      <w:r w:rsidR="002E5C79" w:rsidRPr="008573C5">
        <w:rPr>
          <w:b/>
          <w:sz w:val="28"/>
          <w:szCs w:val="28"/>
        </w:rPr>
        <w:t>2.6</w:t>
      </w:r>
      <w:r w:rsidR="00FF5EDF" w:rsidRPr="008573C5">
        <w:rPr>
          <w:b/>
          <w:sz w:val="28"/>
          <w:szCs w:val="28"/>
        </w:rPr>
        <w:tab/>
        <w:t>H</w:t>
      </w:r>
      <w:r w:rsidRPr="008573C5">
        <w:rPr>
          <w:b/>
          <w:sz w:val="28"/>
          <w:szCs w:val="28"/>
        </w:rPr>
        <w:t>ypotheses Testing</w:t>
      </w:r>
      <w:r w:rsidR="000E0B9C" w:rsidRPr="008573C5">
        <w:rPr>
          <w:b/>
          <w:sz w:val="28"/>
          <w:szCs w:val="28"/>
        </w:rPr>
        <w:t xml:space="preserve"> for Secondary Data</w:t>
      </w:r>
    </w:p>
    <w:p w:rsidR="00491A11" w:rsidRPr="008573C5" w:rsidRDefault="00491A11" w:rsidP="00491A11">
      <w:pPr>
        <w:spacing w:line="360" w:lineRule="auto"/>
      </w:pPr>
      <w:r w:rsidRPr="008573C5">
        <w:t>Hypothesis 1</w:t>
      </w:r>
    </w:p>
    <w:p w:rsidR="00491A11" w:rsidRPr="008573C5" w:rsidRDefault="00491A11" w:rsidP="00491A11">
      <w:pPr>
        <w:spacing w:line="360" w:lineRule="auto"/>
        <w:jc w:val="both"/>
        <w:rPr>
          <w:rFonts w:ascii="Times" w:hAnsi="Times" w:cs="Times"/>
        </w:rPr>
      </w:pPr>
      <w:r w:rsidRPr="008573C5">
        <w:rPr>
          <w:rFonts w:ascii="Times" w:hAnsi="Times" w:cs="Times"/>
        </w:rPr>
        <w:t>H</w:t>
      </w:r>
      <w:r w:rsidRPr="008573C5">
        <w:rPr>
          <w:rFonts w:ascii="Times" w:hAnsi="Times" w:cs="Times"/>
          <w:vertAlign w:val="subscript"/>
        </w:rPr>
        <w:t>o</w:t>
      </w:r>
      <w:r w:rsidRPr="008573C5">
        <w:rPr>
          <w:rFonts w:ascii="Times" w:hAnsi="Times" w:cs="Times"/>
        </w:rPr>
        <w:t>: The</w:t>
      </w:r>
      <w:r w:rsidR="007E1964" w:rsidRPr="008573C5">
        <w:rPr>
          <w:rFonts w:ascii="Times" w:hAnsi="Times" w:cs="Times"/>
        </w:rPr>
        <w:t>re is no significant difference in the</w:t>
      </w:r>
      <w:r w:rsidRPr="008573C5">
        <w:rPr>
          <w:rFonts w:ascii="Times" w:hAnsi="Times" w:cs="Times"/>
        </w:rPr>
        <w:t xml:space="preserve"> level of compliance with SASs disclosure requirements </w:t>
      </w:r>
      <w:r w:rsidR="007E1964" w:rsidRPr="008573C5">
        <w:rPr>
          <w:rFonts w:ascii="Times" w:hAnsi="Times" w:cs="Times"/>
        </w:rPr>
        <w:t xml:space="preserve">for </w:t>
      </w:r>
      <w:r w:rsidRPr="008573C5">
        <w:rPr>
          <w:rFonts w:ascii="Times" w:hAnsi="Times" w:cs="Times"/>
        </w:rPr>
        <w:t xml:space="preserve">listed financial </w:t>
      </w:r>
      <w:r w:rsidR="007E1964" w:rsidRPr="008573C5">
        <w:rPr>
          <w:rFonts w:ascii="Times" w:hAnsi="Times" w:cs="Times"/>
        </w:rPr>
        <w:t>and non-financial companies.</w:t>
      </w:r>
      <w:r w:rsidRPr="008573C5">
        <w:rPr>
          <w:rFonts w:ascii="Times" w:hAnsi="Times" w:cs="Times"/>
        </w:rPr>
        <w:t xml:space="preserve"> </w:t>
      </w:r>
    </w:p>
    <w:p w:rsidR="00491A11" w:rsidRPr="008573C5" w:rsidRDefault="00491A11" w:rsidP="00491A11">
      <w:pPr>
        <w:spacing w:line="360" w:lineRule="auto"/>
        <w:jc w:val="both"/>
        <w:rPr>
          <w:rFonts w:ascii="Times" w:hAnsi="Times" w:cs="Times"/>
        </w:rPr>
      </w:pPr>
      <w:r w:rsidRPr="008573C5">
        <w:rPr>
          <w:rFonts w:ascii="Times" w:hAnsi="Times" w:cs="Times"/>
        </w:rPr>
        <w:t>H</w:t>
      </w:r>
      <w:r w:rsidRPr="008573C5">
        <w:rPr>
          <w:rFonts w:ascii="Times" w:hAnsi="Times" w:cs="Times"/>
          <w:vertAlign w:val="subscript"/>
        </w:rPr>
        <w:t>1</w:t>
      </w:r>
      <w:r w:rsidRPr="008573C5">
        <w:rPr>
          <w:rFonts w:ascii="Times" w:hAnsi="Times" w:cs="Times"/>
        </w:rPr>
        <w:t xml:space="preserve">: </w:t>
      </w:r>
      <w:r w:rsidR="007E1964" w:rsidRPr="008573C5">
        <w:rPr>
          <w:rFonts w:ascii="Times" w:hAnsi="Times" w:cs="Times"/>
        </w:rPr>
        <w:t>There is a significant difference in the level of compliance with SASs disclosure requirements for listed financial and non-financial companies.</w:t>
      </w:r>
    </w:p>
    <w:p w:rsidR="008576AA" w:rsidRPr="008573C5" w:rsidRDefault="008576AA" w:rsidP="00B35F8E">
      <w:pPr>
        <w:spacing w:before="100" w:beforeAutospacing="1" w:after="100" w:afterAutospacing="1" w:line="360" w:lineRule="auto"/>
        <w:jc w:val="both"/>
        <w:rPr>
          <w:b/>
        </w:rPr>
      </w:pPr>
      <w:r w:rsidRPr="008573C5">
        <w:rPr>
          <w:b/>
        </w:rPr>
        <w:t>Descriptive Statistics and Independent t-test for Hypothesis 1</w:t>
      </w:r>
    </w:p>
    <w:p w:rsidR="00F811D2" w:rsidRPr="008573C5" w:rsidRDefault="00EB0733" w:rsidP="00EB0733">
      <w:pPr>
        <w:spacing w:line="360" w:lineRule="auto"/>
        <w:jc w:val="center"/>
        <w:rPr>
          <w:b/>
          <w:sz w:val="28"/>
          <w:szCs w:val="28"/>
        </w:rPr>
      </w:pPr>
      <w:r w:rsidRPr="008573C5">
        <w:rPr>
          <w:b/>
          <w:sz w:val="28"/>
          <w:szCs w:val="28"/>
        </w:rPr>
        <w:t xml:space="preserve">Table </w:t>
      </w:r>
      <w:r w:rsidR="008453FC" w:rsidRPr="008573C5">
        <w:rPr>
          <w:b/>
          <w:sz w:val="28"/>
          <w:szCs w:val="28"/>
        </w:rPr>
        <w:t>4.2</w:t>
      </w:r>
      <w:r w:rsidR="002E5C79" w:rsidRPr="008573C5">
        <w:rPr>
          <w:b/>
          <w:sz w:val="28"/>
          <w:szCs w:val="28"/>
        </w:rPr>
        <w:t>6</w:t>
      </w:r>
      <w:r w:rsidRPr="008573C5">
        <w:rPr>
          <w:b/>
          <w:sz w:val="28"/>
          <w:szCs w:val="28"/>
        </w:rPr>
        <w:t xml:space="preserve">: </w:t>
      </w:r>
      <w:r w:rsidR="008576AA" w:rsidRPr="008573C5">
        <w:rPr>
          <w:b/>
          <w:sz w:val="28"/>
          <w:szCs w:val="28"/>
        </w:rPr>
        <w:t xml:space="preserve"> </w:t>
      </w:r>
      <w:r w:rsidRPr="008573C5">
        <w:rPr>
          <w:b/>
          <w:sz w:val="28"/>
          <w:szCs w:val="28"/>
        </w:rPr>
        <w:t>Independent t-test</w:t>
      </w:r>
      <w:r w:rsidR="00281729" w:rsidRPr="008573C5">
        <w:rPr>
          <w:b/>
          <w:sz w:val="28"/>
          <w:szCs w:val="28"/>
        </w:rPr>
        <w:t xml:space="preserve"> for Hypothesis 1</w:t>
      </w:r>
    </w:p>
    <w:tbl>
      <w:tblPr>
        <w:tblStyle w:val="TableGrid"/>
        <w:tblW w:w="0" w:type="auto"/>
        <w:tblLook w:val="04A0"/>
      </w:tblPr>
      <w:tblGrid>
        <w:gridCol w:w="1499"/>
        <w:gridCol w:w="1481"/>
        <w:gridCol w:w="1403"/>
        <w:gridCol w:w="1524"/>
        <w:gridCol w:w="1398"/>
        <w:gridCol w:w="1220"/>
      </w:tblGrid>
      <w:tr w:rsidR="000039E9" w:rsidRPr="008573C5" w:rsidTr="000039E9">
        <w:tc>
          <w:tcPr>
            <w:tcW w:w="1499" w:type="dxa"/>
          </w:tcPr>
          <w:p w:rsidR="000039E9" w:rsidRPr="008573C5" w:rsidRDefault="000039E9" w:rsidP="00491A11">
            <w:pPr>
              <w:spacing w:line="360" w:lineRule="auto"/>
              <w:jc w:val="both"/>
            </w:pPr>
            <w:r w:rsidRPr="008573C5">
              <w:t>Sector</w:t>
            </w:r>
          </w:p>
        </w:tc>
        <w:tc>
          <w:tcPr>
            <w:tcW w:w="1481" w:type="dxa"/>
          </w:tcPr>
          <w:p w:rsidR="000039E9" w:rsidRPr="008573C5" w:rsidRDefault="000039E9" w:rsidP="00491A11">
            <w:pPr>
              <w:spacing w:line="360" w:lineRule="auto"/>
              <w:jc w:val="both"/>
            </w:pPr>
            <w:r w:rsidRPr="008573C5">
              <w:t>Number of Cases</w:t>
            </w:r>
          </w:p>
        </w:tc>
        <w:tc>
          <w:tcPr>
            <w:tcW w:w="1403" w:type="dxa"/>
          </w:tcPr>
          <w:p w:rsidR="000039E9" w:rsidRPr="008573C5" w:rsidRDefault="000039E9" w:rsidP="00491A11">
            <w:pPr>
              <w:spacing w:line="360" w:lineRule="auto"/>
              <w:jc w:val="both"/>
            </w:pPr>
            <w:r w:rsidRPr="008573C5">
              <w:t>Mean</w:t>
            </w:r>
          </w:p>
        </w:tc>
        <w:tc>
          <w:tcPr>
            <w:tcW w:w="1524" w:type="dxa"/>
          </w:tcPr>
          <w:p w:rsidR="000039E9" w:rsidRPr="008573C5" w:rsidRDefault="000039E9" w:rsidP="00491A11">
            <w:pPr>
              <w:spacing w:line="360" w:lineRule="auto"/>
              <w:jc w:val="both"/>
            </w:pPr>
            <w:r w:rsidRPr="008573C5">
              <w:t>Std Deviation</w:t>
            </w:r>
          </w:p>
        </w:tc>
        <w:tc>
          <w:tcPr>
            <w:tcW w:w="1398" w:type="dxa"/>
          </w:tcPr>
          <w:p w:rsidR="000039E9" w:rsidRPr="008573C5" w:rsidRDefault="000039E9" w:rsidP="00491A11">
            <w:pPr>
              <w:spacing w:line="360" w:lineRule="auto"/>
              <w:jc w:val="both"/>
            </w:pPr>
            <w:r w:rsidRPr="008573C5">
              <w:t>t-value</w:t>
            </w:r>
          </w:p>
        </w:tc>
        <w:tc>
          <w:tcPr>
            <w:tcW w:w="1220" w:type="dxa"/>
          </w:tcPr>
          <w:p w:rsidR="000039E9" w:rsidRPr="008573C5" w:rsidRDefault="000039E9" w:rsidP="00491A11">
            <w:pPr>
              <w:spacing w:line="360" w:lineRule="auto"/>
              <w:jc w:val="both"/>
            </w:pPr>
            <w:r w:rsidRPr="008573C5">
              <w:t xml:space="preserve">Eta </w:t>
            </w:r>
            <w:r w:rsidRPr="008573C5">
              <w:rPr>
                <w:vertAlign w:val="superscript"/>
              </w:rPr>
              <w:t>2</w:t>
            </w:r>
          </w:p>
        </w:tc>
      </w:tr>
      <w:tr w:rsidR="000039E9" w:rsidRPr="008573C5" w:rsidTr="000039E9">
        <w:tc>
          <w:tcPr>
            <w:tcW w:w="1499" w:type="dxa"/>
          </w:tcPr>
          <w:p w:rsidR="000039E9" w:rsidRPr="008573C5" w:rsidRDefault="000039E9" w:rsidP="00491A11">
            <w:pPr>
              <w:spacing w:line="360" w:lineRule="auto"/>
              <w:jc w:val="both"/>
            </w:pPr>
            <w:r w:rsidRPr="008573C5">
              <w:t>Financial</w:t>
            </w:r>
          </w:p>
          <w:p w:rsidR="000039E9" w:rsidRPr="008573C5" w:rsidRDefault="000039E9" w:rsidP="00491A11">
            <w:pPr>
              <w:spacing w:line="360" w:lineRule="auto"/>
              <w:jc w:val="both"/>
            </w:pPr>
            <w:r w:rsidRPr="008573C5">
              <w:t>Non-financial</w:t>
            </w:r>
          </w:p>
        </w:tc>
        <w:tc>
          <w:tcPr>
            <w:tcW w:w="1481" w:type="dxa"/>
          </w:tcPr>
          <w:p w:rsidR="000039E9" w:rsidRPr="008573C5" w:rsidRDefault="000039E9" w:rsidP="00491A11">
            <w:pPr>
              <w:spacing w:line="360" w:lineRule="auto"/>
              <w:jc w:val="both"/>
            </w:pPr>
            <w:r w:rsidRPr="008573C5">
              <w:t>29</w:t>
            </w:r>
          </w:p>
          <w:p w:rsidR="000039E9" w:rsidRPr="008573C5" w:rsidRDefault="000039E9" w:rsidP="00491A11">
            <w:pPr>
              <w:spacing w:line="360" w:lineRule="auto"/>
              <w:jc w:val="both"/>
            </w:pPr>
            <w:r w:rsidRPr="008573C5">
              <w:t>61</w:t>
            </w:r>
          </w:p>
        </w:tc>
        <w:tc>
          <w:tcPr>
            <w:tcW w:w="1403" w:type="dxa"/>
          </w:tcPr>
          <w:p w:rsidR="000039E9" w:rsidRPr="008573C5" w:rsidRDefault="000039E9" w:rsidP="00491A11">
            <w:pPr>
              <w:spacing w:line="360" w:lineRule="auto"/>
              <w:jc w:val="both"/>
            </w:pPr>
            <w:r w:rsidRPr="008573C5">
              <w:t>.8970</w:t>
            </w:r>
          </w:p>
          <w:p w:rsidR="000039E9" w:rsidRPr="008573C5" w:rsidRDefault="000039E9" w:rsidP="00491A11">
            <w:pPr>
              <w:spacing w:line="360" w:lineRule="auto"/>
              <w:jc w:val="both"/>
            </w:pPr>
            <w:r w:rsidRPr="008573C5">
              <w:t>.8770</w:t>
            </w:r>
          </w:p>
        </w:tc>
        <w:tc>
          <w:tcPr>
            <w:tcW w:w="1524" w:type="dxa"/>
          </w:tcPr>
          <w:p w:rsidR="000039E9" w:rsidRPr="008573C5" w:rsidRDefault="000039E9" w:rsidP="00491A11">
            <w:pPr>
              <w:spacing w:line="360" w:lineRule="auto"/>
              <w:jc w:val="both"/>
            </w:pPr>
            <w:r w:rsidRPr="008573C5">
              <w:t>.04890</w:t>
            </w:r>
          </w:p>
          <w:p w:rsidR="000039E9" w:rsidRPr="008573C5" w:rsidRDefault="000039E9" w:rsidP="00491A11">
            <w:pPr>
              <w:spacing w:line="360" w:lineRule="auto"/>
              <w:jc w:val="both"/>
            </w:pPr>
            <w:r w:rsidRPr="008573C5">
              <w:t>.08003</w:t>
            </w:r>
          </w:p>
        </w:tc>
        <w:tc>
          <w:tcPr>
            <w:tcW w:w="1398" w:type="dxa"/>
          </w:tcPr>
          <w:p w:rsidR="000039E9" w:rsidRPr="008573C5" w:rsidRDefault="000039E9" w:rsidP="00491A11">
            <w:pPr>
              <w:spacing w:line="360" w:lineRule="auto"/>
              <w:jc w:val="both"/>
            </w:pPr>
            <w:r w:rsidRPr="008573C5">
              <w:t>1.236</w:t>
            </w:r>
          </w:p>
        </w:tc>
        <w:tc>
          <w:tcPr>
            <w:tcW w:w="1220" w:type="dxa"/>
          </w:tcPr>
          <w:p w:rsidR="000039E9" w:rsidRPr="008573C5" w:rsidRDefault="000039E9" w:rsidP="00491A11">
            <w:pPr>
              <w:spacing w:line="360" w:lineRule="auto"/>
              <w:jc w:val="both"/>
            </w:pPr>
            <w:r w:rsidRPr="008573C5">
              <w:t>0.017</w:t>
            </w:r>
          </w:p>
        </w:tc>
      </w:tr>
    </w:tbl>
    <w:p w:rsidR="00B85521" w:rsidRPr="008573C5" w:rsidRDefault="00B85521" w:rsidP="00B85521">
      <w:pPr>
        <w:autoSpaceDE w:val="0"/>
        <w:autoSpaceDN w:val="0"/>
        <w:adjustRightInd w:val="0"/>
        <w:jc w:val="center"/>
        <w:rPr>
          <w:rFonts w:eastAsia="Calibri"/>
          <w:b/>
          <w:bCs/>
        </w:rPr>
      </w:pPr>
      <w:r w:rsidRPr="008573C5">
        <w:rPr>
          <w:rFonts w:eastAsia="Calibri"/>
          <w:b/>
          <w:bCs/>
        </w:rPr>
        <w:t>Source: Field Study (2009)</w:t>
      </w:r>
    </w:p>
    <w:p w:rsidR="00F811D2" w:rsidRPr="008573C5" w:rsidRDefault="00F811D2" w:rsidP="00B85521">
      <w:pPr>
        <w:spacing w:line="360" w:lineRule="auto"/>
        <w:jc w:val="center"/>
      </w:pPr>
    </w:p>
    <w:p w:rsidR="002C203E" w:rsidRPr="008573C5" w:rsidRDefault="002C203E" w:rsidP="001C65A0">
      <w:pPr>
        <w:spacing w:line="360" w:lineRule="auto"/>
        <w:jc w:val="both"/>
      </w:pPr>
    </w:p>
    <w:p w:rsidR="001C65A0" w:rsidRPr="008573C5" w:rsidRDefault="001C65A0" w:rsidP="001C65A0">
      <w:pPr>
        <w:spacing w:line="360" w:lineRule="auto"/>
        <w:jc w:val="both"/>
      </w:pPr>
      <w:r w:rsidRPr="008573C5">
        <w:t>The</w:t>
      </w:r>
      <w:r w:rsidR="000F20AD" w:rsidRPr="008573C5">
        <w:t xml:space="preserve"> </w:t>
      </w:r>
      <w:r w:rsidRPr="008573C5">
        <w:t xml:space="preserve">result of the </w:t>
      </w:r>
      <w:r w:rsidR="000F20AD" w:rsidRPr="008573C5">
        <w:t xml:space="preserve">independent samples t-test conducted to compare the SAS disclosure level for financial and non-financial </w:t>
      </w:r>
      <w:r w:rsidRPr="008573C5">
        <w:t xml:space="preserve">listed </w:t>
      </w:r>
      <w:r w:rsidR="000F20AD" w:rsidRPr="008573C5">
        <w:t>companies</w:t>
      </w:r>
      <w:r w:rsidRPr="008573C5">
        <w:t xml:space="preserve"> is as shown in Table </w:t>
      </w:r>
      <w:r w:rsidR="00807701" w:rsidRPr="008573C5">
        <w:t>4.2</w:t>
      </w:r>
      <w:r w:rsidR="00F741EB" w:rsidRPr="008573C5">
        <w:t>6</w:t>
      </w:r>
      <w:r w:rsidRPr="008573C5">
        <w:t xml:space="preserve"> above.</w:t>
      </w:r>
      <w:r w:rsidR="000F20AD" w:rsidRPr="008573C5">
        <w:t xml:space="preserve"> </w:t>
      </w:r>
      <w:r w:rsidR="00EB0733" w:rsidRPr="008573C5">
        <w:t xml:space="preserve">The Levene’s test for equality of variances </w:t>
      </w:r>
      <w:r w:rsidR="000F20AD" w:rsidRPr="008573C5">
        <w:t>gives a significant value of .335. This means that the data did not violate the assumption of equal variance since it is larger than .05. There is no significant difference in disclosure levels for financial (M=</w:t>
      </w:r>
      <w:r w:rsidRPr="008573C5">
        <w:t>0. 8970, SD=.04890), and non-financial listed companies (M= .8770, SD= .08003); t (88) = 1.236, p=.22</w:t>
      </w:r>
      <w:r w:rsidR="000039E9" w:rsidRPr="008573C5">
        <w:t xml:space="preserve">. The magnitude of the differences in the means </w:t>
      </w:r>
      <w:r w:rsidR="007A595A" w:rsidRPr="008573C5">
        <w:t>is</w:t>
      </w:r>
      <w:r w:rsidR="000039E9" w:rsidRPr="008573C5">
        <w:t xml:space="preserve"> very small ( eta squared = 0.017)</w:t>
      </w:r>
      <w:r w:rsidR="002C203E" w:rsidRPr="008573C5">
        <w:t>.</w:t>
      </w:r>
    </w:p>
    <w:p w:rsidR="002C203E" w:rsidRPr="008573C5" w:rsidRDefault="002C203E" w:rsidP="001C65A0">
      <w:pPr>
        <w:spacing w:line="360" w:lineRule="auto"/>
        <w:jc w:val="both"/>
      </w:pPr>
    </w:p>
    <w:p w:rsidR="002C203E" w:rsidRPr="008573C5" w:rsidRDefault="002C203E" w:rsidP="001C65A0">
      <w:pPr>
        <w:spacing w:line="360" w:lineRule="auto"/>
        <w:jc w:val="both"/>
      </w:pPr>
      <w:r w:rsidRPr="008573C5">
        <w:t xml:space="preserve">Thus, for Hypothesis 1, </w:t>
      </w:r>
      <w:r w:rsidRPr="008573C5">
        <w:rPr>
          <w:rFonts w:ascii="Times" w:hAnsi="Times" w:cs="Times"/>
        </w:rPr>
        <w:t>H</w:t>
      </w:r>
      <w:r w:rsidRPr="008573C5">
        <w:rPr>
          <w:rFonts w:ascii="Times" w:hAnsi="Times" w:cs="Times"/>
          <w:vertAlign w:val="subscript"/>
        </w:rPr>
        <w:t>o</w:t>
      </w:r>
      <w:r w:rsidRPr="008573C5">
        <w:t xml:space="preserve">  is </w:t>
      </w:r>
      <w:r w:rsidR="00A63C58">
        <w:t>retained</w:t>
      </w:r>
      <w:r w:rsidRPr="008573C5">
        <w:t xml:space="preserve"> and </w:t>
      </w:r>
      <w:r w:rsidRPr="008573C5">
        <w:rPr>
          <w:rFonts w:ascii="Times" w:hAnsi="Times" w:cs="Times"/>
        </w:rPr>
        <w:t>H</w:t>
      </w:r>
      <w:r w:rsidRPr="008573C5">
        <w:rPr>
          <w:rFonts w:ascii="Times" w:hAnsi="Times" w:cs="Times"/>
          <w:vertAlign w:val="subscript"/>
        </w:rPr>
        <w:t>1</w:t>
      </w:r>
      <w:r w:rsidRPr="008573C5">
        <w:t xml:space="preserve">  is rejected.</w:t>
      </w:r>
    </w:p>
    <w:p w:rsidR="00EB0733" w:rsidRPr="008573C5" w:rsidRDefault="00EB0733" w:rsidP="00491A11">
      <w:pPr>
        <w:spacing w:line="360" w:lineRule="auto"/>
        <w:jc w:val="both"/>
      </w:pPr>
    </w:p>
    <w:p w:rsidR="001067E9" w:rsidRPr="008573C5" w:rsidRDefault="001067E9" w:rsidP="00491A11">
      <w:pPr>
        <w:spacing w:line="360" w:lineRule="auto"/>
        <w:jc w:val="both"/>
      </w:pPr>
    </w:p>
    <w:p w:rsidR="00491A11" w:rsidRPr="008573C5" w:rsidRDefault="00491A11" w:rsidP="00491A11">
      <w:pPr>
        <w:spacing w:line="360" w:lineRule="auto"/>
        <w:jc w:val="both"/>
      </w:pPr>
      <w:r w:rsidRPr="008573C5">
        <w:t>Hypothesis 2</w:t>
      </w:r>
    </w:p>
    <w:p w:rsidR="00491A11" w:rsidRPr="008573C5" w:rsidRDefault="00491A11" w:rsidP="00491A11">
      <w:pPr>
        <w:spacing w:line="360" w:lineRule="auto"/>
        <w:jc w:val="both"/>
        <w:rPr>
          <w:rFonts w:ascii="Times" w:hAnsi="Times" w:cs="Times"/>
        </w:rPr>
      </w:pPr>
    </w:p>
    <w:p w:rsidR="00E123D2" w:rsidRPr="008573C5" w:rsidRDefault="00E123D2" w:rsidP="00E123D2">
      <w:pPr>
        <w:spacing w:line="360" w:lineRule="auto"/>
        <w:jc w:val="both"/>
        <w:rPr>
          <w:rFonts w:ascii="Times" w:hAnsi="Times" w:cs="Times"/>
        </w:rPr>
      </w:pPr>
      <w:r w:rsidRPr="008573C5">
        <w:rPr>
          <w:rFonts w:ascii="Times" w:hAnsi="Times" w:cs="Times"/>
        </w:rPr>
        <w:t>H</w:t>
      </w:r>
      <w:r w:rsidRPr="008573C5">
        <w:rPr>
          <w:rFonts w:ascii="Times" w:hAnsi="Times" w:cs="Times"/>
          <w:vertAlign w:val="subscript"/>
        </w:rPr>
        <w:t>o</w:t>
      </w:r>
      <w:r w:rsidRPr="008573C5">
        <w:rPr>
          <w:rFonts w:ascii="Times" w:hAnsi="Times" w:cs="Times"/>
        </w:rPr>
        <w:t xml:space="preserve">: There is no significant difference in the level of compliance with IFRS/IAS disclosures not contained in the SAS for listed financial and non-financial companies. </w:t>
      </w:r>
    </w:p>
    <w:p w:rsidR="00B35F8E" w:rsidRPr="008573C5" w:rsidRDefault="00E123D2" w:rsidP="000B4B09">
      <w:pPr>
        <w:spacing w:line="360" w:lineRule="auto"/>
        <w:jc w:val="both"/>
        <w:rPr>
          <w:rFonts w:ascii="Times" w:hAnsi="Times" w:cs="Times"/>
        </w:rPr>
      </w:pPr>
      <w:r w:rsidRPr="008573C5">
        <w:rPr>
          <w:rFonts w:ascii="Times" w:hAnsi="Times" w:cs="Times"/>
        </w:rPr>
        <w:t>H</w:t>
      </w:r>
      <w:r w:rsidRPr="008573C5">
        <w:rPr>
          <w:rFonts w:ascii="Times" w:hAnsi="Times" w:cs="Times"/>
          <w:vertAlign w:val="subscript"/>
        </w:rPr>
        <w:t>1</w:t>
      </w:r>
      <w:r w:rsidRPr="008573C5">
        <w:rPr>
          <w:rFonts w:ascii="Times" w:hAnsi="Times" w:cs="Times"/>
        </w:rPr>
        <w:t>: There is no significant difference in the level of compliance with IFRS/IAS disclosures not contained in the SAS for listed financial and non-financial companies.</w:t>
      </w:r>
    </w:p>
    <w:p w:rsidR="000B4B09" w:rsidRPr="008573C5" w:rsidRDefault="000B4B09" w:rsidP="000B4B09">
      <w:pPr>
        <w:spacing w:line="360" w:lineRule="auto"/>
        <w:jc w:val="both"/>
        <w:rPr>
          <w:b/>
        </w:rPr>
      </w:pPr>
    </w:p>
    <w:p w:rsidR="008576AA" w:rsidRPr="008573C5" w:rsidRDefault="008576AA" w:rsidP="00B35F8E">
      <w:pPr>
        <w:spacing w:before="100" w:beforeAutospacing="1" w:after="100" w:afterAutospacing="1" w:line="360" w:lineRule="auto"/>
        <w:jc w:val="both"/>
        <w:rPr>
          <w:b/>
        </w:rPr>
      </w:pPr>
      <w:r w:rsidRPr="008573C5">
        <w:rPr>
          <w:b/>
        </w:rPr>
        <w:t xml:space="preserve">Descriptive Statistics and Independent t-test for Hypothesis </w:t>
      </w:r>
      <w:r w:rsidR="00B35F8E" w:rsidRPr="008573C5">
        <w:rPr>
          <w:b/>
        </w:rPr>
        <w:t>2</w:t>
      </w:r>
    </w:p>
    <w:p w:rsidR="00281729" w:rsidRPr="008573C5" w:rsidRDefault="00281729" w:rsidP="00281729">
      <w:pPr>
        <w:spacing w:line="360" w:lineRule="auto"/>
        <w:jc w:val="center"/>
        <w:rPr>
          <w:b/>
          <w:sz w:val="28"/>
          <w:szCs w:val="28"/>
        </w:rPr>
      </w:pPr>
      <w:r w:rsidRPr="008573C5">
        <w:rPr>
          <w:b/>
          <w:sz w:val="28"/>
          <w:szCs w:val="28"/>
        </w:rPr>
        <w:t>Table 4.2</w:t>
      </w:r>
      <w:r w:rsidR="002E5C79" w:rsidRPr="008573C5">
        <w:rPr>
          <w:b/>
          <w:sz w:val="28"/>
          <w:szCs w:val="28"/>
        </w:rPr>
        <w:t>7</w:t>
      </w:r>
      <w:r w:rsidRPr="008573C5">
        <w:rPr>
          <w:b/>
          <w:sz w:val="28"/>
          <w:szCs w:val="28"/>
        </w:rPr>
        <w:t>:  Independent t-test for Hypothesis 2</w:t>
      </w:r>
    </w:p>
    <w:tbl>
      <w:tblPr>
        <w:tblStyle w:val="TableGrid"/>
        <w:tblW w:w="0" w:type="auto"/>
        <w:tblLook w:val="04A0"/>
      </w:tblPr>
      <w:tblGrid>
        <w:gridCol w:w="1499"/>
        <w:gridCol w:w="1481"/>
        <w:gridCol w:w="1403"/>
        <w:gridCol w:w="1524"/>
        <w:gridCol w:w="1398"/>
        <w:gridCol w:w="1220"/>
      </w:tblGrid>
      <w:tr w:rsidR="00E123D2" w:rsidRPr="008573C5" w:rsidTr="00A23403">
        <w:tc>
          <w:tcPr>
            <w:tcW w:w="1499" w:type="dxa"/>
          </w:tcPr>
          <w:p w:rsidR="00E123D2" w:rsidRPr="008573C5" w:rsidRDefault="00E123D2" w:rsidP="00A23403">
            <w:pPr>
              <w:spacing w:line="360" w:lineRule="auto"/>
              <w:jc w:val="both"/>
            </w:pPr>
            <w:r w:rsidRPr="008573C5">
              <w:t>Sector</w:t>
            </w:r>
          </w:p>
        </w:tc>
        <w:tc>
          <w:tcPr>
            <w:tcW w:w="1481" w:type="dxa"/>
          </w:tcPr>
          <w:p w:rsidR="00E123D2" w:rsidRPr="008573C5" w:rsidRDefault="00E123D2" w:rsidP="00A23403">
            <w:pPr>
              <w:spacing w:line="360" w:lineRule="auto"/>
              <w:jc w:val="both"/>
            </w:pPr>
            <w:r w:rsidRPr="008573C5">
              <w:t>Number of Cases</w:t>
            </w:r>
          </w:p>
        </w:tc>
        <w:tc>
          <w:tcPr>
            <w:tcW w:w="1403" w:type="dxa"/>
          </w:tcPr>
          <w:p w:rsidR="00E123D2" w:rsidRPr="008573C5" w:rsidRDefault="00E123D2" w:rsidP="00A23403">
            <w:pPr>
              <w:spacing w:line="360" w:lineRule="auto"/>
              <w:jc w:val="both"/>
            </w:pPr>
            <w:r w:rsidRPr="008573C5">
              <w:t>Mean</w:t>
            </w:r>
          </w:p>
        </w:tc>
        <w:tc>
          <w:tcPr>
            <w:tcW w:w="1524" w:type="dxa"/>
          </w:tcPr>
          <w:p w:rsidR="00E123D2" w:rsidRPr="008573C5" w:rsidRDefault="00E123D2" w:rsidP="00A23403">
            <w:pPr>
              <w:spacing w:line="360" w:lineRule="auto"/>
              <w:jc w:val="both"/>
            </w:pPr>
            <w:r w:rsidRPr="008573C5">
              <w:t>Std Deviation</w:t>
            </w:r>
          </w:p>
        </w:tc>
        <w:tc>
          <w:tcPr>
            <w:tcW w:w="1398" w:type="dxa"/>
          </w:tcPr>
          <w:p w:rsidR="00E123D2" w:rsidRPr="008573C5" w:rsidRDefault="00E123D2" w:rsidP="00A23403">
            <w:pPr>
              <w:spacing w:line="360" w:lineRule="auto"/>
              <w:jc w:val="both"/>
            </w:pPr>
            <w:r w:rsidRPr="008573C5">
              <w:t>t-value</w:t>
            </w:r>
          </w:p>
        </w:tc>
        <w:tc>
          <w:tcPr>
            <w:tcW w:w="1220" w:type="dxa"/>
          </w:tcPr>
          <w:p w:rsidR="00E123D2" w:rsidRPr="008573C5" w:rsidRDefault="00E123D2" w:rsidP="00A23403">
            <w:pPr>
              <w:spacing w:line="360" w:lineRule="auto"/>
              <w:jc w:val="both"/>
            </w:pPr>
            <w:r w:rsidRPr="008573C5">
              <w:t xml:space="preserve">Eta </w:t>
            </w:r>
            <w:r w:rsidRPr="008573C5">
              <w:rPr>
                <w:vertAlign w:val="superscript"/>
              </w:rPr>
              <w:t>2</w:t>
            </w:r>
          </w:p>
        </w:tc>
      </w:tr>
      <w:tr w:rsidR="00E123D2" w:rsidRPr="008573C5" w:rsidTr="00A23403">
        <w:tc>
          <w:tcPr>
            <w:tcW w:w="1499" w:type="dxa"/>
          </w:tcPr>
          <w:p w:rsidR="00E123D2" w:rsidRPr="008573C5" w:rsidRDefault="00E123D2" w:rsidP="00A23403">
            <w:pPr>
              <w:spacing w:line="360" w:lineRule="auto"/>
              <w:jc w:val="both"/>
            </w:pPr>
            <w:r w:rsidRPr="008573C5">
              <w:t>Financial</w:t>
            </w:r>
          </w:p>
          <w:p w:rsidR="00E123D2" w:rsidRPr="008573C5" w:rsidRDefault="00E123D2" w:rsidP="00A23403">
            <w:pPr>
              <w:spacing w:line="360" w:lineRule="auto"/>
              <w:jc w:val="both"/>
            </w:pPr>
            <w:r w:rsidRPr="008573C5">
              <w:t>Non-financial</w:t>
            </w:r>
          </w:p>
        </w:tc>
        <w:tc>
          <w:tcPr>
            <w:tcW w:w="1481" w:type="dxa"/>
          </w:tcPr>
          <w:p w:rsidR="00E123D2" w:rsidRPr="008573C5" w:rsidRDefault="00E123D2" w:rsidP="00A23403">
            <w:pPr>
              <w:spacing w:line="360" w:lineRule="auto"/>
              <w:jc w:val="both"/>
            </w:pPr>
            <w:r w:rsidRPr="008573C5">
              <w:t>29</w:t>
            </w:r>
          </w:p>
          <w:p w:rsidR="00E123D2" w:rsidRPr="008573C5" w:rsidRDefault="00E123D2" w:rsidP="00A23403">
            <w:pPr>
              <w:spacing w:line="360" w:lineRule="auto"/>
              <w:jc w:val="both"/>
            </w:pPr>
            <w:r w:rsidRPr="008573C5">
              <w:t>61</w:t>
            </w:r>
          </w:p>
        </w:tc>
        <w:tc>
          <w:tcPr>
            <w:tcW w:w="1403" w:type="dxa"/>
          </w:tcPr>
          <w:p w:rsidR="00E123D2" w:rsidRPr="008573C5" w:rsidRDefault="00E123D2" w:rsidP="00A23403">
            <w:pPr>
              <w:spacing w:line="360" w:lineRule="auto"/>
              <w:jc w:val="both"/>
            </w:pPr>
            <w:r w:rsidRPr="008573C5">
              <w:t>.</w:t>
            </w:r>
            <w:r w:rsidR="009954F3" w:rsidRPr="008573C5">
              <w:t>6032</w:t>
            </w:r>
          </w:p>
          <w:p w:rsidR="00E123D2" w:rsidRPr="008573C5" w:rsidRDefault="00E123D2" w:rsidP="009954F3">
            <w:pPr>
              <w:spacing w:line="360" w:lineRule="auto"/>
              <w:jc w:val="both"/>
            </w:pPr>
            <w:r w:rsidRPr="008573C5">
              <w:t>.</w:t>
            </w:r>
            <w:r w:rsidR="009954F3" w:rsidRPr="008573C5">
              <w:t>5256</w:t>
            </w:r>
          </w:p>
        </w:tc>
        <w:tc>
          <w:tcPr>
            <w:tcW w:w="1524" w:type="dxa"/>
          </w:tcPr>
          <w:p w:rsidR="00E123D2" w:rsidRPr="008573C5" w:rsidRDefault="00E123D2" w:rsidP="00A23403">
            <w:pPr>
              <w:spacing w:line="360" w:lineRule="auto"/>
              <w:jc w:val="both"/>
            </w:pPr>
            <w:r w:rsidRPr="008573C5">
              <w:t>.</w:t>
            </w:r>
            <w:r w:rsidR="009954F3" w:rsidRPr="008573C5">
              <w:t>1647</w:t>
            </w:r>
          </w:p>
          <w:p w:rsidR="00E123D2" w:rsidRPr="008573C5" w:rsidRDefault="00E123D2" w:rsidP="009954F3">
            <w:pPr>
              <w:spacing w:line="360" w:lineRule="auto"/>
              <w:jc w:val="both"/>
            </w:pPr>
            <w:r w:rsidRPr="008573C5">
              <w:t>.</w:t>
            </w:r>
            <w:r w:rsidR="009954F3" w:rsidRPr="008573C5">
              <w:t>1280</w:t>
            </w:r>
          </w:p>
        </w:tc>
        <w:tc>
          <w:tcPr>
            <w:tcW w:w="1398" w:type="dxa"/>
          </w:tcPr>
          <w:p w:rsidR="00E123D2" w:rsidRPr="008573C5" w:rsidRDefault="009954F3" w:rsidP="009954F3">
            <w:pPr>
              <w:spacing w:line="360" w:lineRule="auto"/>
              <w:jc w:val="both"/>
            </w:pPr>
            <w:r w:rsidRPr="008573C5">
              <w:t>2.445*</w:t>
            </w:r>
          </w:p>
        </w:tc>
        <w:tc>
          <w:tcPr>
            <w:tcW w:w="1220" w:type="dxa"/>
          </w:tcPr>
          <w:p w:rsidR="00E123D2" w:rsidRPr="008573C5" w:rsidRDefault="00E123D2" w:rsidP="00A23403">
            <w:pPr>
              <w:spacing w:line="360" w:lineRule="auto"/>
              <w:jc w:val="both"/>
            </w:pPr>
            <w:r w:rsidRPr="008573C5">
              <w:t>0.017</w:t>
            </w:r>
          </w:p>
        </w:tc>
      </w:tr>
    </w:tbl>
    <w:p w:rsidR="00E123D2" w:rsidRPr="008573C5" w:rsidRDefault="00245B8C" w:rsidP="00245B8C">
      <w:pPr>
        <w:spacing w:line="360" w:lineRule="auto"/>
        <w:jc w:val="both"/>
        <w:rPr>
          <w:sz w:val="20"/>
          <w:szCs w:val="20"/>
        </w:rPr>
      </w:pPr>
      <w:r w:rsidRPr="008573C5">
        <w:rPr>
          <w:sz w:val="20"/>
          <w:szCs w:val="20"/>
        </w:rPr>
        <w:t xml:space="preserve">Note * </w:t>
      </w:r>
      <w:r w:rsidR="009954F3" w:rsidRPr="008573C5">
        <w:rPr>
          <w:sz w:val="20"/>
          <w:szCs w:val="20"/>
        </w:rPr>
        <w:t xml:space="preserve">Sig at </w:t>
      </w:r>
      <w:r w:rsidR="00C30EB7" w:rsidRPr="008573C5">
        <w:rPr>
          <w:sz w:val="20"/>
          <w:szCs w:val="20"/>
        </w:rPr>
        <w:t>p &lt; .05</w:t>
      </w:r>
    </w:p>
    <w:p w:rsidR="00B85521" w:rsidRPr="008573C5" w:rsidRDefault="00B85521" w:rsidP="00245B8C">
      <w:pPr>
        <w:pStyle w:val="ListParagraph"/>
        <w:autoSpaceDE w:val="0"/>
        <w:autoSpaceDN w:val="0"/>
        <w:adjustRightInd w:val="0"/>
        <w:jc w:val="center"/>
        <w:rPr>
          <w:b/>
          <w:bCs/>
        </w:rPr>
      </w:pPr>
      <w:r w:rsidRPr="008573C5">
        <w:rPr>
          <w:b/>
          <w:bCs/>
        </w:rPr>
        <w:t>Source: Field Study (2009)</w:t>
      </w:r>
    </w:p>
    <w:p w:rsidR="00B85521" w:rsidRPr="008573C5" w:rsidRDefault="00B85521" w:rsidP="00B85521">
      <w:pPr>
        <w:pStyle w:val="ListParagraph"/>
        <w:spacing w:line="360" w:lineRule="auto"/>
        <w:ind w:left="360"/>
        <w:jc w:val="center"/>
      </w:pPr>
    </w:p>
    <w:p w:rsidR="00E123D2" w:rsidRPr="008573C5" w:rsidRDefault="00E123D2" w:rsidP="00E123D2">
      <w:pPr>
        <w:spacing w:line="360" w:lineRule="auto"/>
        <w:jc w:val="both"/>
      </w:pPr>
    </w:p>
    <w:p w:rsidR="00E123D2" w:rsidRPr="008573C5" w:rsidRDefault="00C30EB7" w:rsidP="00E123D2">
      <w:pPr>
        <w:spacing w:line="360" w:lineRule="auto"/>
        <w:jc w:val="both"/>
      </w:pPr>
      <w:r w:rsidRPr="008573C5">
        <w:t xml:space="preserve">Table </w:t>
      </w:r>
      <w:r w:rsidR="00807701" w:rsidRPr="008573C5">
        <w:t>4.2</w:t>
      </w:r>
      <w:r w:rsidR="00F741EB" w:rsidRPr="008573C5">
        <w:t>7</w:t>
      </w:r>
      <w:r w:rsidRPr="008573C5">
        <w:t xml:space="preserve"> above shows the </w:t>
      </w:r>
      <w:r w:rsidR="00E123D2" w:rsidRPr="008573C5">
        <w:t xml:space="preserve">result of the independent samples t-test conducted to compare the </w:t>
      </w:r>
      <w:r w:rsidRPr="008573C5">
        <w:t xml:space="preserve">IFRA/IAS </w:t>
      </w:r>
      <w:r w:rsidR="00E123D2" w:rsidRPr="008573C5">
        <w:t>disclosure level for financial and non-financial listed companies</w:t>
      </w:r>
      <w:r w:rsidRPr="008573C5">
        <w:t>.</w:t>
      </w:r>
      <w:r w:rsidR="00E123D2" w:rsidRPr="008573C5">
        <w:t xml:space="preserve"> The Levene’s test for equality of variances gives a significant value of .</w:t>
      </w:r>
      <w:r w:rsidRPr="008573C5">
        <w:t>051</w:t>
      </w:r>
      <w:r w:rsidR="00E123D2" w:rsidRPr="008573C5">
        <w:t>. This means that the data d</w:t>
      </w:r>
      <w:r w:rsidR="00FE7613">
        <w:t>oes</w:t>
      </w:r>
      <w:r w:rsidR="00E123D2" w:rsidRPr="008573C5">
        <w:t xml:space="preserve"> not violate the assumption of equal variance since it is larger than .05. There is </w:t>
      </w:r>
      <w:r w:rsidRPr="008573C5">
        <w:t>a</w:t>
      </w:r>
      <w:r w:rsidR="00E123D2" w:rsidRPr="008573C5">
        <w:t xml:space="preserve"> significant difference in disclosure levels for financial (M=0.</w:t>
      </w:r>
      <w:r w:rsidRPr="008573C5">
        <w:t>6032</w:t>
      </w:r>
      <w:r w:rsidR="00E123D2" w:rsidRPr="008573C5">
        <w:t>, SD=.</w:t>
      </w:r>
      <w:r w:rsidRPr="008573C5">
        <w:t>1647</w:t>
      </w:r>
      <w:r w:rsidR="00E123D2" w:rsidRPr="008573C5">
        <w:t>), and non-financial listed companies (M= .</w:t>
      </w:r>
      <w:r w:rsidRPr="008573C5">
        <w:t>5256</w:t>
      </w:r>
      <w:r w:rsidR="00E123D2" w:rsidRPr="008573C5">
        <w:t>, SD= .</w:t>
      </w:r>
      <w:r w:rsidRPr="008573C5">
        <w:t>1280</w:t>
      </w:r>
      <w:r w:rsidR="00E123D2" w:rsidRPr="008573C5">
        <w:t xml:space="preserve">); t (88) = </w:t>
      </w:r>
      <w:r w:rsidRPr="008573C5">
        <w:t>2.445</w:t>
      </w:r>
      <w:r w:rsidR="00E123D2" w:rsidRPr="008573C5">
        <w:t>, p=.</w:t>
      </w:r>
      <w:r w:rsidRPr="008573C5">
        <w:t>016</w:t>
      </w:r>
      <w:r w:rsidR="00E123D2" w:rsidRPr="008573C5">
        <w:t>. The magnitude of the differences in the mean</w:t>
      </w:r>
      <w:r w:rsidR="007A595A" w:rsidRPr="008573C5">
        <w:t xml:space="preserve"> is</w:t>
      </w:r>
      <w:r w:rsidR="00E123D2" w:rsidRPr="008573C5">
        <w:t xml:space="preserve"> </w:t>
      </w:r>
      <w:r w:rsidRPr="008573C5">
        <w:t>moderate</w:t>
      </w:r>
      <w:r w:rsidR="00E123D2" w:rsidRPr="008573C5">
        <w:t xml:space="preserve"> (eta squared = 0.0</w:t>
      </w:r>
      <w:r w:rsidRPr="008573C5">
        <w:t>64</w:t>
      </w:r>
      <w:r w:rsidR="00E123D2" w:rsidRPr="008573C5">
        <w:t>).</w:t>
      </w:r>
    </w:p>
    <w:p w:rsidR="00E123D2" w:rsidRPr="008573C5" w:rsidRDefault="00E123D2" w:rsidP="00E123D2">
      <w:pPr>
        <w:spacing w:line="360" w:lineRule="auto"/>
        <w:jc w:val="both"/>
      </w:pPr>
    </w:p>
    <w:p w:rsidR="00E123D2" w:rsidRPr="008573C5" w:rsidRDefault="00E123D2" w:rsidP="00E123D2">
      <w:pPr>
        <w:spacing w:line="360" w:lineRule="auto"/>
        <w:jc w:val="both"/>
      </w:pPr>
      <w:r w:rsidRPr="008573C5">
        <w:t xml:space="preserve">Thus, for Hypothesis 1, </w:t>
      </w:r>
      <w:r w:rsidRPr="008573C5">
        <w:rPr>
          <w:rFonts w:ascii="Times" w:hAnsi="Times" w:cs="Times"/>
        </w:rPr>
        <w:t>H</w:t>
      </w:r>
      <w:r w:rsidRPr="008573C5">
        <w:rPr>
          <w:rFonts w:ascii="Times" w:hAnsi="Times" w:cs="Times"/>
          <w:vertAlign w:val="subscript"/>
        </w:rPr>
        <w:t>o</w:t>
      </w:r>
      <w:r w:rsidRPr="008573C5">
        <w:t xml:space="preserve">  is </w:t>
      </w:r>
      <w:r w:rsidR="00C30EB7" w:rsidRPr="008573C5">
        <w:t>rejected</w:t>
      </w:r>
      <w:r w:rsidRPr="008573C5">
        <w:t xml:space="preserve"> and </w:t>
      </w:r>
      <w:r w:rsidRPr="008573C5">
        <w:rPr>
          <w:rFonts w:ascii="Times" w:hAnsi="Times" w:cs="Times"/>
        </w:rPr>
        <w:t>H</w:t>
      </w:r>
      <w:r w:rsidRPr="008573C5">
        <w:rPr>
          <w:rFonts w:ascii="Times" w:hAnsi="Times" w:cs="Times"/>
          <w:vertAlign w:val="subscript"/>
        </w:rPr>
        <w:t>1</w:t>
      </w:r>
      <w:r w:rsidRPr="008573C5">
        <w:t xml:space="preserve">  is </w:t>
      </w:r>
      <w:r w:rsidR="00A63C58">
        <w:t>retained</w:t>
      </w:r>
      <w:r w:rsidRPr="008573C5">
        <w:t>.</w:t>
      </w:r>
    </w:p>
    <w:p w:rsidR="00E123D2" w:rsidRPr="008573C5" w:rsidRDefault="00E123D2" w:rsidP="00E123D2">
      <w:pPr>
        <w:spacing w:line="360" w:lineRule="auto"/>
        <w:jc w:val="both"/>
      </w:pPr>
    </w:p>
    <w:p w:rsidR="00491A11" w:rsidRPr="008573C5" w:rsidRDefault="00491A11" w:rsidP="00491A11">
      <w:pPr>
        <w:spacing w:line="360" w:lineRule="auto"/>
        <w:jc w:val="both"/>
      </w:pPr>
      <w:r w:rsidRPr="008573C5">
        <w:t>Hypothesis 3</w:t>
      </w:r>
    </w:p>
    <w:p w:rsidR="00491A11" w:rsidRPr="008573C5" w:rsidRDefault="00491A11" w:rsidP="00491A11">
      <w:pPr>
        <w:spacing w:line="360" w:lineRule="auto"/>
        <w:jc w:val="both"/>
        <w:rPr>
          <w:rFonts w:ascii="Times" w:hAnsi="Times" w:cs="Times"/>
        </w:rPr>
      </w:pPr>
      <w:r w:rsidRPr="008573C5">
        <w:rPr>
          <w:rFonts w:ascii="Times" w:hAnsi="Times" w:cs="Times"/>
        </w:rPr>
        <w:t>H</w:t>
      </w:r>
      <w:r w:rsidRPr="008573C5">
        <w:rPr>
          <w:rFonts w:ascii="Times" w:hAnsi="Times" w:cs="Times"/>
          <w:vertAlign w:val="subscript"/>
        </w:rPr>
        <w:t>o</w:t>
      </w:r>
      <w:r w:rsidRPr="008573C5">
        <w:rPr>
          <w:rFonts w:ascii="Times" w:hAnsi="Times" w:cs="Times"/>
        </w:rPr>
        <w:t xml:space="preserve">: The level of voluntary disclosure by listed financial companies is not </w:t>
      </w:r>
      <w:r w:rsidR="007A11E2" w:rsidRPr="008573C5">
        <w:rPr>
          <w:rFonts w:ascii="Times" w:hAnsi="Times" w:cs="Times"/>
        </w:rPr>
        <w:t xml:space="preserve">significantly different from </w:t>
      </w:r>
      <w:r w:rsidRPr="008573C5">
        <w:rPr>
          <w:rFonts w:ascii="Times" w:hAnsi="Times" w:cs="Times"/>
        </w:rPr>
        <w:t xml:space="preserve">that by listed non-financial companies. </w:t>
      </w:r>
    </w:p>
    <w:p w:rsidR="00491A11" w:rsidRPr="008573C5" w:rsidRDefault="00491A11" w:rsidP="00491A11">
      <w:pPr>
        <w:spacing w:line="360" w:lineRule="auto"/>
        <w:jc w:val="both"/>
        <w:rPr>
          <w:rFonts w:ascii="Times" w:hAnsi="Times" w:cs="Times"/>
        </w:rPr>
      </w:pPr>
      <w:r w:rsidRPr="008573C5">
        <w:rPr>
          <w:rFonts w:ascii="Times" w:hAnsi="Times" w:cs="Times"/>
        </w:rPr>
        <w:t>H</w:t>
      </w:r>
      <w:r w:rsidRPr="008573C5">
        <w:rPr>
          <w:rFonts w:ascii="Times" w:hAnsi="Times" w:cs="Times"/>
          <w:vertAlign w:val="subscript"/>
        </w:rPr>
        <w:t>1</w:t>
      </w:r>
      <w:r w:rsidRPr="008573C5">
        <w:rPr>
          <w:rFonts w:ascii="Times" w:hAnsi="Times" w:cs="Times"/>
        </w:rPr>
        <w:t xml:space="preserve">: </w:t>
      </w:r>
      <w:r w:rsidR="007A11E2" w:rsidRPr="008573C5">
        <w:rPr>
          <w:rFonts w:ascii="Times" w:hAnsi="Times" w:cs="Times"/>
        </w:rPr>
        <w:t>The level of voluntary disclosure by listed financial companies is significantly different from that by listed non-financial companies.</w:t>
      </w:r>
      <w:r w:rsidRPr="008573C5">
        <w:rPr>
          <w:rFonts w:ascii="Times" w:hAnsi="Times" w:cs="Times"/>
        </w:rPr>
        <w:t xml:space="preserve"> </w:t>
      </w:r>
    </w:p>
    <w:p w:rsidR="00B35F8E" w:rsidRPr="008573C5" w:rsidRDefault="00B35F8E" w:rsidP="00491A11">
      <w:pPr>
        <w:spacing w:line="360" w:lineRule="auto"/>
        <w:jc w:val="both"/>
        <w:rPr>
          <w:rFonts w:ascii="Times" w:hAnsi="Times" w:cs="Times"/>
        </w:rPr>
      </w:pPr>
    </w:p>
    <w:p w:rsidR="008576AA" w:rsidRPr="008573C5" w:rsidRDefault="008576AA" w:rsidP="00B35F8E">
      <w:pPr>
        <w:spacing w:before="100" w:beforeAutospacing="1" w:after="100" w:afterAutospacing="1" w:line="360" w:lineRule="auto"/>
        <w:jc w:val="both"/>
        <w:rPr>
          <w:b/>
        </w:rPr>
      </w:pPr>
      <w:r w:rsidRPr="008573C5">
        <w:rPr>
          <w:b/>
        </w:rPr>
        <w:t>Descriptive Statistics and Independent t-test for Hypothesis 3</w:t>
      </w:r>
    </w:p>
    <w:p w:rsidR="000317D8" w:rsidRPr="008573C5" w:rsidRDefault="00281729" w:rsidP="000317D8">
      <w:pPr>
        <w:spacing w:line="360" w:lineRule="auto"/>
        <w:jc w:val="center"/>
        <w:rPr>
          <w:sz w:val="28"/>
          <w:szCs w:val="28"/>
        </w:rPr>
      </w:pPr>
      <w:r w:rsidRPr="008573C5">
        <w:rPr>
          <w:b/>
          <w:sz w:val="28"/>
          <w:szCs w:val="28"/>
        </w:rPr>
        <w:t>Table 4.2</w:t>
      </w:r>
      <w:r w:rsidR="002E5C79" w:rsidRPr="008573C5">
        <w:rPr>
          <w:b/>
          <w:sz w:val="28"/>
          <w:szCs w:val="28"/>
        </w:rPr>
        <w:t>8</w:t>
      </w:r>
      <w:r w:rsidRPr="008573C5">
        <w:rPr>
          <w:b/>
          <w:sz w:val="28"/>
          <w:szCs w:val="28"/>
        </w:rPr>
        <w:t>:  Independent t-test for Hypothesis 3</w:t>
      </w:r>
    </w:p>
    <w:tbl>
      <w:tblPr>
        <w:tblStyle w:val="TableGrid"/>
        <w:tblW w:w="0" w:type="auto"/>
        <w:tblLook w:val="04A0"/>
      </w:tblPr>
      <w:tblGrid>
        <w:gridCol w:w="1499"/>
        <w:gridCol w:w="1481"/>
        <w:gridCol w:w="1403"/>
        <w:gridCol w:w="1524"/>
        <w:gridCol w:w="1398"/>
        <w:gridCol w:w="1220"/>
      </w:tblGrid>
      <w:tr w:rsidR="000317D8" w:rsidRPr="008573C5" w:rsidTr="00A23403">
        <w:tc>
          <w:tcPr>
            <w:tcW w:w="1499" w:type="dxa"/>
          </w:tcPr>
          <w:p w:rsidR="000317D8" w:rsidRPr="008573C5" w:rsidRDefault="000317D8" w:rsidP="00A23403">
            <w:pPr>
              <w:spacing w:line="360" w:lineRule="auto"/>
              <w:jc w:val="both"/>
            </w:pPr>
            <w:r w:rsidRPr="008573C5">
              <w:t>Sector</w:t>
            </w:r>
          </w:p>
        </w:tc>
        <w:tc>
          <w:tcPr>
            <w:tcW w:w="1481" w:type="dxa"/>
          </w:tcPr>
          <w:p w:rsidR="000317D8" w:rsidRPr="008573C5" w:rsidRDefault="000317D8" w:rsidP="00A23403">
            <w:pPr>
              <w:spacing w:line="360" w:lineRule="auto"/>
              <w:jc w:val="both"/>
            </w:pPr>
            <w:r w:rsidRPr="008573C5">
              <w:t>Number of Cases</w:t>
            </w:r>
          </w:p>
        </w:tc>
        <w:tc>
          <w:tcPr>
            <w:tcW w:w="1403" w:type="dxa"/>
          </w:tcPr>
          <w:p w:rsidR="000317D8" w:rsidRPr="008573C5" w:rsidRDefault="000317D8" w:rsidP="00A23403">
            <w:pPr>
              <w:spacing w:line="360" w:lineRule="auto"/>
              <w:jc w:val="both"/>
            </w:pPr>
            <w:r w:rsidRPr="008573C5">
              <w:t>Mean</w:t>
            </w:r>
          </w:p>
        </w:tc>
        <w:tc>
          <w:tcPr>
            <w:tcW w:w="1524" w:type="dxa"/>
          </w:tcPr>
          <w:p w:rsidR="000317D8" w:rsidRPr="008573C5" w:rsidRDefault="000317D8" w:rsidP="00A23403">
            <w:pPr>
              <w:spacing w:line="360" w:lineRule="auto"/>
              <w:jc w:val="both"/>
            </w:pPr>
            <w:r w:rsidRPr="008573C5">
              <w:t>Std Deviation</w:t>
            </w:r>
          </w:p>
        </w:tc>
        <w:tc>
          <w:tcPr>
            <w:tcW w:w="1398" w:type="dxa"/>
          </w:tcPr>
          <w:p w:rsidR="000317D8" w:rsidRPr="008573C5" w:rsidRDefault="000317D8" w:rsidP="00A23403">
            <w:pPr>
              <w:spacing w:line="360" w:lineRule="auto"/>
              <w:jc w:val="both"/>
            </w:pPr>
            <w:r w:rsidRPr="008573C5">
              <w:t>t-value</w:t>
            </w:r>
          </w:p>
        </w:tc>
        <w:tc>
          <w:tcPr>
            <w:tcW w:w="1220" w:type="dxa"/>
          </w:tcPr>
          <w:p w:rsidR="000317D8" w:rsidRPr="008573C5" w:rsidRDefault="000317D8" w:rsidP="00A23403">
            <w:pPr>
              <w:spacing w:line="360" w:lineRule="auto"/>
              <w:jc w:val="both"/>
            </w:pPr>
            <w:r w:rsidRPr="008573C5">
              <w:t xml:space="preserve">Eta </w:t>
            </w:r>
            <w:r w:rsidRPr="008573C5">
              <w:rPr>
                <w:vertAlign w:val="superscript"/>
              </w:rPr>
              <w:t>2</w:t>
            </w:r>
          </w:p>
        </w:tc>
      </w:tr>
      <w:tr w:rsidR="000317D8" w:rsidRPr="008573C5" w:rsidTr="00A23403">
        <w:tc>
          <w:tcPr>
            <w:tcW w:w="1499" w:type="dxa"/>
          </w:tcPr>
          <w:p w:rsidR="000317D8" w:rsidRPr="008573C5" w:rsidRDefault="000317D8" w:rsidP="00A23403">
            <w:pPr>
              <w:spacing w:line="360" w:lineRule="auto"/>
              <w:jc w:val="both"/>
            </w:pPr>
            <w:r w:rsidRPr="008573C5">
              <w:t>Financial</w:t>
            </w:r>
          </w:p>
          <w:p w:rsidR="000317D8" w:rsidRPr="008573C5" w:rsidRDefault="000317D8" w:rsidP="00A23403">
            <w:pPr>
              <w:spacing w:line="360" w:lineRule="auto"/>
              <w:jc w:val="both"/>
            </w:pPr>
            <w:r w:rsidRPr="008573C5">
              <w:t>Non-financial</w:t>
            </w:r>
          </w:p>
        </w:tc>
        <w:tc>
          <w:tcPr>
            <w:tcW w:w="1481" w:type="dxa"/>
          </w:tcPr>
          <w:p w:rsidR="000317D8" w:rsidRPr="008573C5" w:rsidRDefault="000317D8" w:rsidP="00A23403">
            <w:pPr>
              <w:spacing w:line="360" w:lineRule="auto"/>
              <w:jc w:val="both"/>
            </w:pPr>
            <w:r w:rsidRPr="008573C5">
              <w:t>29</w:t>
            </w:r>
          </w:p>
          <w:p w:rsidR="000317D8" w:rsidRPr="008573C5" w:rsidRDefault="000317D8" w:rsidP="00A23403">
            <w:pPr>
              <w:spacing w:line="360" w:lineRule="auto"/>
              <w:jc w:val="both"/>
            </w:pPr>
            <w:r w:rsidRPr="008573C5">
              <w:t>61</w:t>
            </w:r>
          </w:p>
        </w:tc>
        <w:tc>
          <w:tcPr>
            <w:tcW w:w="1403" w:type="dxa"/>
          </w:tcPr>
          <w:p w:rsidR="000317D8" w:rsidRPr="008573C5" w:rsidRDefault="000317D8" w:rsidP="00A23403">
            <w:pPr>
              <w:spacing w:line="360" w:lineRule="auto"/>
              <w:jc w:val="both"/>
            </w:pPr>
            <w:r w:rsidRPr="008573C5">
              <w:t>.3776</w:t>
            </w:r>
          </w:p>
          <w:p w:rsidR="000317D8" w:rsidRPr="008573C5" w:rsidRDefault="000317D8" w:rsidP="00BA181B">
            <w:pPr>
              <w:spacing w:line="360" w:lineRule="auto"/>
              <w:jc w:val="both"/>
            </w:pPr>
            <w:r w:rsidRPr="008573C5">
              <w:t>.</w:t>
            </w:r>
            <w:r w:rsidR="00BA181B" w:rsidRPr="008573C5">
              <w:t>3723</w:t>
            </w:r>
          </w:p>
        </w:tc>
        <w:tc>
          <w:tcPr>
            <w:tcW w:w="1524" w:type="dxa"/>
          </w:tcPr>
          <w:p w:rsidR="000317D8" w:rsidRPr="008573C5" w:rsidRDefault="000317D8" w:rsidP="00A23403">
            <w:pPr>
              <w:spacing w:line="360" w:lineRule="auto"/>
              <w:jc w:val="both"/>
            </w:pPr>
            <w:r w:rsidRPr="008573C5">
              <w:t>.1362</w:t>
            </w:r>
          </w:p>
          <w:p w:rsidR="000317D8" w:rsidRPr="008573C5" w:rsidRDefault="000317D8" w:rsidP="000317D8">
            <w:pPr>
              <w:spacing w:line="360" w:lineRule="auto"/>
              <w:jc w:val="both"/>
            </w:pPr>
            <w:r w:rsidRPr="008573C5">
              <w:t>.1618</w:t>
            </w:r>
          </w:p>
        </w:tc>
        <w:tc>
          <w:tcPr>
            <w:tcW w:w="1398" w:type="dxa"/>
          </w:tcPr>
          <w:p w:rsidR="000317D8" w:rsidRPr="008573C5" w:rsidRDefault="00BA181B" w:rsidP="00BA181B">
            <w:pPr>
              <w:spacing w:line="360" w:lineRule="auto"/>
              <w:jc w:val="both"/>
            </w:pPr>
            <w:r w:rsidRPr="008573C5">
              <w:t>0.152</w:t>
            </w:r>
          </w:p>
        </w:tc>
        <w:tc>
          <w:tcPr>
            <w:tcW w:w="1220" w:type="dxa"/>
          </w:tcPr>
          <w:p w:rsidR="000317D8" w:rsidRPr="008573C5" w:rsidRDefault="000317D8" w:rsidP="00BA181B">
            <w:pPr>
              <w:spacing w:line="360" w:lineRule="auto"/>
              <w:jc w:val="both"/>
            </w:pPr>
            <w:r w:rsidRPr="008573C5">
              <w:t>0.0</w:t>
            </w:r>
            <w:r w:rsidR="00BA181B" w:rsidRPr="008573C5">
              <w:t>00</w:t>
            </w:r>
          </w:p>
        </w:tc>
      </w:tr>
    </w:tbl>
    <w:p w:rsidR="00B85521" w:rsidRPr="008573C5" w:rsidRDefault="00B85521" w:rsidP="00B85521">
      <w:pPr>
        <w:autoSpaceDE w:val="0"/>
        <w:autoSpaceDN w:val="0"/>
        <w:adjustRightInd w:val="0"/>
        <w:jc w:val="center"/>
        <w:rPr>
          <w:rFonts w:eastAsia="Calibri"/>
          <w:b/>
          <w:bCs/>
        </w:rPr>
      </w:pPr>
      <w:r w:rsidRPr="008573C5">
        <w:rPr>
          <w:rFonts w:eastAsia="Calibri"/>
          <w:b/>
          <w:bCs/>
        </w:rPr>
        <w:t>Source: Field Study (2009)</w:t>
      </w:r>
    </w:p>
    <w:p w:rsidR="000317D8" w:rsidRPr="008573C5" w:rsidRDefault="000317D8" w:rsidP="00B85521">
      <w:pPr>
        <w:spacing w:line="360" w:lineRule="auto"/>
        <w:jc w:val="center"/>
      </w:pPr>
    </w:p>
    <w:p w:rsidR="000317D8" w:rsidRPr="008573C5" w:rsidRDefault="000317D8" w:rsidP="000317D8">
      <w:pPr>
        <w:spacing w:line="360" w:lineRule="auto"/>
        <w:jc w:val="both"/>
      </w:pPr>
    </w:p>
    <w:p w:rsidR="000317D8" w:rsidRPr="008573C5" w:rsidRDefault="000317D8" w:rsidP="000317D8">
      <w:pPr>
        <w:spacing w:line="360" w:lineRule="auto"/>
        <w:jc w:val="both"/>
      </w:pPr>
      <w:r w:rsidRPr="008573C5">
        <w:t xml:space="preserve">Table </w:t>
      </w:r>
      <w:r w:rsidR="00807701" w:rsidRPr="008573C5">
        <w:t>4.2</w:t>
      </w:r>
      <w:r w:rsidR="00F741EB" w:rsidRPr="008573C5">
        <w:t>8</w:t>
      </w:r>
      <w:r w:rsidRPr="008573C5">
        <w:t xml:space="preserve"> above shows the result of the independent samples t-test conducted to determine the level of voluntary disclosure for financial and non-financial listed companies. The Levene’s test for equality of variances gives a significant value of .101. This means that the data d</w:t>
      </w:r>
      <w:r w:rsidR="00FE7613">
        <w:t xml:space="preserve">oes </w:t>
      </w:r>
      <w:r w:rsidRPr="008573C5">
        <w:t xml:space="preserve">not violate the assumption of equal variance since it is larger than .05. There is </w:t>
      </w:r>
      <w:r w:rsidR="00BA181B" w:rsidRPr="008573C5">
        <w:t>no</w:t>
      </w:r>
      <w:r w:rsidRPr="008573C5">
        <w:t xml:space="preserve"> significant difference in disclosure levels for financial (M=0.</w:t>
      </w:r>
      <w:r w:rsidR="00BA181B" w:rsidRPr="008573C5">
        <w:t>3776</w:t>
      </w:r>
      <w:r w:rsidRPr="008573C5">
        <w:t>, SD=.1</w:t>
      </w:r>
      <w:r w:rsidR="00BA181B" w:rsidRPr="008573C5">
        <w:t>362</w:t>
      </w:r>
      <w:r w:rsidRPr="008573C5">
        <w:t>), and non-financial listed companies (M= .</w:t>
      </w:r>
      <w:r w:rsidR="00BA181B" w:rsidRPr="008573C5">
        <w:t>3723</w:t>
      </w:r>
      <w:r w:rsidRPr="008573C5">
        <w:t>, SD= .1</w:t>
      </w:r>
      <w:r w:rsidR="00BA181B" w:rsidRPr="008573C5">
        <w:t>618</w:t>
      </w:r>
      <w:r w:rsidRPr="008573C5">
        <w:t xml:space="preserve">); t (88) = </w:t>
      </w:r>
      <w:r w:rsidR="00BA181B" w:rsidRPr="008573C5">
        <w:t>0.152</w:t>
      </w:r>
      <w:r w:rsidRPr="008573C5">
        <w:t>, p=.</w:t>
      </w:r>
      <w:r w:rsidR="00BA181B" w:rsidRPr="008573C5">
        <w:t>880</w:t>
      </w:r>
      <w:r w:rsidRPr="008573C5">
        <w:t xml:space="preserve">. The magnitude of the differences in the means </w:t>
      </w:r>
      <w:r w:rsidR="007A595A" w:rsidRPr="008573C5">
        <w:t>is</w:t>
      </w:r>
      <w:r w:rsidRPr="008573C5">
        <w:t xml:space="preserve"> </w:t>
      </w:r>
      <w:r w:rsidR="00BA181B" w:rsidRPr="008573C5">
        <w:t>of no effect</w:t>
      </w:r>
      <w:r w:rsidRPr="008573C5">
        <w:t xml:space="preserve"> (eta squared = 0.0</w:t>
      </w:r>
      <w:r w:rsidR="00BA181B" w:rsidRPr="008573C5">
        <w:t>00)</w:t>
      </w:r>
      <w:r w:rsidRPr="008573C5">
        <w:t>.</w:t>
      </w:r>
    </w:p>
    <w:p w:rsidR="000317D8" w:rsidRPr="008573C5" w:rsidRDefault="000317D8" w:rsidP="000317D8">
      <w:pPr>
        <w:spacing w:line="360" w:lineRule="auto"/>
        <w:jc w:val="both"/>
      </w:pPr>
    </w:p>
    <w:p w:rsidR="000317D8" w:rsidRPr="008573C5" w:rsidRDefault="000317D8" w:rsidP="000317D8">
      <w:pPr>
        <w:spacing w:line="360" w:lineRule="auto"/>
        <w:jc w:val="both"/>
      </w:pPr>
      <w:r w:rsidRPr="008573C5">
        <w:t xml:space="preserve">Thus, for Hypothesis </w:t>
      </w:r>
      <w:r w:rsidR="00BA181B" w:rsidRPr="008573C5">
        <w:t>3</w:t>
      </w:r>
      <w:r w:rsidRPr="008573C5">
        <w:t xml:space="preserve">, </w:t>
      </w:r>
      <w:r w:rsidRPr="008573C5">
        <w:rPr>
          <w:rFonts w:ascii="Times" w:hAnsi="Times" w:cs="Times"/>
        </w:rPr>
        <w:t>H</w:t>
      </w:r>
      <w:r w:rsidRPr="008573C5">
        <w:rPr>
          <w:rFonts w:ascii="Times" w:hAnsi="Times" w:cs="Times"/>
          <w:vertAlign w:val="subscript"/>
        </w:rPr>
        <w:t>o</w:t>
      </w:r>
      <w:r w:rsidRPr="008573C5">
        <w:t xml:space="preserve"> is </w:t>
      </w:r>
      <w:r w:rsidR="00A63C58">
        <w:t>retained</w:t>
      </w:r>
      <w:r w:rsidRPr="008573C5">
        <w:t xml:space="preserve"> and </w:t>
      </w:r>
      <w:r w:rsidRPr="008573C5">
        <w:rPr>
          <w:rFonts w:ascii="Times" w:hAnsi="Times" w:cs="Times"/>
        </w:rPr>
        <w:t>H</w:t>
      </w:r>
      <w:r w:rsidRPr="008573C5">
        <w:rPr>
          <w:rFonts w:ascii="Times" w:hAnsi="Times" w:cs="Times"/>
          <w:vertAlign w:val="subscript"/>
        </w:rPr>
        <w:t>1</w:t>
      </w:r>
      <w:r w:rsidRPr="008573C5">
        <w:t xml:space="preserve"> is </w:t>
      </w:r>
      <w:r w:rsidR="00BA181B" w:rsidRPr="008573C5">
        <w:t>rejected</w:t>
      </w:r>
      <w:r w:rsidRPr="008573C5">
        <w:t>.</w:t>
      </w:r>
    </w:p>
    <w:p w:rsidR="00491A11" w:rsidRPr="008573C5" w:rsidRDefault="00491A11" w:rsidP="00491A11">
      <w:pPr>
        <w:spacing w:line="360" w:lineRule="auto"/>
        <w:jc w:val="both"/>
        <w:rPr>
          <w:rFonts w:ascii="Times" w:hAnsi="Times" w:cs="Times"/>
        </w:rPr>
      </w:pPr>
    </w:p>
    <w:p w:rsidR="000317D8" w:rsidRPr="008573C5" w:rsidRDefault="000317D8" w:rsidP="00491A11">
      <w:pPr>
        <w:spacing w:line="360" w:lineRule="auto"/>
        <w:jc w:val="both"/>
        <w:rPr>
          <w:rFonts w:ascii="Times" w:hAnsi="Times" w:cs="Times"/>
        </w:rPr>
      </w:pPr>
    </w:p>
    <w:p w:rsidR="000E49C7" w:rsidRPr="008573C5" w:rsidRDefault="000E49C7" w:rsidP="00491A11">
      <w:pPr>
        <w:spacing w:line="360" w:lineRule="auto"/>
      </w:pPr>
    </w:p>
    <w:p w:rsidR="00491A11" w:rsidRPr="008573C5" w:rsidRDefault="00491A11" w:rsidP="00491A11">
      <w:pPr>
        <w:spacing w:line="360" w:lineRule="auto"/>
      </w:pPr>
      <w:r w:rsidRPr="008573C5">
        <w:t>Hypothesis 4</w:t>
      </w:r>
    </w:p>
    <w:p w:rsidR="00491A11" w:rsidRPr="008573C5" w:rsidRDefault="00491A11" w:rsidP="00491A11">
      <w:pPr>
        <w:spacing w:line="360" w:lineRule="auto"/>
        <w:jc w:val="both"/>
        <w:rPr>
          <w:rFonts w:ascii="Times" w:hAnsi="Times" w:cs="Times"/>
        </w:rPr>
      </w:pPr>
      <w:r w:rsidRPr="008573C5">
        <w:rPr>
          <w:rFonts w:ascii="Times" w:hAnsi="Times" w:cs="Times"/>
        </w:rPr>
        <w:t>H</w:t>
      </w:r>
      <w:r w:rsidRPr="008573C5">
        <w:rPr>
          <w:rFonts w:ascii="Times" w:hAnsi="Times" w:cs="Times"/>
          <w:vertAlign w:val="subscript"/>
        </w:rPr>
        <w:t>o</w:t>
      </w:r>
      <w:r w:rsidRPr="008573C5">
        <w:rPr>
          <w:rFonts w:ascii="Times" w:hAnsi="Times" w:cs="Times"/>
        </w:rPr>
        <w:t xml:space="preserve">: There is no significant positive association between company size, profitability, leverage, company age, industry type, size of audit firm and multinational affiliation and the extent of disclosure by Nigerian listed companies. </w:t>
      </w:r>
    </w:p>
    <w:p w:rsidR="00491A11" w:rsidRPr="008573C5" w:rsidRDefault="00491A11" w:rsidP="00491A11">
      <w:pPr>
        <w:spacing w:line="360" w:lineRule="auto"/>
        <w:jc w:val="both"/>
        <w:rPr>
          <w:rFonts w:ascii="Times" w:hAnsi="Times" w:cs="Times"/>
        </w:rPr>
      </w:pPr>
      <w:r w:rsidRPr="008573C5">
        <w:rPr>
          <w:rFonts w:ascii="Times" w:hAnsi="Times" w:cs="Times"/>
        </w:rPr>
        <w:t>H</w:t>
      </w:r>
      <w:r w:rsidRPr="008573C5">
        <w:rPr>
          <w:rFonts w:ascii="Times" w:hAnsi="Times" w:cs="Times"/>
          <w:vertAlign w:val="subscript"/>
        </w:rPr>
        <w:t>1</w:t>
      </w:r>
      <w:r w:rsidRPr="008573C5">
        <w:rPr>
          <w:rFonts w:ascii="Times" w:hAnsi="Times" w:cs="Times"/>
        </w:rPr>
        <w:t xml:space="preserve">: There is a significant positive association between company size, profitability, leverage, company age, industry type, size of audit firm and multinational affiliation and the extent of disclosure by Nigerian listed companies. </w:t>
      </w:r>
    </w:p>
    <w:p w:rsidR="007A11E2" w:rsidRPr="008573C5" w:rsidRDefault="007A11E2" w:rsidP="00491A11">
      <w:pPr>
        <w:tabs>
          <w:tab w:val="left" w:pos="7320"/>
        </w:tabs>
        <w:spacing w:before="240" w:line="360" w:lineRule="auto"/>
        <w:jc w:val="both"/>
      </w:pPr>
    </w:p>
    <w:p w:rsidR="00FF5EDF" w:rsidRPr="008573C5" w:rsidRDefault="00FF5EDF" w:rsidP="00491A11">
      <w:pPr>
        <w:tabs>
          <w:tab w:val="left" w:pos="7320"/>
        </w:tabs>
        <w:spacing w:before="240" w:line="360" w:lineRule="auto"/>
        <w:jc w:val="both"/>
        <w:rPr>
          <w:b/>
        </w:rPr>
      </w:pPr>
      <w:r w:rsidRPr="008573C5">
        <w:t xml:space="preserve">The regression estimation of </w:t>
      </w:r>
      <w:r w:rsidR="00ED65C5" w:rsidRPr="008573C5">
        <w:t>equation A</w:t>
      </w:r>
      <w:r w:rsidRPr="008573C5">
        <w:rPr>
          <w:vertAlign w:val="subscript"/>
        </w:rPr>
        <w:t>1</w:t>
      </w:r>
      <w:r w:rsidR="00ED65C5" w:rsidRPr="008573C5">
        <w:rPr>
          <w:vertAlign w:val="subscript"/>
        </w:rPr>
        <w:t>3</w:t>
      </w:r>
      <w:r w:rsidRPr="008573C5">
        <w:rPr>
          <w:vertAlign w:val="subscript"/>
        </w:rPr>
        <w:t xml:space="preserve"> </w:t>
      </w:r>
      <w:r w:rsidRPr="008573C5">
        <w:t>presented in Table 4.</w:t>
      </w:r>
      <w:r w:rsidR="00CE205C" w:rsidRPr="008573C5">
        <w:t>23</w:t>
      </w:r>
      <w:r w:rsidRPr="008573C5">
        <w:t xml:space="preserve"> is used for hypotheses testing. The summary of the hypothesis result is shown in Table 4.</w:t>
      </w:r>
      <w:r w:rsidR="00807701" w:rsidRPr="008573C5">
        <w:t>2</w:t>
      </w:r>
      <w:r w:rsidR="00F741EB" w:rsidRPr="008573C5">
        <w:t>9</w:t>
      </w:r>
      <w:r w:rsidRPr="008573C5">
        <w:t>.</w:t>
      </w:r>
    </w:p>
    <w:p w:rsidR="00FF5EDF" w:rsidRPr="008573C5" w:rsidRDefault="00FF5EDF" w:rsidP="00FF5EDF">
      <w:pPr>
        <w:tabs>
          <w:tab w:val="left" w:pos="7320"/>
        </w:tabs>
        <w:spacing w:before="240" w:line="360" w:lineRule="auto"/>
        <w:jc w:val="both"/>
        <w:rPr>
          <w:b/>
        </w:rPr>
      </w:pPr>
    </w:p>
    <w:p w:rsidR="00BC22A4" w:rsidRPr="008573C5" w:rsidRDefault="00BC22A4" w:rsidP="00BC22A4">
      <w:pPr>
        <w:spacing w:line="360" w:lineRule="auto"/>
        <w:jc w:val="center"/>
        <w:rPr>
          <w:b/>
          <w:sz w:val="28"/>
          <w:szCs w:val="28"/>
        </w:rPr>
      </w:pPr>
      <w:r w:rsidRPr="008573C5">
        <w:rPr>
          <w:b/>
          <w:sz w:val="28"/>
          <w:szCs w:val="28"/>
        </w:rPr>
        <w:t>Table 4.2</w:t>
      </w:r>
      <w:r w:rsidR="002E5C79" w:rsidRPr="008573C5">
        <w:rPr>
          <w:b/>
          <w:sz w:val="28"/>
          <w:szCs w:val="28"/>
        </w:rPr>
        <w:t>9</w:t>
      </w:r>
      <w:r w:rsidRPr="008573C5">
        <w:rPr>
          <w:b/>
          <w:sz w:val="28"/>
          <w:szCs w:val="28"/>
        </w:rPr>
        <w:t>:  Summary of  Hypothesis 4 Results</w:t>
      </w:r>
    </w:p>
    <w:p w:rsidR="00FF5EDF" w:rsidRPr="008573C5" w:rsidRDefault="00FF5EDF" w:rsidP="00FF5EDF">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1141"/>
        <w:gridCol w:w="1132"/>
        <w:gridCol w:w="1289"/>
        <w:gridCol w:w="2037"/>
      </w:tblGrid>
      <w:tr w:rsidR="000E0B9C" w:rsidRPr="008573C5" w:rsidTr="000E0B9C">
        <w:tc>
          <w:tcPr>
            <w:tcW w:w="1630" w:type="dxa"/>
          </w:tcPr>
          <w:p w:rsidR="000E0B9C" w:rsidRPr="008573C5" w:rsidRDefault="000E0B9C" w:rsidP="00FC7BF6">
            <w:pPr>
              <w:jc w:val="center"/>
              <w:rPr>
                <w:rFonts w:eastAsia="Calibri"/>
              </w:rPr>
            </w:pPr>
            <w:r w:rsidRPr="008573C5">
              <w:rPr>
                <w:rFonts w:eastAsia="Calibri"/>
              </w:rPr>
              <w:t>Independent Variable</w:t>
            </w:r>
          </w:p>
        </w:tc>
        <w:tc>
          <w:tcPr>
            <w:tcW w:w="1141" w:type="dxa"/>
          </w:tcPr>
          <w:p w:rsidR="000E0B9C" w:rsidRPr="008573C5" w:rsidRDefault="000E0B9C" w:rsidP="00FC7BF6">
            <w:pPr>
              <w:jc w:val="center"/>
              <w:rPr>
                <w:rFonts w:eastAsia="Calibri"/>
              </w:rPr>
            </w:pPr>
            <w:r w:rsidRPr="008573C5">
              <w:rPr>
                <w:rFonts w:eastAsia="Calibri"/>
              </w:rPr>
              <w:t>Expected Sign</w:t>
            </w:r>
          </w:p>
        </w:tc>
        <w:tc>
          <w:tcPr>
            <w:tcW w:w="1132" w:type="dxa"/>
          </w:tcPr>
          <w:p w:rsidR="000E0B9C" w:rsidRPr="008573C5" w:rsidRDefault="000E0B9C" w:rsidP="00FC7BF6">
            <w:pPr>
              <w:jc w:val="center"/>
              <w:rPr>
                <w:rFonts w:eastAsia="Calibri"/>
              </w:rPr>
            </w:pPr>
            <w:r w:rsidRPr="008573C5">
              <w:rPr>
                <w:rFonts w:eastAsia="Calibri"/>
              </w:rPr>
              <w:t>Reported Sign</w:t>
            </w:r>
          </w:p>
        </w:tc>
        <w:tc>
          <w:tcPr>
            <w:tcW w:w="1289" w:type="dxa"/>
          </w:tcPr>
          <w:p w:rsidR="000E0B9C" w:rsidRPr="008573C5" w:rsidRDefault="000E0B9C" w:rsidP="00FC7BF6">
            <w:pPr>
              <w:jc w:val="center"/>
              <w:rPr>
                <w:rFonts w:eastAsia="Calibri"/>
              </w:rPr>
            </w:pPr>
            <w:r w:rsidRPr="008573C5">
              <w:rPr>
                <w:rFonts w:eastAsia="Calibri"/>
              </w:rPr>
              <w:t>Significant or Not Significant</w:t>
            </w:r>
          </w:p>
        </w:tc>
        <w:tc>
          <w:tcPr>
            <w:tcW w:w="2037" w:type="dxa"/>
          </w:tcPr>
          <w:p w:rsidR="000E0B9C" w:rsidRPr="008573C5" w:rsidRDefault="000E0B9C" w:rsidP="00FC7BF6">
            <w:pPr>
              <w:jc w:val="center"/>
              <w:rPr>
                <w:rFonts w:eastAsia="Calibri"/>
              </w:rPr>
            </w:pPr>
            <w:r w:rsidRPr="008573C5">
              <w:rPr>
                <w:rFonts w:eastAsia="Calibri"/>
              </w:rPr>
              <w:t>Accepted/Rejected</w:t>
            </w:r>
          </w:p>
        </w:tc>
      </w:tr>
      <w:tr w:rsidR="000E0B9C" w:rsidRPr="008573C5" w:rsidTr="000E0B9C">
        <w:tc>
          <w:tcPr>
            <w:tcW w:w="1630" w:type="dxa"/>
          </w:tcPr>
          <w:p w:rsidR="000E0B9C" w:rsidRPr="008573C5" w:rsidRDefault="000E0B9C" w:rsidP="00FC7BF6">
            <w:pPr>
              <w:rPr>
                <w:rFonts w:eastAsia="Calibri"/>
              </w:rPr>
            </w:pPr>
            <w:r w:rsidRPr="008573C5">
              <w:rPr>
                <w:rFonts w:eastAsia="Calibri"/>
              </w:rPr>
              <w:t>Company Size</w:t>
            </w:r>
          </w:p>
        </w:tc>
        <w:tc>
          <w:tcPr>
            <w:tcW w:w="1141" w:type="dxa"/>
          </w:tcPr>
          <w:p w:rsidR="000E0B9C" w:rsidRPr="008573C5" w:rsidRDefault="000E0B9C" w:rsidP="00FC7BF6">
            <w:pPr>
              <w:jc w:val="center"/>
              <w:rPr>
                <w:rFonts w:eastAsia="Calibri"/>
              </w:rPr>
            </w:pPr>
            <w:r w:rsidRPr="008573C5">
              <w:rPr>
                <w:rFonts w:eastAsia="Calibri"/>
              </w:rPr>
              <w:t>+</w:t>
            </w:r>
          </w:p>
        </w:tc>
        <w:tc>
          <w:tcPr>
            <w:tcW w:w="1132" w:type="dxa"/>
          </w:tcPr>
          <w:p w:rsidR="000E0B9C" w:rsidRPr="008573C5" w:rsidRDefault="000E0B9C" w:rsidP="00FC7BF6">
            <w:pPr>
              <w:jc w:val="center"/>
              <w:rPr>
                <w:rFonts w:eastAsia="Calibri"/>
              </w:rPr>
            </w:pPr>
            <w:r w:rsidRPr="008573C5">
              <w:rPr>
                <w:rFonts w:eastAsia="Calibri"/>
              </w:rPr>
              <w:t>+</w:t>
            </w:r>
          </w:p>
        </w:tc>
        <w:tc>
          <w:tcPr>
            <w:tcW w:w="1289" w:type="dxa"/>
          </w:tcPr>
          <w:p w:rsidR="000E0B9C" w:rsidRPr="008573C5" w:rsidRDefault="000E0B9C" w:rsidP="00FC7BF6">
            <w:pPr>
              <w:jc w:val="center"/>
              <w:rPr>
                <w:rFonts w:eastAsia="Calibri"/>
              </w:rPr>
            </w:pPr>
            <w:r w:rsidRPr="008573C5">
              <w:rPr>
                <w:rFonts w:eastAsia="Calibri"/>
              </w:rPr>
              <w:t>Sig</w:t>
            </w:r>
          </w:p>
        </w:tc>
        <w:tc>
          <w:tcPr>
            <w:tcW w:w="2037" w:type="dxa"/>
          </w:tcPr>
          <w:p w:rsidR="000E0B9C" w:rsidRPr="008573C5" w:rsidRDefault="000E0B9C" w:rsidP="00FC7BF6">
            <w:pPr>
              <w:jc w:val="center"/>
              <w:rPr>
                <w:rFonts w:eastAsia="Calibri"/>
              </w:rPr>
            </w:pPr>
            <w:r w:rsidRPr="008573C5">
              <w:rPr>
                <w:rFonts w:eastAsia="Calibri"/>
              </w:rPr>
              <w:t>Accepted</w:t>
            </w:r>
          </w:p>
        </w:tc>
      </w:tr>
      <w:tr w:rsidR="000E0B9C" w:rsidRPr="008573C5" w:rsidTr="000E0B9C">
        <w:tc>
          <w:tcPr>
            <w:tcW w:w="1630" w:type="dxa"/>
          </w:tcPr>
          <w:p w:rsidR="000E0B9C" w:rsidRPr="008573C5" w:rsidRDefault="000E0B9C" w:rsidP="00FC7BF6">
            <w:pPr>
              <w:rPr>
                <w:rFonts w:eastAsia="Calibri"/>
              </w:rPr>
            </w:pPr>
            <w:r w:rsidRPr="008573C5">
              <w:rPr>
                <w:rFonts w:eastAsia="Calibri"/>
              </w:rPr>
              <w:t>Profitability</w:t>
            </w:r>
          </w:p>
        </w:tc>
        <w:tc>
          <w:tcPr>
            <w:tcW w:w="1141" w:type="dxa"/>
          </w:tcPr>
          <w:p w:rsidR="000E0B9C" w:rsidRPr="008573C5" w:rsidRDefault="000E0B9C" w:rsidP="00FC7BF6">
            <w:pPr>
              <w:jc w:val="center"/>
              <w:rPr>
                <w:rFonts w:eastAsia="Calibri"/>
              </w:rPr>
            </w:pPr>
            <w:r w:rsidRPr="008573C5">
              <w:rPr>
                <w:rFonts w:eastAsia="Calibri"/>
              </w:rPr>
              <w:t>+</w:t>
            </w:r>
          </w:p>
        </w:tc>
        <w:tc>
          <w:tcPr>
            <w:tcW w:w="1132" w:type="dxa"/>
          </w:tcPr>
          <w:p w:rsidR="000E0B9C" w:rsidRPr="008573C5" w:rsidRDefault="000E0B9C" w:rsidP="00FC7BF6">
            <w:pPr>
              <w:jc w:val="center"/>
              <w:rPr>
                <w:rFonts w:eastAsia="Calibri"/>
              </w:rPr>
            </w:pPr>
            <w:r w:rsidRPr="008573C5">
              <w:rPr>
                <w:rFonts w:eastAsia="Calibri"/>
              </w:rPr>
              <w:t>+</w:t>
            </w:r>
          </w:p>
        </w:tc>
        <w:tc>
          <w:tcPr>
            <w:tcW w:w="1289" w:type="dxa"/>
          </w:tcPr>
          <w:p w:rsidR="000E0B9C" w:rsidRPr="008573C5" w:rsidRDefault="000E0B9C" w:rsidP="00FC7BF6">
            <w:pPr>
              <w:jc w:val="center"/>
              <w:rPr>
                <w:rFonts w:eastAsia="Calibri"/>
              </w:rPr>
            </w:pPr>
            <w:r w:rsidRPr="008573C5">
              <w:rPr>
                <w:rFonts w:eastAsia="Calibri"/>
              </w:rPr>
              <w:t>NSig</w:t>
            </w:r>
          </w:p>
        </w:tc>
        <w:tc>
          <w:tcPr>
            <w:tcW w:w="2037" w:type="dxa"/>
          </w:tcPr>
          <w:p w:rsidR="000E0B9C" w:rsidRPr="008573C5" w:rsidRDefault="000E0B9C" w:rsidP="00FC7BF6">
            <w:pPr>
              <w:jc w:val="center"/>
              <w:rPr>
                <w:rFonts w:eastAsia="Calibri"/>
              </w:rPr>
            </w:pPr>
            <w:r w:rsidRPr="008573C5">
              <w:rPr>
                <w:rFonts w:eastAsia="Calibri"/>
              </w:rPr>
              <w:t>Rejected</w:t>
            </w:r>
          </w:p>
        </w:tc>
      </w:tr>
      <w:tr w:rsidR="000E0B9C" w:rsidRPr="008573C5" w:rsidTr="000E0B9C">
        <w:tc>
          <w:tcPr>
            <w:tcW w:w="1630" w:type="dxa"/>
          </w:tcPr>
          <w:p w:rsidR="000E0B9C" w:rsidRPr="008573C5" w:rsidRDefault="000E0B9C" w:rsidP="00FC7BF6">
            <w:pPr>
              <w:rPr>
                <w:rFonts w:eastAsia="Calibri"/>
              </w:rPr>
            </w:pPr>
            <w:r w:rsidRPr="008573C5">
              <w:rPr>
                <w:rFonts w:eastAsia="Calibri"/>
              </w:rPr>
              <w:t>Leverage</w:t>
            </w:r>
          </w:p>
        </w:tc>
        <w:tc>
          <w:tcPr>
            <w:tcW w:w="1141" w:type="dxa"/>
          </w:tcPr>
          <w:p w:rsidR="000E0B9C" w:rsidRPr="008573C5" w:rsidRDefault="000E0B9C" w:rsidP="00FC7BF6">
            <w:pPr>
              <w:jc w:val="center"/>
              <w:rPr>
                <w:rFonts w:eastAsia="Calibri"/>
              </w:rPr>
            </w:pPr>
            <w:r w:rsidRPr="008573C5">
              <w:rPr>
                <w:rFonts w:eastAsia="Calibri"/>
              </w:rPr>
              <w:t>+</w:t>
            </w:r>
          </w:p>
        </w:tc>
        <w:tc>
          <w:tcPr>
            <w:tcW w:w="1132" w:type="dxa"/>
          </w:tcPr>
          <w:p w:rsidR="000E0B9C" w:rsidRPr="008573C5" w:rsidRDefault="000E0B9C" w:rsidP="00FC7BF6">
            <w:pPr>
              <w:jc w:val="center"/>
              <w:rPr>
                <w:rFonts w:eastAsia="Calibri"/>
              </w:rPr>
            </w:pPr>
            <w:r w:rsidRPr="008573C5">
              <w:rPr>
                <w:rFonts w:eastAsia="Calibri"/>
              </w:rPr>
              <w:t>-</w:t>
            </w:r>
          </w:p>
        </w:tc>
        <w:tc>
          <w:tcPr>
            <w:tcW w:w="1289" w:type="dxa"/>
          </w:tcPr>
          <w:p w:rsidR="000E0B9C" w:rsidRPr="008573C5" w:rsidRDefault="000E0B9C" w:rsidP="00FC7BF6">
            <w:pPr>
              <w:jc w:val="center"/>
            </w:pPr>
            <w:r w:rsidRPr="008573C5">
              <w:rPr>
                <w:rFonts w:eastAsia="Calibri"/>
              </w:rPr>
              <w:t>NSig</w:t>
            </w:r>
          </w:p>
        </w:tc>
        <w:tc>
          <w:tcPr>
            <w:tcW w:w="2037" w:type="dxa"/>
          </w:tcPr>
          <w:p w:rsidR="000E0B9C" w:rsidRPr="008573C5" w:rsidRDefault="000E0B9C" w:rsidP="00FC7BF6">
            <w:pPr>
              <w:jc w:val="center"/>
            </w:pPr>
            <w:r w:rsidRPr="008573C5">
              <w:rPr>
                <w:rFonts w:eastAsia="Calibri"/>
              </w:rPr>
              <w:t>Rejected</w:t>
            </w:r>
          </w:p>
        </w:tc>
      </w:tr>
      <w:tr w:rsidR="000E0B9C" w:rsidRPr="008573C5" w:rsidTr="000E0B9C">
        <w:tc>
          <w:tcPr>
            <w:tcW w:w="1630" w:type="dxa"/>
          </w:tcPr>
          <w:p w:rsidR="000E0B9C" w:rsidRPr="008573C5" w:rsidRDefault="000E0B9C" w:rsidP="00FC7BF6">
            <w:pPr>
              <w:rPr>
                <w:rFonts w:eastAsia="Calibri"/>
              </w:rPr>
            </w:pPr>
            <w:r w:rsidRPr="008573C5">
              <w:rPr>
                <w:rFonts w:eastAsia="Calibri"/>
              </w:rPr>
              <w:t>Company Listing Age</w:t>
            </w:r>
          </w:p>
        </w:tc>
        <w:tc>
          <w:tcPr>
            <w:tcW w:w="1141" w:type="dxa"/>
          </w:tcPr>
          <w:p w:rsidR="000E0B9C" w:rsidRPr="008573C5" w:rsidRDefault="000E0B9C" w:rsidP="00FC7BF6">
            <w:pPr>
              <w:jc w:val="center"/>
              <w:rPr>
                <w:rFonts w:eastAsia="Calibri"/>
              </w:rPr>
            </w:pPr>
            <w:r w:rsidRPr="008573C5">
              <w:rPr>
                <w:rFonts w:eastAsia="Calibri"/>
              </w:rPr>
              <w:t>-</w:t>
            </w:r>
          </w:p>
        </w:tc>
        <w:tc>
          <w:tcPr>
            <w:tcW w:w="1132" w:type="dxa"/>
          </w:tcPr>
          <w:p w:rsidR="000E0B9C" w:rsidRPr="008573C5" w:rsidRDefault="000E0B9C" w:rsidP="00FC7BF6">
            <w:pPr>
              <w:jc w:val="center"/>
              <w:rPr>
                <w:rFonts w:eastAsia="Calibri"/>
              </w:rPr>
            </w:pPr>
            <w:r w:rsidRPr="008573C5">
              <w:rPr>
                <w:rFonts w:eastAsia="Calibri"/>
              </w:rPr>
              <w:t>+</w:t>
            </w:r>
          </w:p>
        </w:tc>
        <w:tc>
          <w:tcPr>
            <w:tcW w:w="1289" w:type="dxa"/>
          </w:tcPr>
          <w:p w:rsidR="000E0B9C" w:rsidRPr="008573C5" w:rsidRDefault="000E0B9C" w:rsidP="00FC7BF6">
            <w:pPr>
              <w:jc w:val="center"/>
            </w:pPr>
            <w:r w:rsidRPr="008573C5">
              <w:rPr>
                <w:rFonts w:eastAsia="Calibri"/>
              </w:rPr>
              <w:t>NSig</w:t>
            </w:r>
          </w:p>
        </w:tc>
        <w:tc>
          <w:tcPr>
            <w:tcW w:w="2037" w:type="dxa"/>
          </w:tcPr>
          <w:p w:rsidR="000E0B9C" w:rsidRPr="008573C5" w:rsidRDefault="000E0B9C" w:rsidP="00FC7BF6">
            <w:pPr>
              <w:jc w:val="center"/>
            </w:pPr>
            <w:r w:rsidRPr="008573C5">
              <w:rPr>
                <w:rFonts w:eastAsia="Calibri"/>
              </w:rPr>
              <w:t>Rejected</w:t>
            </w:r>
          </w:p>
        </w:tc>
      </w:tr>
      <w:tr w:rsidR="000E0B9C" w:rsidRPr="008573C5" w:rsidTr="000E0B9C">
        <w:tc>
          <w:tcPr>
            <w:tcW w:w="1630" w:type="dxa"/>
          </w:tcPr>
          <w:p w:rsidR="000E0B9C" w:rsidRPr="008573C5" w:rsidRDefault="000E0B9C" w:rsidP="00FC7BF6">
            <w:pPr>
              <w:rPr>
                <w:rFonts w:eastAsia="Calibri"/>
              </w:rPr>
            </w:pPr>
            <w:r w:rsidRPr="008573C5">
              <w:rPr>
                <w:rFonts w:eastAsia="Calibri"/>
              </w:rPr>
              <w:t>Industrial sector</w:t>
            </w:r>
          </w:p>
        </w:tc>
        <w:tc>
          <w:tcPr>
            <w:tcW w:w="1141" w:type="dxa"/>
          </w:tcPr>
          <w:p w:rsidR="000E0B9C" w:rsidRPr="008573C5" w:rsidRDefault="000E0B9C" w:rsidP="00FC7BF6">
            <w:pPr>
              <w:jc w:val="center"/>
              <w:rPr>
                <w:rFonts w:eastAsia="Calibri"/>
              </w:rPr>
            </w:pPr>
            <w:r w:rsidRPr="008573C5">
              <w:rPr>
                <w:rFonts w:eastAsia="Calibri"/>
              </w:rPr>
              <w:t>+</w:t>
            </w:r>
          </w:p>
        </w:tc>
        <w:tc>
          <w:tcPr>
            <w:tcW w:w="1132" w:type="dxa"/>
          </w:tcPr>
          <w:p w:rsidR="000E0B9C" w:rsidRPr="008573C5" w:rsidRDefault="000E0B9C" w:rsidP="00FC7BF6">
            <w:pPr>
              <w:jc w:val="center"/>
              <w:rPr>
                <w:rFonts w:eastAsia="Calibri"/>
              </w:rPr>
            </w:pPr>
            <w:r w:rsidRPr="008573C5">
              <w:rPr>
                <w:rFonts w:eastAsia="Calibri"/>
              </w:rPr>
              <w:t>+</w:t>
            </w:r>
          </w:p>
        </w:tc>
        <w:tc>
          <w:tcPr>
            <w:tcW w:w="1289" w:type="dxa"/>
          </w:tcPr>
          <w:p w:rsidR="000E0B9C" w:rsidRPr="008573C5" w:rsidRDefault="000E0B9C" w:rsidP="00FC7BF6">
            <w:pPr>
              <w:jc w:val="center"/>
            </w:pPr>
            <w:r w:rsidRPr="008573C5">
              <w:rPr>
                <w:rFonts w:eastAsia="Calibri"/>
              </w:rPr>
              <w:t>NSig</w:t>
            </w:r>
          </w:p>
        </w:tc>
        <w:tc>
          <w:tcPr>
            <w:tcW w:w="2037" w:type="dxa"/>
          </w:tcPr>
          <w:p w:rsidR="000E0B9C" w:rsidRPr="008573C5" w:rsidRDefault="000E0B9C" w:rsidP="00FC7BF6">
            <w:pPr>
              <w:jc w:val="center"/>
            </w:pPr>
            <w:r w:rsidRPr="008573C5">
              <w:rPr>
                <w:rFonts w:eastAsia="Calibri"/>
              </w:rPr>
              <w:t>Rejected</w:t>
            </w:r>
          </w:p>
        </w:tc>
      </w:tr>
      <w:tr w:rsidR="000E0B9C" w:rsidRPr="008573C5" w:rsidTr="000E0B9C">
        <w:tc>
          <w:tcPr>
            <w:tcW w:w="1630" w:type="dxa"/>
          </w:tcPr>
          <w:p w:rsidR="000E0B9C" w:rsidRPr="008573C5" w:rsidRDefault="000E0B9C" w:rsidP="00FC7BF6">
            <w:pPr>
              <w:rPr>
                <w:rFonts w:eastAsia="Calibri"/>
              </w:rPr>
            </w:pPr>
            <w:r w:rsidRPr="008573C5">
              <w:rPr>
                <w:rFonts w:eastAsia="Calibri"/>
              </w:rPr>
              <w:t>Auditor Type</w:t>
            </w:r>
          </w:p>
        </w:tc>
        <w:tc>
          <w:tcPr>
            <w:tcW w:w="1141" w:type="dxa"/>
          </w:tcPr>
          <w:p w:rsidR="000E0B9C" w:rsidRPr="008573C5" w:rsidRDefault="000E0B9C" w:rsidP="00FC7BF6">
            <w:pPr>
              <w:jc w:val="center"/>
              <w:rPr>
                <w:rFonts w:eastAsia="Calibri"/>
              </w:rPr>
            </w:pPr>
            <w:r w:rsidRPr="008573C5">
              <w:rPr>
                <w:rFonts w:eastAsia="Calibri"/>
              </w:rPr>
              <w:t>+</w:t>
            </w:r>
          </w:p>
        </w:tc>
        <w:tc>
          <w:tcPr>
            <w:tcW w:w="1132" w:type="dxa"/>
          </w:tcPr>
          <w:p w:rsidR="000E0B9C" w:rsidRPr="008573C5" w:rsidRDefault="000E0B9C" w:rsidP="00FC7BF6">
            <w:pPr>
              <w:jc w:val="center"/>
              <w:rPr>
                <w:rFonts w:eastAsia="Calibri"/>
              </w:rPr>
            </w:pPr>
            <w:r w:rsidRPr="008573C5">
              <w:rPr>
                <w:rFonts w:eastAsia="Calibri"/>
              </w:rPr>
              <w:t>+</w:t>
            </w:r>
          </w:p>
        </w:tc>
        <w:tc>
          <w:tcPr>
            <w:tcW w:w="1289" w:type="dxa"/>
          </w:tcPr>
          <w:p w:rsidR="000E0B9C" w:rsidRPr="008573C5" w:rsidRDefault="000E0B9C" w:rsidP="00FC7BF6">
            <w:pPr>
              <w:jc w:val="center"/>
            </w:pPr>
            <w:r w:rsidRPr="008573C5">
              <w:rPr>
                <w:rFonts w:eastAsia="Calibri"/>
              </w:rPr>
              <w:t>Sig</w:t>
            </w:r>
          </w:p>
        </w:tc>
        <w:tc>
          <w:tcPr>
            <w:tcW w:w="2037" w:type="dxa"/>
          </w:tcPr>
          <w:p w:rsidR="000E0B9C" w:rsidRPr="008573C5" w:rsidRDefault="000E0B9C" w:rsidP="00FC7BF6">
            <w:pPr>
              <w:jc w:val="center"/>
              <w:rPr>
                <w:rFonts w:eastAsia="Calibri"/>
              </w:rPr>
            </w:pPr>
            <w:r w:rsidRPr="008573C5">
              <w:rPr>
                <w:rFonts w:eastAsia="Calibri"/>
              </w:rPr>
              <w:t>Accepted</w:t>
            </w:r>
          </w:p>
        </w:tc>
      </w:tr>
      <w:tr w:rsidR="000E0B9C" w:rsidRPr="008573C5" w:rsidTr="000E0B9C">
        <w:tc>
          <w:tcPr>
            <w:tcW w:w="1630" w:type="dxa"/>
          </w:tcPr>
          <w:p w:rsidR="000E0B9C" w:rsidRPr="008573C5" w:rsidRDefault="000E0B9C" w:rsidP="00FC7BF6">
            <w:pPr>
              <w:rPr>
                <w:rFonts w:eastAsia="Calibri"/>
              </w:rPr>
            </w:pPr>
            <w:r w:rsidRPr="008573C5">
              <w:rPr>
                <w:rFonts w:eastAsia="Calibri"/>
              </w:rPr>
              <w:t>Multinational Parent</w:t>
            </w:r>
          </w:p>
        </w:tc>
        <w:tc>
          <w:tcPr>
            <w:tcW w:w="1141" w:type="dxa"/>
          </w:tcPr>
          <w:p w:rsidR="000E0B9C" w:rsidRPr="008573C5" w:rsidRDefault="000E0B9C" w:rsidP="00FC7BF6">
            <w:pPr>
              <w:jc w:val="center"/>
              <w:rPr>
                <w:rFonts w:eastAsia="Calibri"/>
              </w:rPr>
            </w:pPr>
            <w:r w:rsidRPr="008573C5">
              <w:rPr>
                <w:rFonts w:eastAsia="Calibri"/>
              </w:rPr>
              <w:t>+</w:t>
            </w:r>
          </w:p>
        </w:tc>
        <w:tc>
          <w:tcPr>
            <w:tcW w:w="1132" w:type="dxa"/>
          </w:tcPr>
          <w:p w:rsidR="000E0B9C" w:rsidRPr="008573C5" w:rsidRDefault="000E0B9C" w:rsidP="00FC7BF6">
            <w:pPr>
              <w:jc w:val="center"/>
              <w:rPr>
                <w:rFonts w:eastAsia="Calibri"/>
              </w:rPr>
            </w:pPr>
            <w:r w:rsidRPr="008573C5">
              <w:rPr>
                <w:rFonts w:eastAsia="Calibri"/>
              </w:rPr>
              <w:t>+</w:t>
            </w:r>
          </w:p>
        </w:tc>
        <w:tc>
          <w:tcPr>
            <w:tcW w:w="1289" w:type="dxa"/>
          </w:tcPr>
          <w:p w:rsidR="000E0B9C" w:rsidRPr="008573C5" w:rsidRDefault="000E0B9C" w:rsidP="00FC7BF6">
            <w:pPr>
              <w:jc w:val="center"/>
            </w:pPr>
            <w:r w:rsidRPr="008573C5">
              <w:rPr>
                <w:rFonts w:eastAsia="Calibri"/>
              </w:rPr>
              <w:t>NSig</w:t>
            </w:r>
          </w:p>
        </w:tc>
        <w:tc>
          <w:tcPr>
            <w:tcW w:w="2037" w:type="dxa"/>
          </w:tcPr>
          <w:p w:rsidR="000E0B9C" w:rsidRPr="008573C5" w:rsidRDefault="000E0B9C" w:rsidP="00FC7BF6">
            <w:pPr>
              <w:jc w:val="center"/>
            </w:pPr>
            <w:r w:rsidRPr="008573C5">
              <w:rPr>
                <w:rFonts w:eastAsia="Calibri"/>
              </w:rPr>
              <w:t>Rejected</w:t>
            </w:r>
          </w:p>
        </w:tc>
      </w:tr>
    </w:tbl>
    <w:p w:rsidR="00B85521" w:rsidRPr="008573C5" w:rsidRDefault="00B85521" w:rsidP="00B85521">
      <w:pPr>
        <w:autoSpaceDE w:val="0"/>
        <w:autoSpaceDN w:val="0"/>
        <w:adjustRightInd w:val="0"/>
        <w:jc w:val="center"/>
        <w:rPr>
          <w:rFonts w:eastAsia="Calibri"/>
          <w:b/>
          <w:bCs/>
        </w:rPr>
      </w:pPr>
      <w:r w:rsidRPr="008573C5">
        <w:rPr>
          <w:rFonts w:eastAsia="Calibri"/>
          <w:b/>
          <w:bCs/>
        </w:rPr>
        <w:t>Source: Field Study (2009)</w:t>
      </w:r>
    </w:p>
    <w:p w:rsidR="00FF5EDF" w:rsidRPr="008573C5" w:rsidRDefault="00FF5EDF" w:rsidP="00FF5EDF">
      <w:pPr>
        <w:jc w:val="center"/>
      </w:pPr>
    </w:p>
    <w:p w:rsidR="00FF5EDF" w:rsidRPr="008573C5" w:rsidRDefault="00FF5EDF" w:rsidP="00FF5EDF"/>
    <w:p w:rsidR="00FF5EDF" w:rsidRPr="008573C5" w:rsidRDefault="00FF5EDF" w:rsidP="002B7BF4">
      <w:pPr>
        <w:spacing w:line="360" w:lineRule="auto"/>
        <w:jc w:val="both"/>
        <w:rPr>
          <w:b/>
        </w:rPr>
      </w:pPr>
      <w:r w:rsidRPr="008573C5">
        <w:t xml:space="preserve">Company size, measured by log of total assets, is found to be significant and positively associated with the extent of disclosure (p &lt; 0.001), indicating that larger companies in Nigeria are more likely to comply with the mandatory and voluntary accounting disclosures. Thus </w:t>
      </w:r>
      <w:r w:rsidR="000E0B9C" w:rsidRPr="008573C5">
        <w:rPr>
          <w:rFonts w:ascii="Times" w:hAnsi="Times" w:cs="Times"/>
        </w:rPr>
        <w:t>H</w:t>
      </w:r>
      <w:r w:rsidR="000E0B9C" w:rsidRPr="008573C5">
        <w:rPr>
          <w:rFonts w:ascii="Times" w:hAnsi="Times" w:cs="Times"/>
          <w:vertAlign w:val="subscript"/>
        </w:rPr>
        <w:t xml:space="preserve">1 </w:t>
      </w:r>
      <w:r w:rsidR="00FE7613">
        <w:t>is retained</w:t>
      </w:r>
      <w:r w:rsidRPr="008573C5">
        <w:t>.</w:t>
      </w:r>
    </w:p>
    <w:p w:rsidR="000E0B9C" w:rsidRPr="008573C5" w:rsidRDefault="000E0B9C" w:rsidP="002B7BF4">
      <w:pPr>
        <w:spacing w:line="360" w:lineRule="auto"/>
        <w:jc w:val="both"/>
      </w:pPr>
    </w:p>
    <w:p w:rsidR="00FF5EDF" w:rsidRPr="008573C5" w:rsidRDefault="00FF5EDF" w:rsidP="002B7BF4">
      <w:pPr>
        <w:spacing w:line="360" w:lineRule="auto"/>
        <w:jc w:val="both"/>
      </w:pPr>
      <w:r w:rsidRPr="008573C5">
        <w:t xml:space="preserve">Profitability, measured by return on equity, is found not </w:t>
      </w:r>
      <w:r w:rsidR="00CE205C" w:rsidRPr="008573C5">
        <w:t xml:space="preserve">to </w:t>
      </w:r>
      <w:r w:rsidRPr="008573C5">
        <w:t xml:space="preserve">be significantly associated with the extent of disclosure, although a positive sign is reported </w:t>
      </w:r>
      <w:r w:rsidR="00FE7613">
        <w:t xml:space="preserve">as expected. </w:t>
      </w:r>
      <w:r w:rsidR="00FE7613" w:rsidRPr="008573C5">
        <w:t xml:space="preserve">Thus </w:t>
      </w:r>
      <w:r w:rsidR="00FE7613" w:rsidRPr="008573C5">
        <w:rPr>
          <w:rFonts w:ascii="Times" w:hAnsi="Times" w:cs="Times"/>
        </w:rPr>
        <w:t>H</w:t>
      </w:r>
      <w:r w:rsidR="00FE7613" w:rsidRPr="008573C5">
        <w:rPr>
          <w:rFonts w:ascii="Times" w:hAnsi="Times" w:cs="Times"/>
          <w:vertAlign w:val="subscript"/>
        </w:rPr>
        <w:t xml:space="preserve">1 </w:t>
      </w:r>
      <w:r w:rsidR="00FE7613">
        <w:t>is rejected</w:t>
      </w:r>
      <w:r w:rsidR="00FE7613" w:rsidRPr="008573C5">
        <w:t>.</w:t>
      </w:r>
    </w:p>
    <w:p w:rsidR="00FF5EDF" w:rsidRPr="008573C5" w:rsidRDefault="00FF5EDF" w:rsidP="00FF5EDF">
      <w:pPr>
        <w:spacing w:line="360" w:lineRule="auto"/>
        <w:rPr>
          <w:b/>
        </w:rPr>
      </w:pPr>
    </w:p>
    <w:p w:rsidR="00FF5EDF" w:rsidRPr="008573C5" w:rsidRDefault="00FF5EDF" w:rsidP="002B7BF4">
      <w:pPr>
        <w:spacing w:line="360" w:lineRule="auto"/>
        <w:jc w:val="both"/>
      </w:pPr>
      <w:r w:rsidRPr="008573C5">
        <w:t>Leverage, measured by total liability to shareholders</w:t>
      </w:r>
      <w:r w:rsidR="001D3D56" w:rsidRPr="008573C5">
        <w:t>’</w:t>
      </w:r>
      <w:r w:rsidR="00FE7613">
        <w:t xml:space="preserve"> fund</w:t>
      </w:r>
      <w:r w:rsidRPr="008573C5">
        <w:t xml:space="preserve"> is found not to be significant which means that it is not associated with the extent of accounting disclosure</w:t>
      </w:r>
      <w:r w:rsidR="001D3D56" w:rsidRPr="008573C5">
        <w:t>.</w:t>
      </w:r>
      <w:r w:rsidRPr="008573C5">
        <w:t xml:space="preserve"> The reported sign was contrary to the expected. </w:t>
      </w:r>
      <w:r w:rsidR="00FE7613">
        <w:t>Thus</w:t>
      </w:r>
      <w:r w:rsidRPr="008573C5">
        <w:t xml:space="preserve"> </w:t>
      </w:r>
      <w:r w:rsidR="008320E8" w:rsidRPr="008573C5">
        <w:rPr>
          <w:rFonts w:ascii="Times" w:hAnsi="Times" w:cs="Times"/>
        </w:rPr>
        <w:t>H</w:t>
      </w:r>
      <w:r w:rsidR="008320E8" w:rsidRPr="008573C5">
        <w:rPr>
          <w:rFonts w:ascii="Times" w:hAnsi="Times" w:cs="Times"/>
          <w:vertAlign w:val="subscript"/>
        </w:rPr>
        <w:t>1</w:t>
      </w:r>
      <w:r w:rsidRPr="008573C5">
        <w:t xml:space="preserve"> is rejected.</w:t>
      </w:r>
    </w:p>
    <w:p w:rsidR="00FF5EDF" w:rsidRPr="008573C5" w:rsidRDefault="00FF5EDF" w:rsidP="002B7BF4">
      <w:pPr>
        <w:spacing w:line="360" w:lineRule="auto"/>
        <w:jc w:val="both"/>
        <w:rPr>
          <w:b/>
        </w:rPr>
      </w:pPr>
    </w:p>
    <w:p w:rsidR="00FF5EDF" w:rsidRPr="008573C5" w:rsidRDefault="001D3D56" w:rsidP="002B7BF4">
      <w:pPr>
        <w:spacing w:line="360" w:lineRule="auto"/>
        <w:jc w:val="both"/>
      </w:pPr>
      <w:r w:rsidRPr="008573C5">
        <w:t>Company listing a</w:t>
      </w:r>
      <w:r w:rsidR="00FF5EDF" w:rsidRPr="008573C5">
        <w:t>ge, measured as number of years since it bec</w:t>
      </w:r>
      <w:r w:rsidR="00FE7613">
        <w:t>omes</w:t>
      </w:r>
      <w:r w:rsidR="00FF5EDF" w:rsidRPr="008573C5">
        <w:t xml:space="preserve"> listed at NSE to December 2006, is not a significant explanatory variable. That is company listing age cannot be used in explaining the variation in the extent of disclosure. The reported positive sign does not conform </w:t>
      </w:r>
      <w:r w:rsidRPr="008573C5">
        <w:t>to</w:t>
      </w:r>
      <w:r w:rsidR="00FF5EDF" w:rsidRPr="008573C5">
        <w:t xml:space="preserve"> the predicted negative sign, thus </w:t>
      </w:r>
      <w:r w:rsidR="008320E8" w:rsidRPr="008573C5">
        <w:rPr>
          <w:rFonts w:ascii="Times" w:hAnsi="Times" w:cs="Times"/>
        </w:rPr>
        <w:t>H</w:t>
      </w:r>
      <w:r w:rsidR="008320E8" w:rsidRPr="008573C5">
        <w:rPr>
          <w:rFonts w:ascii="Times" w:hAnsi="Times" w:cs="Times"/>
          <w:vertAlign w:val="subscript"/>
        </w:rPr>
        <w:t>1</w:t>
      </w:r>
      <w:r w:rsidR="00FF5EDF" w:rsidRPr="008573C5">
        <w:t xml:space="preserve"> is not supported.</w:t>
      </w:r>
    </w:p>
    <w:p w:rsidR="00FF5EDF" w:rsidRPr="008573C5" w:rsidRDefault="00FF5EDF" w:rsidP="002B7BF4">
      <w:pPr>
        <w:spacing w:line="360" w:lineRule="auto"/>
        <w:jc w:val="both"/>
        <w:rPr>
          <w:b/>
        </w:rPr>
      </w:pPr>
    </w:p>
    <w:p w:rsidR="00FF5EDF" w:rsidRPr="008573C5" w:rsidRDefault="00FF5EDF" w:rsidP="002B7BF4">
      <w:pPr>
        <w:spacing w:line="360" w:lineRule="auto"/>
        <w:jc w:val="both"/>
        <w:rPr>
          <w:b/>
        </w:rPr>
      </w:pPr>
      <w:r w:rsidRPr="008573C5">
        <w:t xml:space="preserve">Industrial sector, measured by dummy variable (1 for financial sector and 0 otherwise), is found not to be statistically significant. The expected positive sign agrees with the reported sign but sector seems not to be a sufficient explanatory variable. </w:t>
      </w:r>
      <w:r w:rsidR="008320E8" w:rsidRPr="008573C5">
        <w:rPr>
          <w:rFonts w:ascii="Times" w:hAnsi="Times" w:cs="Times"/>
        </w:rPr>
        <w:t>H</w:t>
      </w:r>
      <w:r w:rsidR="008320E8" w:rsidRPr="008573C5">
        <w:rPr>
          <w:rFonts w:ascii="Times" w:hAnsi="Times" w:cs="Times"/>
          <w:vertAlign w:val="subscript"/>
        </w:rPr>
        <w:t>1</w:t>
      </w:r>
      <w:r w:rsidRPr="008573C5">
        <w:t xml:space="preserve"> is rejected.</w:t>
      </w:r>
    </w:p>
    <w:p w:rsidR="00FF5EDF" w:rsidRPr="008573C5" w:rsidRDefault="00FF5EDF" w:rsidP="002B7BF4">
      <w:pPr>
        <w:spacing w:line="360" w:lineRule="auto"/>
        <w:jc w:val="both"/>
        <w:rPr>
          <w:rFonts w:ascii="Times" w:hAnsi="Times" w:cs="Times"/>
          <w:b/>
        </w:rPr>
      </w:pPr>
    </w:p>
    <w:p w:rsidR="00FF5EDF" w:rsidRPr="008573C5" w:rsidRDefault="00FF5EDF" w:rsidP="002B7BF4">
      <w:pPr>
        <w:spacing w:line="360" w:lineRule="auto"/>
        <w:jc w:val="both"/>
      </w:pPr>
      <w:r w:rsidRPr="008573C5">
        <w:t xml:space="preserve">The auditor type is also represented by a dummy variable, 1 for Big four audit firms and 0 otherwise. Auditor type is found to be significant and positively related with the extent of disclosure (p &lt; 0.001) indicating that Big 4 audit firms in Nigeria are very conversant with the mandatory disclosures, which has aided the disclosures of the companies they audit.  </w:t>
      </w:r>
      <w:r w:rsidR="00FE7613" w:rsidRPr="008573C5">
        <w:t xml:space="preserve">Thus </w:t>
      </w:r>
      <w:r w:rsidR="00FE7613" w:rsidRPr="008573C5">
        <w:rPr>
          <w:rFonts w:ascii="Times" w:hAnsi="Times" w:cs="Times"/>
        </w:rPr>
        <w:t>H</w:t>
      </w:r>
      <w:r w:rsidR="00FE7613" w:rsidRPr="008573C5">
        <w:rPr>
          <w:rFonts w:ascii="Times" w:hAnsi="Times" w:cs="Times"/>
          <w:vertAlign w:val="subscript"/>
        </w:rPr>
        <w:t xml:space="preserve">1 </w:t>
      </w:r>
      <w:r w:rsidR="00FE7613">
        <w:t>is retained</w:t>
      </w:r>
      <w:r w:rsidR="00FE7613" w:rsidRPr="008573C5">
        <w:t>.</w:t>
      </w:r>
      <w:r w:rsidRPr="008573C5">
        <w:t>.</w:t>
      </w:r>
    </w:p>
    <w:p w:rsidR="008320E8" w:rsidRPr="008573C5" w:rsidRDefault="008320E8" w:rsidP="002B7BF4">
      <w:pPr>
        <w:spacing w:line="360" w:lineRule="auto"/>
        <w:jc w:val="both"/>
      </w:pPr>
    </w:p>
    <w:p w:rsidR="00FF5EDF" w:rsidRPr="008573C5" w:rsidRDefault="00FF5EDF" w:rsidP="002B7BF4">
      <w:pPr>
        <w:spacing w:line="360" w:lineRule="auto"/>
        <w:jc w:val="both"/>
        <w:rPr>
          <w:b/>
        </w:rPr>
      </w:pPr>
      <w:r w:rsidRPr="008573C5">
        <w:t>Multinationality measured by percentage of foreign investors</w:t>
      </w:r>
      <w:r w:rsidR="001D3D56" w:rsidRPr="008573C5">
        <w:t>’</w:t>
      </w:r>
      <w:r w:rsidRPr="008573C5">
        <w:t xml:space="preserve"> holding above 5% of issued shares is found not to be significant</w:t>
      </w:r>
      <w:r w:rsidR="001D3D56" w:rsidRPr="008573C5">
        <w:t>ly</w:t>
      </w:r>
      <w:r w:rsidRPr="008573C5">
        <w:t xml:space="preserve"> related </w:t>
      </w:r>
      <w:r w:rsidR="001D3D56" w:rsidRPr="008573C5">
        <w:t>to</w:t>
      </w:r>
      <w:r w:rsidRPr="008573C5">
        <w:t xml:space="preserve"> the extent of disclosure. The reporte</w:t>
      </w:r>
      <w:r w:rsidR="00E16084" w:rsidRPr="008573C5">
        <w:t>d positive sign is as predicted;</w:t>
      </w:r>
      <w:r w:rsidRPr="008573C5">
        <w:t xml:space="preserve"> however, </w:t>
      </w:r>
      <w:r w:rsidR="008320E8" w:rsidRPr="008573C5">
        <w:rPr>
          <w:rFonts w:ascii="Times" w:hAnsi="Times" w:cs="Times"/>
        </w:rPr>
        <w:t>H</w:t>
      </w:r>
      <w:r w:rsidR="008320E8" w:rsidRPr="008573C5">
        <w:rPr>
          <w:rFonts w:ascii="Times" w:hAnsi="Times" w:cs="Times"/>
          <w:vertAlign w:val="subscript"/>
        </w:rPr>
        <w:t>1</w:t>
      </w:r>
      <w:r w:rsidRPr="008573C5">
        <w:t xml:space="preserve"> is rejected.</w:t>
      </w:r>
    </w:p>
    <w:p w:rsidR="00B051EB" w:rsidRPr="008573C5" w:rsidRDefault="000B4B09" w:rsidP="00B051EB">
      <w:pPr>
        <w:spacing w:before="100" w:beforeAutospacing="1" w:after="100" w:afterAutospacing="1" w:line="360" w:lineRule="auto"/>
        <w:jc w:val="both"/>
        <w:rPr>
          <w:b/>
          <w:sz w:val="28"/>
          <w:szCs w:val="28"/>
        </w:rPr>
      </w:pPr>
      <w:r w:rsidRPr="008573C5">
        <w:rPr>
          <w:b/>
          <w:sz w:val="28"/>
          <w:szCs w:val="28"/>
        </w:rPr>
        <w:t>4</w:t>
      </w:r>
      <w:r w:rsidR="00B051EB" w:rsidRPr="008573C5">
        <w:rPr>
          <w:b/>
          <w:sz w:val="28"/>
          <w:szCs w:val="28"/>
        </w:rPr>
        <w:t>.</w:t>
      </w:r>
      <w:r w:rsidR="004D206D" w:rsidRPr="008573C5">
        <w:rPr>
          <w:b/>
          <w:sz w:val="28"/>
          <w:szCs w:val="28"/>
        </w:rPr>
        <w:t>3</w:t>
      </w:r>
      <w:r w:rsidR="00B051EB" w:rsidRPr="008573C5">
        <w:rPr>
          <w:b/>
          <w:sz w:val="28"/>
          <w:szCs w:val="28"/>
        </w:rPr>
        <w:tab/>
        <w:t>P</w:t>
      </w:r>
      <w:r w:rsidR="008320E8" w:rsidRPr="008573C5">
        <w:rPr>
          <w:b/>
          <w:sz w:val="28"/>
          <w:szCs w:val="28"/>
        </w:rPr>
        <w:t>resentation of Survey Data</w:t>
      </w:r>
    </w:p>
    <w:p w:rsidR="00B051EB" w:rsidRPr="008573C5" w:rsidRDefault="00B051EB" w:rsidP="007A27A9">
      <w:pPr>
        <w:spacing w:before="100" w:beforeAutospacing="1" w:after="100" w:afterAutospacing="1" w:line="360" w:lineRule="auto"/>
        <w:jc w:val="both"/>
        <w:rPr>
          <w:rFonts w:ascii="System" w:hAnsi="System" w:cs="System"/>
          <w:b/>
          <w:bCs/>
          <w:sz w:val="20"/>
          <w:szCs w:val="20"/>
        </w:rPr>
      </w:pPr>
      <w:r w:rsidRPr="008573C5">
        <w:t xml:space="preserve">This section contains </w:t>
      </w:r>
      <w:r w:rsidRPr="008573C5">
        <w:rPr>
          <w:lang w:val="en-GB"/>
        </w:rPr>
        <w:t xml:space="preserve">the presentation of primary data obtained by the researcher through the administration of </w:t>
      </w:r>
      <w:r w:rsidR="002F1A9A" w:rsidRPr="008573C5">
        <w:rPr>
          <w:lang w:val="en-GB"/>
        </w:rPr>
        <w:t>a questionnaire</w:t>
      </w:r>
      <w:r w:rsidRPr="008573C5">
        <w:rPr>
          <w:lang w:val="en-GB"/>
        </w:rPr>
        <w:t xml:space="preserve">. </w:t>
      </w:r>
      <w:r w:rsidR="002F1A9A" w:rsidRPr="008573C5">
        <w:rPr>
          <w:lang w:val="en-GB"/>
        </w:rPr>
        <w:t xml:space="preserve">The section </w:t>
      </w:r>
      <w:r w:rsidRPr="008573C5">
        <w:rPr>
          <w:lang w:val="en-GB"/>
        </w:rPr>
        <w:t xml:space="preserve">is divided into two parts. In the first part of this section, personal data </w:t>
      </w:r>
      <w:r w:rsidRPr="008573C5">
        <w:t>as contained in Section A of the questionnaire are presented. It includes data on geopolitical zones, gender, highest educational qualification, professional qualification, occupation and years of working experience. The second part contains the presentation of responses on Sections B, C, D and E of the questionnaire.  It includes data on compliance of listed companies with the disclosure requirement of the accounting standards, voluntary disclosures, factors influencing the extent of disclosure and consequences of non-disclosure.</w:t>
      </w:r>
      <w:r w:rsidRPr="008573C5">
        <w:rPr>
          <w:lang w:val="en-GB"/>
        </w:rPr>
        <w:t xml:space="preserve"> </w:t>
      </w:r>
    </w:p>
    <w:p w:rsidR="004D206D" w:rsidRPr="008573C5" w:rsidRDefault="004D206D" w:rsidP="00B051EB">
      <w:pPr>
        <w:spacing w:line="480" w:lineRule="auto"/>
        <w:ind w:left="720"/>
        <w:jc w:val="center"/>
        <w:rPr>
          <w:b/>
          <w:bCs/>
          <w:sz w:val="28"/>
          <w:szCs w:val="28"/>
          <w:lang w:val="en-GB"/>
        </w:rPr>
      </w:pPr>
    </w:p>
    <w:p w:rsidR="00B051EB" w:rsidRPr="008573C5" w:rsidRDefault="00B051EB" w:rsidP="00B051EB">
      <w:pPr>
        <w:spacing w:line="480" w:lineRule="auto"/>
        <w:ind w:left="720"/>
        <w:jc w:val="center"/>
        <w:rPr>
          <w:b/>
          <w:bCs/>
          <w:sz w:val="28"/>
          <w:szCs w:val="28"/>
          <w:lang w:val="en-GB"/>
        </w:rPr>
      </w:pPr>
      <w:r w:rsidRPr="008573C5">
        <w:rPr>
          <w:b/>
          <w:bCs/>
          <w:sz w:val="28"/>
          <w:szCs w:val="28"/>
          <w:lang w:val="en-GB"/>
        </w:rPr>
        <w:t>Table 4.</w:t>
      </w:r>
      <w:r w:rsidR="00436C09" w:rsidRPr="008573C5">
        <w:rPr>
          <w:b/>
          <w:bCs/>
          <w:sz w:val="28"/>
          <w:szCs w:val="28"/>
          <w:lang w:val="en-GB"/>
        </w:rPr>
        <w:t>3</w:t>
      </w:r>
      <w:r w:rsidR="002E5C79" w:rsidRPr="008573C5">
        <w:rPr>
          <w:b/>
          <w:bCs/>
          <w:sz w:val="28"/>
          <w:szCs w:val="28"/>
          <w:lang w:val="en-GB"/>
        </w:rPr>
        <w:t>0</w:t>
      </w:r>
      <w:r w:rsidRPr="008573C5">
        <w:rPr>
          <w:b/>
          <w:bCs/>
          <w:sz w:val="28"/>
          <w:szCs w:val="28"/>
          <w:lang w:val="en-GB"/>
        </w:rPr>
        <w:t>: Response to Questionnaire</w:t>
      </w:r>
    </w:p>
    <w:tbl>
      <w:tblPr>
        <w:tblW w:w="7740" w:type="dxa"/>
        <w:tblInd w:w="813" w:type="dxa"/>
        <w:tblLayout w:type="fixed"/>
        <w:tblCellMar>
          <w:left w:w="93" w:type="dxa"/>
          <w:right w:w="93" w:type="dxa"/>
        </w:tblCellMar>
        <w:tblLook w:val="0000"/>
      </w:tblPr>
      <w:tblGrid>
        <w:gridCol w:w="720"/>
        <w:gridCol w:w="2160"/>
        <w:gridCol w:w="1440"/>
        <w:gridCol w:w="1350"/>
        <w:gridCol w:w="2070"/>
      </w:tblGrid>
      <w:tr w:rsidR="00B051EB" w:rsidRPr="008573C5" w:rsidTr="00A23403">
        <w:trPr>
          <w:trHeight w:val="504"/>
        </w:trPr>
        <w:tc>
          <w:tcPr>
            <w:tcW w:w="288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B051EB" w:rsidRPr="008573C5" w:rsidRDefault="00B051EB" w:rsidP="00A23403">
            <w:pPr>
              <w:autoSpaceDE w:val="0"/>
              <w:autoSpaceDN w:val="0"/>
              <w:adjustRightInd w:val="0"/>
              <w:rPr>
                <w:rFonts w:ascii="Arial" w:hAnsi="Arial" w:cs="Arial"/>
                <w:sz w:val="18"/>
                <w:szCs w:val="18"/>
                <w:lang w:bidi="bn-BD"/>
              </w:rPr>
            </w:pPr>
          </w:p>
        </w:tc>
        <w:tc>
          <w:tcPr>
            <w:tcW w:w="144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051EB" w:rsidRPr="008573C5" w:rsidRDefault="00B051EB" w:rsidP="00A23403">
            <w:pPr>
              <w:autoSpaceDE w:val="0"/>
              <w:autoSpaceDN w:val="0"/>
              <w:adjustRightInd w:val="0"/>
              <w:rPr>
                <w:rFonts w:ascii="Arial" w:hAnsi="Arial" w:cs="Arial"/>
                <w:sz w:val="18"/>
                <w:szCs w:val="18"/>
                <w:lang w:bidi="bn-BD"/>
              </w:rPr>
            </w:pPr>
            <w:r w:rsidRPr="008573C5">
              <w:rPr>
                <w:rFonts w:ascii="Arial" w:hAnsi="Arial" w:cs="Arial"/>
                <w:sz w:val="18"/>
                <w:szCs w:val="18"/>
                <w:lang w:bidi="bn-BD"/>
              </w:rPr>
              <w:t>Frequency</w:t>
            </w:r>
          </w:p>
        </w:tc>
        <w:tc>
          <w:tcPr>
            <w:tcW w:w="135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051EB" w:rsidRPr="008573C5" w:rsidRDefault="00B051EB" w:rsidP="00A23403">
            <w:pPr>
              <w:autoSpaceDE w:val="0"/>
              <w:autoSpaceDN w:val="0"/>
              <w:adjustRightInd w:val="0"/>
              <w:rPr>
                <w:rFonts w:ascii="Arial" w:hAnsi="Arial" w:cs="Arial"/>
                <w:sz w:val="18"/>
                <w:szCs w:val="18"/>
                <w:lang w:bidi="bn-BD"/>
              </w:rPr>
            </w:pPr>
            <w:r w:rsidRPr="008573C5">
              <w:rPr>
                <w:rFonts w:ascii="Arial" w:hAnsi="Arial" w:cs="Arial"/>
                <w:sz w:val="18"/>
                <w:szCs w:val="18"/>
                <w:lang w:bidi="bn-BD"/>
              </w:rPr>
              <w:t>Percent</w:t>
            </w:r>
          </w:p>
        </w:tc>
        <w:tc>
          <w:tcPr>
            <w:tcW w:w="207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051EB" w:rsidRPr="008573C5" w:rsidRDefault="00B051EB" w:rsidP="00A23403">
            <w:pPr>
              <w:autoSpaceDE w:val="0"/>
              <w:autoSpaceDN w:val="0"/>
              <w:adjustRightInd w:val="0"/>
              <w:rPr>
                <w:rFonts w:ascii="Arial" w:hAnsi="Arial" w:cs="Arial"/>
                <w:sz w:val="18"/>
                <w:szCs w:val="18"/>
                <w:lang w:bidi="bn-BD"/>
              </w:rPr>
            </w:pPr>
            <w:r w:rsidRPr="008573C5">
              <w:rPr>
                <w:rFonts w:ascii="Arial" w:hAnsi="Arial" w:cs="Arial"/>
                <w:sz w:val="18"/>
                <w:szCs w:val="18"/>
                <w:lang w:bidi="bn-BD"/>
              </w:rPr>
              <w:t>Cumulative Percent</w:t>
            </w:r>
          </w:p>
        </w:tc>
      </w:tr>
      <w:tr w:rsidR="00B051EB" w:rsidRPr="008573C5" w:rsidTr="00A23403">
        <w:trPr>
          <w:trHeight w:val="273"/>
        </w:trPr>
        <w:tc>
          <w:tcPr>
            <w:tcW w:w="720" w:type="dxa"/>
            <w:tcBorders>
              <w:top w:val="single" w:sz="12" w:space="0" w:color="000000"/>
              <w:left w:val="single" w:sz="12" w:space="0" w:color="000000"/>
              <w:bottom w:val="nil"/>
              <w:right w:val="nil"/>
            </w:tcBorders>
            <w:shd w:val="clear" w:color="000000" w:fill="FFFFFF"/>
          </w:tcPr>
          <w:p w:rsidR="00B051EB" w:rsidRPr="008573C5" w:rsidRDefault="00B051EB" w:rsidP="00A23403">
            <w:pPr>
              <w:autoSpaceDE w:val="0"/>
              <w:autoSpaceDN w:val="0"/>
              <w:adjustRightInd w:val="0"/>
              <w:rPr>
                <w:rFonts w:ascii="Arial" w:hAnsi="Arial" w:cs="Arial"/>
                <w:sz w:val="18"/>
                <w:szCs w:val="18"/>
                <w:lang w:bidi="bn-BD"/>
              </w:rPr>
            </w:pPr>
          </w:p>
        </w:tc>
        <w:tc>
          <w:tcPr>
            <w:tcW w:w="2160" w:type="dxa"/>
            <w:tcBorders>
              <w:top w:val="single" w:sz="12" w:space="0" w:color="000000"/>
              <w:left w:val="nil"/>
              <w:bottom w:val="nil"/>
              <w:right w:val="single" w:sz="12" w:space="0" w:color="000000"/>
            </w:tcBorders>
            <w:shd w:val="clear" w:color="000000" w:fill="FFFFFF"/>
          </w:tcPr>
          <w:p w:rsidR="00B051EB" w:rsidRPr="008573C5" w:rsidRDefault="00B051EB" w:rsidP="00A23403">
            <w:pPr>
              <w:autoSpaceDE w:val="0"/>
              <w:autoSpaceDN w:val="0"/>
              <w:adjustRightInd w:val="0"/>
              <w:rPr>
                <w:rFonts w:ascii="Arial" w:hAnsi="Arial" w:cs="Arial"/>
                <w:sz w:val="18"/>
                <w:szCs w:val="18"/>
                <w:lang w:bidi="bn-BD"/>
              </w:rPr>
            </w:pPr>
            <w:r w:rsidRPr="008573C5">
              <w:rPr>
                <w:rFonts w:ascii="Arial" w:hAnsi="Arial" w:cs="Arial"/>
                <w:sz w:val="18"/>
                <w:szCs w:val="18"/>
                <w:lang w:bidi="bn-BD"/>
              </w:rPr>
              <w:t>Retrieved</w:t>
            </w:r>
          </w:p>
        </w:tc>
        <w:tc>
          <w:tcPr>
            <w:tcW w:w="1440" w:type="dxa"/>
            <w:tcBorders>
              <w:top w:val="single" w:sz="12" w:space="0" w:color="000000"/>
              <w:left w:val="single" w:sz="12" w:space="0" w:color="000000"/>
              <w:bottom w:val="nil"/>
              <w:right w:val="single" w:sz="2" w:space="0" w:color="000000"/>
            </w:tcBorders>
            <w:shd w:val="clear" w:color="000000" w:fill="FFFFFF"/>
            <w:vAlign w:val="center"/>
          </w:tcPr>
          <w:p w:rsidR="00B051EB" w:rsidRPr="008573C5" w:rsidRDefault="00B051EB" w:rsidP="00A23403">
            <w:pPr>
              <w:autoSpaceDE w:val="0"/>
              <w:autoSpaceDN w:val="0"/>
              <w:adjustRightInd w:val="0"/>
              <w:rPr>
                <w:rFonts w:ascii="Arial" w:hAnsi="Arial" w:cs="Arial"/>
                <w:sz w:val="18"/>
                <w:szCs w:val="18"/>
                <w:lang w:bidi="bn-BD"/>
              </w:rPr>
            </w:pPr>
            <w:r w:rsidRPr="008573C5">
              <w:rPr>
                <w:rFonts w:ascii="Arial" w:hAnsi="Arial" w:cs="Arial"/>
                <w:sz w:val="18"/>
                <w:szCs w:val="18"/>
                <w:lang w:bidi="bn-BD"/>
              </w:rPr>
              <w:t>483</w:t>
            </w:r>
          </w:p>
        </w:tc>
        <w:tc>
          <w:tcPr>
            <w:tcW w:w="1350" w:type="dxa"/>
            <w:tcBorders>
              <w:top w:val="single" w:sz="12" w:space="0" w:color="000000"/>
              <w:left w:val="single" w:sz="2" w:space="0" w:color="000000"/>
              <w:bottom w:val="nil"/>
              <w:right w:val="single" w:sz="2" w:space="0" w:color="000000"/>
            </w:tcBorders>
            <w:shd w:val="clear" w:color="000000" w:fill="FFFFFF"/>
            <w:vAlign w:val="center"/>
          </w:tcPr>
          <w:p w:rsidR="00B051EB" w:rsidRPr="008573C5" w:rsidRDefault="00B051EB" w:rsidP="00A23403">
            <w:pPr>
              <w:autoSpaceDE w:val="0"/>
              <w:autoSpaceDN w:val="0"/>
              <w:adjustRightInd w:val="0"/>
              <w:rPr>
                <w:rFonts w:ascii="Arial" w:hAnsi="Arial" w:cs="Arial"/>
                <w:sz w:val="18"/>
                <w:szCs w:val="18"/>
                <w:lang w:bidi="bn-BD"/>
              </w:rPr>
            </w:pPr>
            <w:r w:rsidRPr="008573C5">
              <w:rPr>
                <w:rFonts w:ascii="Arial" w:hAnsi="Arial" w:cs="Arial"/>
                <w:sz w:val="18"/>
                <w:szCs w:val="18"/>
                <w:lang w:bidi="bn-BD"/>
              </w:rPr>
              <w:t>48.3</w:t>
            </w:r>
          </w:p>
        </w:tc>
        <w:tc>
          <w:tcPr>
            <w:tcW w:w="2070" w:type="dxa"/>
            <w:tcBorders>
              <w:top w:val="single" w:sz="12" w:space="0" w:color="000000"/>
              <w:left w:val="single" w:sz="2" w:space="0" w:color="000000"/>
              <w:bottom w:val="nil"/>
              <w:right w:val="single" w:sz="12" w:space="0" w:color="000000"/>
            </w:tcBorders>
            <w:shd w:val="clear" w:color="000000" w:fill="FFFFFF"/>
            <w:vAlign w:val="center"/>
          </w:tcPr>
          <w:p w:rsidR="00B051EB" w:rsidRPr="008573C5" w:rsidRDefault="00B051EB" w:rsidP="00A23403">
            <w:pPr>
              <w:autoSpaceDE w:val="0"/>
              <w:autoSpaceDN w:val="0"/>
              <w:adjustRightInd w:val="0"/>
              <w:rPr>
                <w:rFonts w:ascii="Arial" w:hAnsi="Arial" w:cs="Arial"/>
                <w:sz w:val="18"/>
                <w:szCs w:val="18"/>
                <w:lang w:bidi="bn-BD"/>
              </w:rPr>
            </w:pPr>
            <w:r w:rsidRPr="008573C5">
              <w:rPr>
                <w:rFonts w:ascii="Arial" w:hAnsi="Arial" w:cs="Arial"/>
                <w:sz w:val="18"/>
                <w:szCs w:val="18"/>
                <w:lang w:bidi="bn-BD"/>
              </w:rPr>
              <w:t>48.3</w:t>
            </w:r>
          </w:p>
        </w:tc>
      </w:tr>
      <w:tr w:rsidR="00B051EB" w:rsidRPr="008573C5" w:rsidTr="00A23403">
        <w:trPr>
          <w:trHeight w:val="273"/>
        </w:trPr>
        <w:tc>
          <w:tcPr>
            <w:tcW w:w="720" w:type="dxa"/>
            <w:tcBorders>
              <w:top w:val="nil"/>
              <w:left w:val="single" w:sz="12" w:space="0" w:color="000000"/>
              <w:bottom w:val="nil"/>
              <w:right w:val="nil"/>
            </w:tcBorders>
            <w:shd w:val="clear" w:color="000000" w:fill="FFFFFF"/>
          </w:tcPr>
          <w:p w:rsidR="00B051EB" w:rsidRPr="008573C5" w:rsidRDefault="00B051EB" w:rsidP="00A23403">
            <w:pPr>
              <w:autoSpaceDE w:val="0"/>
              <w:autoSpaceDN w:val="0"/>
              <w:adjustRightInd w:val="0"/>
              <w:rPr>
                <w:rFonts w:ascii="Arial" w:hAnsi="Arial" w:cs="Arial"/>
                <w:sz w:val="18"/>
                <w:szCs w:val="18"/>
                <w:lang w:bidi="bn-BD"/>
              </w:rPr>
            </w:pPr>
          </w:p>
        </w:tc>
        <w:tc>
          <w:tcPr>
            <w:tcW w:w="2160" w:type="dxa"/>
            <w:tcBorders>
              <w:top w:val="nil"/>
              <w:left w:val="nil"/>
              <w:bottom w:val="nil"/>
              <w:right w:val="single" w:sz="12" w:space="0" w:color="000000"/>
            </w:tcBorders>
            <w:shd w:val="clear" w:color="000000" w:fill="FFFFFF"/>
          </w:tcPr>
          <w:p w:rsidR="00B051EB" w:rsidRPr="008573C5" w:rsidRDefault="00B051EB" w:rsidP="00A23403">
            <w:pPr>
              <w:autoSpaceDE w:val="0"/>
              <w:autoSpaceDN w:val="0"/>
              <w:adjustRightInd w:val="0"/>
              <w:rPr>
                <w:rFonts w:ascii="Arial" w:hAnsi="Arial" w:cs="Arial"/>
                <w:sz w:val="18"/>
                <w:szCs w:val="18"/>
                <w:lang w:bidi="bn-BD"/>
              </w:rPr>
            </w:pPr>
            <w:r w:rsidRPr="008573C5">
              <w:rPr>
                <w:rFonts w:ascii="Arial" w:hAnsi="Arial" w:cs="Arial"/>
                <w:sz w:val="18"/>
                <w:szCs w:val="18"/>
                <w:lang w:bidi="bn-BD"/>
              </w:rPr>
              <w:t>Not Retrieved</w:t>
            </w:r>
          </w:p>
        </w:tc>
        <w:tc>
          <w:tcPr>
            <w:tcW w:w="1440" w:type="dxa"/>
            <w:tcBorders>
              <w:top w:val="nil"/>
              <w:left w:val="single" w:sz="12" w:space="0" w:color="000000"/>
              <w:bottom w:val="nil"/>
              <w:right w:val="single" w:sz="2" w:space="0" w:color="000000"/>
            </w:tcBorders>
            <w:shd w:val="clear" w:color="000000" w:fill="FFFFFF"/>
            <w:vAlign w:val="center"/>
          </w:tcPr>
          <w:p w:rsidR="00B051EB" w:rsidRPr="008573C5" w:rsidRDefault="00B051EB" w:rsidP="00A23403">
            <w:pPr>
              <w:autoSpaceDE w:val="0"/>
              <w:autoSpaceDN w:val="0"/>
              <w:adjustRightInd w:val="0"/>
              <w:rPr>
                <w:rFonts w:ascii="Arial" w:hAnsi="Arial" w:cs="Arial"/>
                <w:sz w:val="18"/>
                <w:szCs w:val="18"/>
                <w:lang w:bidi="bn-BD"/>
              </w:rPr>
            </w:pPr>
            <w:r w:rsidRPr="008573C5">
              <w:rPr>
                <w:rFonts w:ascii="Arial" w:hAnsi="Arial" w:cs="Arial"/>
                <w:sz w:val="18"/>
                <w:szCs w:val="18"/>
                <w:lang w:bidi="bn-BD"/>
              </w:rPr>
              <w:t>527</w:t>
            </w:r>
          </w:p>
        </w:tc>
        <w:tc>
          <w:tcPr>
            <w:tcW w:w="1350" w:type="dxa"/>
            <w:tcBorders>
              <w:top w:val="nil"/>
              <w:left w:val="single" w:sz="2" w:space="0" w:color="000000"/>
              <w:bottom w:val="nil"/>
              <w:right w:val="single" w:sz="2" w:space="0" w:color="000000"/>
            </w:tcBorders>
            <w:shd w:val="clear" w:color="000000" w:fill="FFFFFF"/>
            <w:vAlign w:val="center"/>
          </w:tcPr>
          <w:p w:rsidR="00B051EB" w:rsidRPr="008573C5" w:rsidRDefault="00B051EB" w:rsidP="00A23403">
            <w:pPr>
              <w:autoSpaceDE w:val="0"/>
              <w:autoSpaceDN w:val="0"/>
              <w:adjustRightInd w:val="0"/>
              <w:rPr>
                <w:rFonts w:ascii="Arial" w:hAnsi="Arial" w:cs="Arial"/>
                <w:sz w:val="18"/>
                <w:szCs w:val="18"/>
                <w:lang w:bidi="bn-BD"/>
              </w:rPr>
            </w:pPr>
            <w:r w:rsidRPr="008573C5">
              <w:rPr>
                <w:rFonts w:ascii="Arial" w:hAnsi="Arial" w:cs="Arial"/>
                <w:sz w:val="18"/>
                <w:szCs w:val="18"/>
                <w:lang w:bidi="bn-BD"/>
              </w:rPr>
              <w:t>52.7</w:t>
            </w:r>
          </w:p>
        </w:tc>
        <w:tc>
          <w:tcPr>
            <w:tcW w:w="2070" w:type="dxa"/>
            <w:tcBorders>
              <w:top w:val="nil"/>
              <w:left w:val="single" w:sz="2" w:space="0" w:color="000000"/>
              <w:bottom w:val="nil"/>
              <w:right w:val="single" w:sz="12" w:space="0" w:color="000000"/>
            </w:tcBorders>
            <w:shd w:val="clear" w:color="000000" w:fill="FFFFFF"/>
            <w:vAlign w:val="center"/>
          </w:tcPr>
          <w:p w:rsidR="00B051EB" w:rsidRPr="008573C5" w:rsidRDefault="00B051EB" w:rsidP="00A23403">
            <w:pPr>
              <w:autoSpaceDE w:val="0"/>
              <w:autoSpaceDN w:val="0"/>
              <w:adjustRightInd w:val="0"/>
              <w:rPr>
                <w:rFonts w:ascii="Arial" w:hAnsi="Arial" w:cs="Arial"/>
                <w:sz w:val="18"/>
                <w:szCs w:val="18"/>
                <w:lang w:bidi="bn-BD"/>
              </w:rPr>
            </w:pPr>
            <w:r w:rsidRPr="008573C5">
              <w:rPr>
                <w:rFonts w:ascii="Arial" w:hAnsi="Arial" w:cs="Arial"/>
                <w:sz w:val="18"/>
                <w:szCs w:val="18"/>
                <w:lang w:bidi="bn-BD"/>
              </w:rPr>
              <w:t>100.0</w:t>
            </w:r>
          </w:p>
        </w:tc>
      </w:tr>
      <w:tr w:rsidR="00B051EB" w:rsidRPr="008573C5" w:rsidTr="00A23403">
        <w:trPr>
          <w:trHeight w:val="273"/>
        </w:trPr>
        <w:tc>
          <w:tcPr>
            <w:tcW w:w="720" w:type="dxa"/>
            <w:tcBorders>
              <w:top w:val="nil"/>
              <w:left w:val="single" w:sz="12" w:space="0" w:color="000000"/>
              <w:bottom w:val="single" w:sz="12" w:space="0" w:color="000000"/>
              <w:right w:val="nil"/>
            </w:tcBorders>
            <w:shd w:val="clear" w:color="000000" w:fill="FFFFFF"/>
          </w:tcPr>
          <w:p w:rsidR="00B051EB" w:rsidRPr="008573C5" w:rsidRDefault="00B051EB" w:rsidP="00A23403">
            <w:pPr>
              <w:autoSpaceDE w:val="0"/>
              <w:autoSpaceDN w:val="0"/>
              <w:adjustRightInd w:val="0"/>
              <w:rPr>
                <w:rFonts w:ascii="Arial" w:hAnsi="Arial" w:cs="Arial"/>
                <w:sz w:val="18"/>
                <w:szCs w:val="18"/>
                <w:lang w:bidi="bn-BD"/>
              </w:rPr>
            </w:pPr>
          </w:p>
        </w:tc>
        <w:tc>
          <w:tcPr>
            <w:tcW w:w="2160" w:type="dxa"/>
            <w:tcBorders>
              <w:top w:val="nil"/>
              <w:left w:val="nil"/>
              <w:bottom w:val="single" w:sz="12" w:space="0" w:color="000000"/>
              <w:right w:val="single" w:sz="12" w:space="0" w:color="000000"/>
            </w:tcBorders>
            <w:shd w:val="clear" w:color="000000" w:fill="FFFFFF"/>
          </w:tcPr>
          <w:p w:rsidR="00B051EB" w:rsidRPr="008573C5" w:rsidRDefault="00B051EB" w:rsidP="00A23403">
            <w:pPr>
              <w:autoSpaceDE w:val="0"/>
              <w:autoSpaceDN w:val="0"/>
              <w:adjustRightInd w:val="0"/>
              <w:rPr>
                <w:rFonts w:ascii="Arial" w:hAnsi="Arial" w:cs="Arial"/>
                <w:sz w:val="18"/>
                <w:szCs w:val="18"/>
                <w:lang w:bidi="bn-BD"/>
              </w:rPr>
            </w:pPr>
            <w:r w:rsidRPr="008573C5">
              <w:rPr>
                <w:rFonts w:ascii="Arial" w:hAnsi="Arial" w:cs="Arial"/>
                <w:sz w:val="18"/>
                <w:szCs w:val="18"/>
                <w:lang w:bidi="bn-BD"/>
              </w:rPr>
              <w:t>Total</w:t>
            </w:r>
          </w:p>
        </w:tc>
        <w:tc>
          <w:tcPr>
            <w:tcW w:w="1440" w:type="dxa"/>
            <w:tcBorders>
              <w:top w:val="nil"/>
              <w:left w:val="single" w:sz="12" w:space="0" w:color="000000"/>
              <w:bottom w:val="single" w:sz="12" w:space="0" w:color="000000"/>
              <w:right w:val="single" w:sz="2" w:space="0" w:color="000000"/>
            </w:tcBorders>
            <w:shd w:val="clear" w:color="000000" w:fill="FFFFFF"/>
            <w:vAlign w:val="center"/>
          </w:tcPr>
          <w:p w:rsidR="00B051EB" w:rsidRPr="008573C5" w:rsidRDefault="00B051EB" w:rsidP="00A23403">
            <w:pPr>
              <w:autoSpaceDE w:val="0"/>
              <w:autoSpaceDN w:val="0"/>
              <w:adjustRightInd w:val="0"/>
              <w:rPr>
                <w:rFonts w:ascii="Arial" w:hAnsi="Arial" w:cs="Arial"/>
                <w:sz w:val="18"/>
                <w:szCs w:val="18"/>
                <w:lang w:bidi="bn-BD"/>
              </w:rPr>
            </w:pPr>
            <w:r w:rsidRPr="008573C5">
              <w:rPr>
                <w:rFonts w:ascii="Arial" w:hAnsi="Arial" w:cs="Arial"/>
                <w:sz w:val="18"/>
                <w:szCs w:val="18"/>
                <w:lang w:bidi="bn-BD"/>
              </w:rPr>
              <w:t>1000</w:t>
            </w:r>
          </w:p>
        </w:tc>
        <w:tc>
          <w:tcPr>
            <w:tcW w:w="1350" w:type="dxa"/>
            <w:tcBorders>
              <w:top w:val="nil"/>
              <w:left w:val="single" w:sz="2" w:space="0" w:color="000000"/>
              <w:bottom w:val="single" w:sz="12" w:space="0" w:color="000000"/>
              <w:right w:val="single" w:sz="2" w:space="0" w:color="000000"/>
            </w:tcBorders>
            <w:shd w:val="clear" w:color="000000" w:fill="FFFFFF"/>
            <w:vAlign w:val="center"/>
          </w:tcPr>
          <w:p w:rsidR="00B051EB" w:rsidRPr="008573C5" w:rsidRDefault="00B051EB" w:rsidP="00A23403">
            <w:pPr>
              <w:autoSpaceDE w:val="0"/>
              <w:autoSpaceDN w:val="0"/>
              <w:adjustRightInd w:val="0"/>
              <w:rPr>
                <w:rFonts w:ascii="Arial" w:hAnsi="Arial" w:cs="Arial"/>
                <w:sz w:val="18"/>
                <w:szCs w:val="18"/>
                <w:lang w:bidi="bn-BD"/>
              </w:rPr>
            </w:pPr>
            <w:r w:rsidRPr="008573C5">
              <w:rPr>
                <w:rFonts w:ascii="Arial" w:hAnsi="Arial" w:cs="Arial"/>
                <w:sz w:val="18"/>
                <w:szCs w:val="18"/>
                <w:lang w:bidi="bn-BD"/>
              </w:rPr>
              <w:t>100.0</w:t>
            </w:r>
          </w:p>
        </w:tc>
        <w:tc>
          <w:tcPr>
            <w:tcW w:w="2070" w:type="dxa"/>
            <w:tcBorders>
              <w:top w:val="nil"/>
              <w:left w:val="single" w:sz="2" w:space="0" w:color="000000"/>
              <w:bottom w:val="single" w:sz="12" w:space="0" w:color="000000"/>
              <w:right w:val="single" w:sz="12" w:space="0" w:color="000000"/>
            </w:tcBorders>
            <w:shd w:val="clear" w:color="000000" w:fill="FFFFFF"/>
            <w:vAlign w:val="center"/>
          </w:tcPr>
          <w:p w:rsidR="00B051EB" w:rsidRPr="008573C5" w:rsidRDefault="00B051EB" w:rsidP="00A23403">
            <w:pPr>
              <w:autoSpaceDE w:val="0"/>
              <w:autoSpaceDN w:val="0"/>
              <w:adjustRightInd w:val="0"/>
              <w:rPr>
                <w:rFonts w:ascii="Arial" w:hAnsi="Arial" w:cs="Arial"/>
                <w:sz w:val="18"/>
                <w:szCs w:val="18"/>
                <w:lang w:bidi="bn-BD"/>
              </w:rPr>
            </w:pPr>
          </w:p>
        </w:tc>
      </w:tr>
    </w:tbl>
    <w:p w:rsidR="00B051EB" w:rsidRPr="008573C5" w:rsidRDefault="00B051EB" w:rsidP="00B051EB">
      <w:pPr>
        <w:autoSpaceDE w:val="0"/>
        <w:autoSpaceDN w:val="0"/>
        <w:adjustRightInd w:val="0"/>
        <w:jc w:val="center"/>
        <w:rPr>
          <w:b/>
          <w:bCs/>
          <w:lang w:val="en-GB"/>
        </w:rPr>
      </w:pPr>
      <w:r w:rsidRPr="008573C5">
        <w:rPr>
          <w:b/>
          <w:bCs/>
          <w:lang w:val="en-GB"/>
        </w:rPr>
        <w:t>Source: Field Survey, 2009</w:t>
      </w:r>
    </w:p>
    <w:p w:rsidR="00B051EB" w:rsidRPr="008573C5" w:rsidRDefault="00B051EB" w:rsidP="00B051EB">
      <w:pPr>
        <w:autoSpaceDE w:val="0"/>
        <w:autoSpaceDN w:val="0"/>
        <w:adjustRightInd w:val="0"/>
        <w:rPr>
          <w:rFonts w:ascii="Arial" w:hAnsi="Arial" w:cs="Arial"/>
          <w:sz w:val="18"/>
          <w:szCs w:val="18"/>
          <w:lang w:bidi="bn-BD"/>
        </w:rPr>
      </w:pPr>
    </w:p>
    <w:p w:rsidR="00B051EB" w:rsidRPr="008573C5" w:rsidRDefault="00B051EB" w:rsidP="00B051EB">
      <w:pPr>
        <w:ind w:left="720"/>
        <w:rPr>
          <w:lang w:val="en-GB"/>
        </w:rPr>
      </w:pPr>
    </w:p>
    <w:p w:rsidR="00B051EB" w:rsidRPr="008573C5" w:rsidRDefault="00B051EB" w:rsidP="00B051EB">
      <w:pPr>
        <w:spacing w:line="360" w:lineRule="auto"/>
        <w:jc w:val="both"/>
        <w:rPr>
          <w:lang w:val="en-GB"/>
        </w:rPr>
      </w:pPr>
      <w:r w:rsidRPr="008573C5">
        <w:rPr>
          <w:lang w:val="en-GB"/>
        </w:rPr>
        <w:t>Table 4.</w:t>
      </w:r>
      <w:r w:rsidR="001B2A6B" w:rsidRPr="008573C5">
        <w:rPr>
          <w:lang w:val="en-GB"/>
        </w:rPr>
        <w:t>30</w:t>
      </w:r>
      <w:r w:rsidRPr="008573C5">
        <w:rPr>
          <w:lang w:val="en-GB"/>
        </w:rPr>
        <w:t xml:space="preserve"> highlights the response rate of the 1000 </w:t>
      </w:r>
      <w:r w:rsidR="002F1A9A" w:rsidRPr="008573C5">
        <w:rPr>
          <w:lang w:val="en-GB"/>
        </w:rPr>
        <w:t>copies of the questionnaire</w:t>
      </w:r>
      <w:r w:rsidRPr="008573C5">
        <w:rPr>
          <w:lang w:val="en-GB"/>
        </w:rPr>
        <w:t xml:space="preserve"> administered in the course of this research. Out of </w:t>
      </w:r>
      <w:r w:rsidR="00E16084" w:rsidRPr="008573C5">
        <w:rPr>
          <w:lang w:val="en-GB"/>
        </w:rPr>
        <w:t>that number</w:t>
      </w:r>
      <w:r w:rsidRPr="008573C5">
        <w:rPr>
          <w:lang w:val="en-GB"/>
        </w:rPr>
        <w:t xml:space="preserve">, 483 </w:t>
      </w:r>
      <w:r w:rsidR="00A63C58">
        <w:rPr>
          <w:lang w:val="en-GB"/>
        </w:rPr>
        <w:t>a</w:t>
      </w:r>
      <w:r w:rsidRPr="008573C5">
        <w:rPr>
          <w:lang w:val="en-GB"/>
        </w:rPr>
        <w:t xml:space="preserve">re retrieved while 527 </w:t>
      </w:r>
      <w:r w:rsidR="00A63C58">
        <w:rPr>
          <w:lang w:val="en-GB"/>
        </w:rPr>
        <w:t>a</w:t>
      </w:r>
      <w:r w:rsidRPr="008573C5">
        <w:rPr>
          <w:lang w:val="en-GB"/>
        </w:rPr>
        <w:t>re not retrieved. This means that the analysis of primary data is based on 48.3% rate of response.</w:t>
      </w:r>
    </w:p>
    <w:p w:rsidR="004D206D" w:rsidRPr="008573C5" w:rsidRDefault="004D206D" w:rsidP="00B051EB">
      <w:pPr>
        <w:autoSpaceDE w:val="0"/>
        <w:autoSpaceDN w:val="0"/>
        <w:adjustRightInd w:val="0"/>
        <w:jc w:val="center"/>
        <w:rPr>
          <w:b/>
          <w:bCs/>
          <w:sz w:val="28"/>
          <w:szCs w:val="28"/>
          <w:lang w:val="en-GB"/>
        </w:rPr>
      </w:pPr>
    </w:p>
    <w:p w:rsidR="001067E9" w:rsidRPr="008573C5" w:rsidRDefault="001067E9" w:rsidP="001067E9">
      <w:pPr>
        <w:spacing w:line="360" w:lineRule="auto"/>
        <w:jc w:val="both"/>
        <w:rPr>
          <w:b/>
          <w:sz w:val="28"/>
          <w:szCs w:val="28"/>
        </w:rPr>
      </w:pPr>
      <w:r w:rsidRPr="008573C5">
        <w:rPr>
          <w:b/>
          <w:sz w:val="28"/>
          <w:szCs w:val="28"/>
        </w:rPr>
        <w:t>4.3.1  Personal Biodata</w:t>
      </w:r>
    </w:p>
    <w:p w:rsidR="001067E9" w:rsidRPr="008573C5" w:rsidRDefault="001067E9" w:rsidP="001067E9">
      <w:pPr>
        <w:spacing w:line="360" w:lineRule="auto"/>
        <w:jc w:val="both"/>
      </w:pPr>
      <w:r w:rsidRPr="008573C5">
        <w:t xml:space="preserve">Table 4.31 above presents the data on the personal characteristics of the respondents. Responses from the six geopolitical zones in Nigeria </w:t>
      </w:r>
      <w:r w:rsidR="00E16084" w:rsidRPr="008573C5">
        <w:t xml:space="preserve">are composed </w:t>
      </w:r>
      <w:r w:rsidRPr="008573C5">
        <w:t>of: South-West, 50.7% (245); South-East, 12.6% (61); South-South, 9.9% (48); North-Central, 6.8% (33); North-East, 12.6% (61); and North-West, 7.2%(35). The predominant response from South</w:t>
      </w:r>
      <w:r w:rsidR="00E16084" w:rsidRPr="008573C5">
        <w:t>-</w:t>
      </w:r>
      <w:r w:rsidRPr="008573C5">
        <w:t xml:space="preserve">West zone is due to the fact that half (500) of the </w:t>
      </w:r>
      <w:r w:rsidR="00E16084" w:rsidRPr="008573C5">
        <w:t xml:space="preserve">1000 </w:t>
      </w:r>
      <w:r w:rsidR="00A63C58">
        <w:t>copies of the questionnaire are</w:t>
      </w:r>
      <w:r w:rsidRPr="008573C5">
        <w:t xml:space="preserve"> administered th</w:t>
      </w:r>
      <w:r w:rsidR="00A63C58">
        <w:t>ere. In particular, responses a</w:t>
      </w:r>
      <w:r w:rsidRPr="008573C5">
        <w:t>re solicited from Lagos State, the nation’s economic nerve centre that account</w:t>
      </w:r>
      <w:r w:rsidR="00A63C58">
        <w:t>s</w:t>
      </w:r>
      <w:r w:rsidRPr="008573C5">
        <w:t xml:space="preserve"> for more than half of the country’s commercial activities. </w:t>
      </w:r>
    </w:p>
    <w:p w:rsidR="009664A4" w:rsidRPr="008573C5" w:rsidRDefault="009664A4" w:rsidP="00B051EB">
      <w:pPr>
        <w:autoSpaceDE w:val="0"/>
        <w:autoSpaceDN w:val="0"/>
        <w:adjustRightInd w:val="0"/>
        <w:jc w:val="center"/>
        <w:rPr>
          <w:b/>
          <w:bCs/>
          <w:sz w:val="28"/>
          <w:szCs w:val="28"/>
          <w:lang w:val="en-GB"/>
        </w:rPr>
      </w:pPr>
    </w:p>
    <w:p w:rsidR="000B4B09" w:rsidRPr="008573C5" w:rsidRDefault="000B4B09" w:rsidP="00B051EB">
      <w:pPr>
        <w:autoSpaceDE w:val="0"/>
        <w:autoSpaceDN w:val="0"/>
        <w:adjustRightInd w:val="0"/>
        <w:jc w:val="center"/>
        <w:rPr>
          <w:b/>
          <w:bCs/>
          <w:sz w:val="28"/>
          <w:szCs w:val="28"/>
          <w:lang w:val="en-GB"/>
        </w:rPr>
      </w:pPr>
    </w:p>
    <w:p w:rsidR="000B4B09" w:rsidRPr="008573C5" w:rsidRDefault="000B4B09" w:rsidP="00B051EB">
      <w:pPr>
        <w:autoSpaceDE w:val="0"/>
        <w:autoSpaceDN w:val="0"/>
        <w:adjustRightInd w:val="0"/>
        <w:jc w:val="center"/>
        <w:rPr>
          <w:b/>
          <w:bCs/>
          <w:sz w:val="28"/>
          <w:szCs w:val="28"/>
          <w:lang w:val="en-GB"/>
        </w:rPr>
      </w:pPr>
    </w:p>
    <w:p w:rsidR="000B4B09" w:rsidRPr="008573C5" w:rsidRDefault="000B4B09" w:rsidP="00B051EB">
      <w:pPr>
        <w:autoSpaceDE w:val="0"/>
        <w:autoSpaceDN w:val="0"/>
        <w:adjustRightInd w:val="0"/>
        <w:jc w:val="center"/>
        <w:rPr>
          <w:b/>
          <w:bCs/>
          <w:sz w:val="28"/>
          <w:szCs w:val="28"/>
          <w:lang w:val="en-GB"/>
        </w:rPr>
      </w:pPr>
    </w:p>
    <w:p w:rsidR="000B4B09" w:rsidRPr="008573C5" w:rsidRDefault="000B4B09" w:rsidP="00B051EB">
      <w:pPr>
        <w:autoSpaceDE w:val="0"/>
        <w:autoSpaceDN w:val="0"/>
        <w:adjustRightInd w:val="0"/>
        <w:jc w:val="center"/>
        <w:rPr>
          <w:b/>
          <w:bCs/>
          <w:sz w:val="28"/>
          <w:szCs w:val="28"/>
          <w:lang w:val="en-GB"/>
        </w:rPr>
      </w:pPr>
    </w:p>
    <w:p w:rsidR="000B4B09" w:rsidRPr="008573C5" w:rsidRDefault="000B4B09" w:rsidP="00B051EB">
      <w:pPr>
        <w:autoSpaceDE w:val="0"/>
        <w:autoSpaceDN w:val="0"/>
        <w:adjustRightInd w:val="0"/>
        <w:jc w:val="center"/>
        <w:rPr>
          <w:b/>
          <w:bCs/>
          <w:sz w:val="28"/>
          <w:szCs w:val="28"/>
          <w:lang w:val="en-GB"/>
        </w:rPr>
      </w:pPr>
    </w:p>
    <w:p w:rsidR="000B4B09" w:rsidRPr="008573C5" w:rsidRDefault="000B4B09" w:rsidP="00B051EB">
      <w:pPr>
        <w:autoSpaceDE w:val="0"/>
        <w:autoSpaceDN w:val="0"/>
        <w:adjustRightInd w:val="0"/>
        <w:jc w:val="center"/>
        <w:rPr>
          <w:b/>
          <w:bCs/>
          <w:sz w:val="28"/>
          <w:szCs w:val="28"/>
          <w:lang w:val="en-GB"/>
        </w:rPr>
      </w:pPr>
    </w:p>
    <w:p w:rsidR="00B051EB" w:rsidRPr="008573C5" w:rsidRDefault="00B051EB" w:rsidP="00B051EB">
      <w:pPr>
        <w:autoSpaceDE w:val="0"/>
        <w:autoSpaceDN w:val="0"/>
        <w:adjustRightInd w:val="0"/>
        <w:jc w:val="center"/>
        <w:rPr>
          <w:b/>
          <w:bCs/>
          <w:sz w:val="28"/>
          <w:szCs w:val="28"/>
          <w:lang w:val="en-GB"/>
        </w:rPr>
      </w:pPr>
      <w:r w:rsidRPr="008573C5">
        <w:rPr>
          <w:b/>
          <w:bCs/>
          <w:sz w:val="28"/>
          <w:szCs w:val="28"/>
          <w:lang w:val="en-GB"/>
        </w:rPr>
        <w:t>T</w:t>
      </w:r>
      <w:r w:rsidR="00436C09" w:rsidRPr="008573C5">
        <w:rPr>
          <w:b/>
          <w:bCs/>
          <w:sz w:val="28"/>
          <w:szCs w:val="28"/>
          <w:lang w:val="en-GB"/>
        </w:rPr>
        <w:t>able 4.3</w:t>
      </w:r>
      <w:r w:rsidR="002E5C79" w:rsidRPr="008573C5">
        <w:rPr>
          <w:b/>
          <w:bCs/>
          <w:sz w:val="28"/>
          <w:szCs w:val="28"/>
          <w:lang w:val="en-GB"/>
        </w:rPr>
        <w:t>1</w:t>
      </w:r>
      <w:r w:rsidRPr="008573C5">
        <w:rPr>
          <w:b/>
          <w:bCs/>
          <w:sz w:val="28"/>
          <w:szCs w:val="28"/>
          <w:lang w:val="en-GB"/>
        </w:rPr>
        <w:t>: Personal Biodata of Respondents</w:t>
      </w:r>
    </w:p>
    <w:p w:rsidR="00B051EB" w:rsidRPr="008573C5" w:rsidRDefault="00B051EB" w:rsidP="00B051EB">
      <w:pPr>
        <w:autoSpaceDE w:val="0"/>
        <w:autoSpaceDN w:val="0"/>
        <w:adjustRightInd w:val="0"/>
        <w:jc w:val="center"/>
        <w:rPr>
          <w:b/>
          <w:bCs/>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88"/>
        <w:gridCol w:w="1350"/>
        <w:gridCol w:w="1170"/>
        <w:gridCol w:w="1217"/>
      </w:tblGrid>
      <w:tr w:rsidR="00B051EB" w:rsidRPr="008573C5" w:rsidTr="00A23403">
        <w:tc>
          <w:tcPr>
            <w:tcW w:w="4788" w:type="dxa"/>
          </w:tcPr>
          <w:p w:rsidR="00B051EB" w:rsidRPr="008573C5" w:rsidRDefault="00B051EB" w:rsidP="00A23403">
            <w:pPr>
              <w:autoSpaceDE w:val="0"/>
              <w:autoSpaceDN w:val="0"/>
              <w:adjustRightInd w:val="0"/>
              <w:rPr>
                <w:rFonts w:eastAsia="Calibri"/>
                <w:bCs/>
                <w:lang w:val="en-GB"/>
              </w:rPr>
            </w:pPr>
            <w:r w:rsidRPr="008573C5">
              <w:rPr>
                <w:rFonts w:eastAsia="Calibri"/>
                <w:bCs/>
                <w:lang w:val="en-GB"/>
              </w:rPr>
              <w:t>Variable</w:t>
            </w:r>
          </w:p>
        </w:tc>
        <w:tc>
          <w:tcPr>
            <w:tcW w:w="1350" w:type="dxa"/>
          </w:tcPr>
          <w:p w:rsidR="00B051EB" w:rsidRPr="008573C5" w:rsidRDefault="00B051EB" w:rsidP="00A23403">
            <w:pPr>
              <w:autoSpaceDE w:val="0"/>
              <w:autoSpaceDN w:val="0"/>
              <w:adjustRightInd w:val="0"/>
              <w:rPr>
                <w:rFonts w:eastAsia="Calibri"/>
                <w:bCs/>
                <w:lang w:val="en-GB"/>
              </w:rPr>
            </w:pPr>
            <w:r w:rsidRPr="008573C5">
              <w:rPr>
                <w:rFonts w:eastAsia="Calibri"/>
                <w:bCs/>
                <w:lang w:val="en-GB"/>
              </w:rPr>
              <w:t>Frequency</w:t>
            </w:r>
          </w:p>
        </w:tc>
        <w:tc>
          <w:tcPr>
            <w:tcW w:w="1170" w:type="dxa"/>
          </w:tcPr>
          <w:p w:rsidR="00B051EB" w:rsidRPr="008573C5" w:rsidRDefault="00B051EB" w:rsidP="00A23403">
            <w:pPr>
              <w:autoSpaceDE w:val="0"/>
              <w:autoSpaceDN w:val="0"/>
              <w:adjustRightInd w:val="0"/>
              <w:rPr>
                <w:rFonts w:eastAsia="Calibri"/>
                <w:bCs/>
                <w:lang w:val="en-GB"/>
              </w:rPr>
            </w:pPr>
            <w:r w:rsidRPr="008573C5">
              <w:rPr>
                <w:rFonts w:eastAsia="Calibri"/>
                <w:bCs/>
                <w:lang w:val="en-GB"/>
              </w:rPr>
              <w:t>Percent</w:t>
            </w:r>
          </w:p>
        </w:tc>
        <w:tc>
          <w:tcPr>
            <w:tcW w:w="1217" w:type="dxa"/>
          </w:tcPr>
          <w:p w:rsidR="00B051EB" w:rsidRPr="008573C5" w:rsidRDefault="00B051EB" w:rsidP="00A23403">
            <w:pPr>
              <w:autoSpaceDE w:val="0"/>
              <w:autoSpaceDN w:val="0"/>
              <w:adjustRightInd w:val="0"/>
              <w:rPr>
                <w:rFonts w:eastAsia="Calibri"/>
                <w:bCs/>
                <w:lang w:val="en-GB"/>
              </w:rPr>
            </w:pPr>
            <w:r w:rsidRPr="008573C5">
              <w:rPr>
                <w:rFonts w:eastAsia="Calibri"/>
                <w:bCs/>
                <w:lang w:val="en-GB"/>
              </w:rPr>
              <w:t>Cum</w:t>
            </w:r>
          </w:p>
        </w:tc>
      </w:tr>
      <w:tr w:rsidR="00B051EB" w:rsidRPr="008573C5" w:rsidTr="00A23403">
        <w:trPr>
          <w:trHeight w:val="12194"/>
        </w:trPr>
        <w:tc>
          <w:tcPr>
            <w:tcW w:w="4788" w:type="dxa"/>
          </w:tcPr>
          <w:p w:rsidR="00B051EB" w:rsidRPr="008573C5" w:rsidRDefault="00B051EB" w:rsidP="00A23403">
            <w:pPr>
              <w:autoSpaceDE w:val="0"/>
              <w:autoSpaceDN w:val="0"/>
              <w:adjustRightInd w:val="0"/>
              <w:rPr>
                <w:rFonts w:eastAsia="Calibri"/>
                <w:bCs/>
                <w:lang w:val="en-GB"/>
              </w:rPr>
            </w:pPr>
            <w:r w:rsidRPr="008573C5">
              <w:rPr>
                <w:rFonts w:eastAsia="Calibri"/>
                <w:bCs/>
                <w:lang w:val="en-GB"/>
              </w:rPr>
              <w:t>Geopolitical Zone:</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South-West</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South-East</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South-South</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North-Central</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North-East</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North-West</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Total</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Gender:</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Male</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Female</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Total</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Highest Academic Qualification:</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HND</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BSc./BA</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MBA/MSc.</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Ph.D</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Total</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Professional Qualification:</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ACA/FCA</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ACCA/FCCA</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CNA/FCNA</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ACA&amp;ACCA</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Others</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Total</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Occupation:</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Accountant</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Auditor</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Stockbroker</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Financial Consultant</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Accounting Educator</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Banker</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Others</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Total</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Work Experience:</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1-5 years</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6-10years</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Above 10years</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 xml:space="preserve">     Total</w:t>
            </w:r>
          </w:p>
        </w:tc>
        <w:tc>
          <w:tcPr>
            <w:tcW w:w="1350" w:type="dxa"/>
          </w:tcPr>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r w:rsidRPr="008573C5">
              <w:rPr>
                <w:rFonts w:eastAsia="Calibri"/>
                <w:bCs/>
                <w:lang w:val="en-GB"/>
              </w:rPr>
              <w:t>245</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61</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48</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33</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61</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35</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483</w:t>
            </w: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r w:rsidRPr="008573C5">
              <w:rPr>
                <w:rFonts w:eastAsia="Calibri"/>
                <w:bCs/>
                <w:lang w:val="en-GB"/>
              </w:rPr>
              <w:t>318</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165</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483</w:t>
            </w: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r w:rsidRPr="008573C5">
              <w:rPr>
                <w:rFonts w:eastAsia="Calibri"/>
                <w:bCs/>
                <w:lang w:val="en-GB"/>
              </w:rPr>
              <w:t>83</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272</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117</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11</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483</w:t>
            </w: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150</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24</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15</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4</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40</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233</w:t>
            </w: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106</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134</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16</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40</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85</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73</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27</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483</w:t>
            </w: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r w:rsidRPr="008573C5">
              <w:rPr>
                <w:rFonts w:eastAsia="Calibri"/>
                <w:bCs/>
                <w:lang w:val="en-GB"/>
              </w:rPr>
              <w:t>215</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121</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147</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483</w:t>
            </w:r>
          </w:p>
          <w:p w:rsidR="00B051EB" w:rsidRPr="008573C5" w:rsidRDefault="00B051EB" w:rsidP="00A23403">
            <w:pPr>
              <w:autoSpaceDE w:val="0"/>
              <w:autoSpaceDN w:val="0"/>
              <w:adjustRightInd w:val="0"/>
              <w:rPr>
                <w:rFonts w:eastAsia="Calibri"/>
                <w:bCs/>
                <w:lang w:val="en-GB"/>
              </w:rPr>
            </w:pPr>
          </w:p>
        </w:tc>
        <w:tc>
          <w:tcPr>
            <w:tcW w:w="1170" w:type="dxa"/>
          </w:tcPr>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r w:rsidRPr="008573C5">
              <w:rPr>
                <w:rFonts w:eastAsia="Calibri"/>
                <w:bCs/>
                <w:lang w:val="en-GB"/>
              </w:rPr>
              <w:t>50.7</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12.6</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9.9</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6.8</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12.6</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7.2</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100.0</w:t>
            </w: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r w:rsidRPr="008573C5">
              <w:rPr>
                <w:rFonts w:eastAsia="Calibri"/>
                <w:bCs/>
                <w:lang w:val="en-GB"/>
              </w:rPr>
              <w:t>65.8</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34.2</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100.0</w:t>
            </w: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17.2</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56.3</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24.2</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2.3</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100.0</w:t>
            </w: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r w:rsidRPr="008573C5">
              <w:rPr>
                <w:rFonts w:eastAsia="Calibri"/>
                <w:bCs/>
                <w:lang w:val="en-GB"/>
              </w:rPr>
              <w:t>64.4</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10.3</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6.4</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1.7</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17.2</w:t>
            </w: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r w:rsidRPr="008573C5">
              <w:rPr>
                <w:rFonts w:eastAsia="Calibri"/>
                <w:bCs/>
                <w:lang w:val="en-GB"/>
              </w:rPr>
              <w:t>21.9</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27.7</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3.3</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8.3</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17.6</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15.5</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5.6</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100.0</w:t>
            </w: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r w:rsidRPr="008573C5">
              <w:rPr>
                <w:rFonts w:eastAsia="Calibri"/>
                <w:bCs/>
                <w:lang w:val="en-GB"/>
              </w:rPr>
              <w:t>44.5</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25.1</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30.4</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100.0</w:t>
            </w:r>
          </w:p>
        </w:tc>
        <w:tc>
          <w:tcPr>
            <w:tcW w:w="1217" w:type="dxa"/>
          </w:tcPr>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r w:rsidRPr="008573C5">
              <w:rPr>
                <w:rFonts w:eastAsia="Calibri"/>
                <w:bCs/>
                <w:lang w:val="en-GB"/>
              </w:rPr>
              <w:t>50.7</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63.4</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73.3</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80.1</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92.8</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100.0</w:t>
            </w: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r w:rsidRPr="008573C5">
              <w:rPr>
                <w:rFonts w:eastAsia="Calibri"/>
                <w:bCs/>
                <w:lang w:val="en-GB"/>
              </w:rPr>
              <w:t>65.8</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100.0</w:t>
            </w: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17.2</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73.5</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97.7</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100.0</w:t>
            </w: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r w:rsidRPr="008573C5">
              <w:rPr>
                <w:rFonts w:eastAsia="Calibri"/>
                <w:bCs/>
                <w:lang w:val="en-GB"/>
              </w:rPr>
              <w:t>64.4</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74.7</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81.1</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82.8</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100.0</w:t>
            </w: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r w:rsidRPr="008573C5">
              <w:rPr>
                <w:rFonts w:eastAsia="Calibri"/>
                <w:bCs/>
                <w:lang w:val="en-GB"/>
              </w:rPr>
              <w:t>21.9</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49.7</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53.0</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61.3</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78.9</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94.4</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100.0</w:t>
            </w: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p>
          <w:p w:rsidR="00B051EB" w:rsidRPr="008573C5" w:rsidRDefault="00B051EB" w:rsidP="00A23403">
            <w:pPr>
              <w:autoSpaceDE w:val="0"/>
              <w:autoSpaceDN w:val="0"/>
              <w:adjustRightInd w:val="0"/>
              <w:rPr>
                <w:rFonts w:eastAsia="Calibri"/>
                <w:bCs/>
                <w:lang w:val="en-GB"/>
              </w:rPr>
            </w:pPr>
            <w:r w:rsidRPr="008573C5">
              <w:rPr>
                <w:rFonts w:eastAsia="Calibri"/>
                <w:bCs/>
                <w:lang w:val="en-GB"/>
              </w:rPr>
              <w:t>44.5</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69.6</w:t>
            </w:r>
          </w:p>
          <w:p w:rsidR="00B051EB" w:rsidRPr="008573C5" w:rsidRDefault="00B051EB" w:rsidP="00A23403">
            <w:pPr>
              <w:autoSpaceDE w:val="0"/>
              <w:autoSpaceDN w:val="0"/>
              <w:adjustRightInd w:val="0"/>
              <w:rPr>
                <w:rFonts w:eastAsia="Calibri"/>
                <w:bCs/>
                <w:lang w:val="en-GB"/>
              </w:rPr>
            </w:pPr>
            <w:r w:rsidRPr="008573C5">
              <w:rPr>
                <w:rFonts w:eastAsia="Calibri"/>
                <w:bCs/>
                <w:lang w:val="en-GB"/>
              </w:rPr>
              <w:t>100.0</w:t>
            </w:r>
          </w:p>
        </w:tc>
      </w:tr>
    </w:tbl>
    <w:p w:rsidR="00B051EB" w:rsidRPr="008573C5" w:rsidRDefault="00B051EB" w:rsidP="00B051EB">
      <w:pPr>
        <w:autoSpaceDE w:val="0"/>
        <w:autoSpaceDN w:val="0"/>
        <w:adjustRightInd w:val="0"/>
        <w:jc w:val="center"/>
        <w:rPr>
          <w:b/>
          <w:bCs/>
          <w:lang w:val="en-GB"/>
        </w:rPr>
      </w:pPr>
      <w:r w:rsidRPr="008573C5">
        <w:rPr>
          <w:b/>
          <w:bCs/>
          <w:lang w:val="en-GB"/>
        </w:rPr>
        <w:t>Source: Field Survey, 2009</w:t>
      </w:r>
    </w:p>
    <w:p w:rsidR="00B051EB" w:rsidRPr="008573C5" w:rsidRDefault="00826E89" w:rsidP="00826E89">
      <w:pPr>
        <w:tabs>
          <w:tab w:val="left" w:pos="2895"/>
        </w:tabs>
        <w:autoSpaceDE w:val="0"/>
        <w:autoSpaceDN w:val="0"/>
        <w:adjustRightInd w:val="0"/>
        <w:rPr>
          <w:b/>
          <w:bCs/>
          <w:lang w:val="en-GB"/>
        </w:rPr>
      </w:pPr>
      <w:r w:rsidRPr="008573C5">
        <w:rPr>
          <w:b/>
          <w:bCs/>
          <w:lang w:val="en-GB"/>
        </w:rPr>
        <w:tab/>
      </w:r>
    </w:p>
    <w:p w:rsidR="00B051EB" w:rsidRPr="008573C5" w:rsidRDefault="00B051EB" w:rsidP="00B051EB">
      <w:pPr>
        <w:autoSpaceDE w:val="0"/>
        <w:autoSpaceDN w:val="0"/>
        <w:adjustRightInd w:val="0"/>
        <w:rPr>
          <w:b/>
          <w:bCs/>
          <w:lang w:val="en-GB"/>
        </w:rPr>
      </w:pPr>
    </w:p>
    <w:p w:rsidR="00B051EB" w:rsidRPr="008573C5" w:rsidRDefault="00B051EB" w:rsidP="00B051EB">
      <w:pPr>
        <w:autoSpaceDE w:val="0"/>
        <w:autoSpaceDN w:val="0"/>
        <w:adjustRightInd w:val="0"/>
        <w:spacing w:line="360" w:lineRule="auto"/>
        <w:jc w:val="both"/>
        <w:rPr>
          <w:b/>
          <w:bCs/>
          <w:lang w:val="en-GB"/>
        </w:rPr>
      </w:pPr>
    </w:p>
    <w:p w:rsidR="00B051EB" w:rsidRPr="008573C5" w:rsidRDefault="00B051EB" w:rsidP="00B051EB">
      <w:pPr>
        <w:autoSpaceDE w:val="0"/>
        <w:autoSpaceDN w:val="0"/>
        <w:adjustRightInd w:val="0"/>
        <w:spacing w:line="360" w:lineRule="auto"/>
        <w:jc w:val="both"/>
        <w:rPr>
          <w:b/>
          <w:bCs/>
          <w:lang w:val="en-GB"/>
        </w:rPr>
      </w:pPr>
      <w:r w:rsidRPr="008573C5">
        <w:rPr>
          <w:lang w:val="en-GB"/>
        </w:rPr>
        <w:t>The breakdown of the gender reveal</w:t>
      </w:r>
      <w:r w:rsidR="00000931" w:rsidRPr="008573C5">
        <w:rPr>
          <w:lang w:val="en-GB"/>
        </w:rPr>
        <w:t>s</w:t>
      </w:r>
      <w:r w:rsidRPr="008573C5">
        <w:rPr>
          <w:lang w:val="en-GB"/>
        </w:rPr>
        <w:t xml:space="preserve"> that 318 (65.8%) respondents constitute the male gender, while 165 (34.2%) constitute the female gender. The ratio of male to female in the zone is: South-West, 160:85</w:t>
      </w:r>
      <w:r w:rsidRPr="008573C5">
        <w:t xml:space="preserve">; South-East, 44:17; South-South, 25:23; North-Central, 23:10; North-East, 44:17; and North-West, 22:13. The </w:t>
      </w:r>
      <w:r w:rsidRPr="008573C5">
        <w:rPr>
          <w:lang w:val="en-GB"/>
        </w:rPr>
        <w:t>preponderance of the male gender is attributable to the fact that in the ac</w:t>
      </w:r>
      <w:r w:rsidR="0004521F" w:rsidRPr="008573C5">
        <w:rPr>
          <w:lang w:val="en-GB"/>
        </w:rPr>
        <w:t xml:space="preserve">counting profession </w:t>
      </w:r>
      <w:r w:rsidR="002F1A9A" w:rsidRPr="008573C5">
        <w:rPr>
          <w:lang w:val="en-GB"/>
        </w:rPr>
        <w:t>the</w:t>
      </w:r>
      <w:r w:rsidRPr="008573C5">
        <w:rPr>
          <w:lang w:val="en-GB"/>
        </w:rPr>
        <w:t xml:space="preserve"> male</w:t>
      </w:r>
      <w:r w:rsidR="002F1A9A" w:rsidRPr="008573C5">
        <w:rPr>
          <w:lang w:val="en-GB"/>
        </w:rPr>
        <w:t>s</w:t>
      </w:r>
      <w:r w:rsidRPr="008573C5">
        <w:rPr>
          <w:lang w:val="en-GB"/>
        </w:rPr>
        <w:t xml:space="preserve"> outnumber</w:t>
      </w:r>
      <w:r w:rsidR="002F1A9A" w:rsidRPr="008573C5">
        <w:rPr>
          <w:lang w:val="en-GB"/>
        </w:rPr>
        <w:t>ed</w:t>
      </w:r>
      <w:r w:rsidRPr="008573C5">
        <w:rPr>
          <w:lang w:val="en-GB"/>
        </w:rPr>
        <w:t xml:space="preserve"> the females. The female minority status is based on ge</w:t>
      </w:r>
      <w:r w:rsidR="002F1A9A" w:rsidRPr="008573C5">
        <w:rPr>
          <w:lang w:val="en-GB"/>
        </w:rPr>
        <w:t xml:space="preserve">nder-based differences such as </w:t>
      </w:r>
      <w:r w:rsidRPr="008573C5">
        <w:rPr>
          <w:lang w:val="en-GB"/>
        </w:rPr>
        <w:t>‘glass ceiling’, networking and work/life family balance.</w:t>
      </w:r>
      <w:r w:rsidRPr="008573C5">
        <w:rPr>
          <w:b/>
          <w:bCs/>
          <w:lang w:val="en-GB"/>
        </w:rPr>
        <w:t xml:space="preserve"> </w:t>
      </w:r>
    </w:p>
    <w:p w:rsidR="00B051EB" w:rsidRPr="008573C5" w:rsidRDefault="00B051EB" w:rsidP="00B051EB">
      <w:pPr>
        <w:autoSpaceDE w:val="0"/>
        <w:autoSpaceDN w:val="0"/>
        <w:adjustRightInd w:val="0"/>
        <w:rPr>
          <w:b/>
          <w:bCs/>
          <w:lang w:val="en-GB"/>
        </w:rPr>
      </w:pPr>
    </w:p>
    <w:p w:rsidR="00B051EB" w:rsidRPr="008573C5" w:rsidRDefault="00B051EB" w:rsidP="00B051EB">
      <w:pPr>
        <w:autoSpaceDE w:val="0"/>
        <w:autoSpaceDN w:val="0"/>
        <w:adjustRightInd w:val="0"/>
        <w:jc w:val="center"/>
        <w:rPr>
          <w:rFonts w:ascii="Arial" w:eastAsia="Calibri" w:hAnsi="Arial" w:cs="Arial"/>
        </w:rPr>
      </w:pPr>
    </w:p>
    <w:p w:rsidR="00B051EB" w:rsidRPr="008573C5" w:rsidRDefault="00E16084" w:rsidP="00B051EB">
      <w:pPr>
        <w:spacing w:line="360" w:lineRule="auto"/>
        <w:jc w:val="both"/>
        <w:rPr>
          <w:lang w:val="en-GB"/>
        </w:rPr>
      </w:pPr>
      <w:r w:rsidRPr="008573C5">
        <w:rPr>
          <w:lang w:val="en-GB"/>
        </w:rPr>
        <w:t>As regards</w:t>
      </w:r>
      <w:r w:rsidR="00B051EB" w:rsidRPr="008573C5">
        <w:rPr>
          <w:lang w:val="en-GB"/>
        </w:rPr>
        <w:t xml:space="preserve"> the highest educational qualifications of the respondents, the bulk of the respondents</w:t>
      </w:r>
      <w:r w:rsidRPr="008573C5">
        <w:rPr>
          <w:lang w:val="en-GB"/>
        </w:rPr>
        <w:t xml:space="preserve"> 272 (56.3%)</w:t>
      </w:r>
      <w:r w:rsidR="00B051EB" w:rsidRPr="008573C5">
        <w:rPr>
          <w:lang w:val="en-GB"/>
        </w:rPr>
        <w:t xml:space="preserve"> have B.Sc/B</w:t>
      </w:r>
      <w:r w:rsidRPr="008573C5">
        <w:rPr>
          <w:lang w:val="en-GB"/>
        </w:rPr>
        <w:t>.</w:t>
      </w:r>
      <w:r w:rsidR="00B051EB" w:rsidRPr="008573C5">
        <w:rPr>
          <w:lang w:val="en-GB"/>
        </w:rPr>
        <w:t>A degrees. Those with HND are 83 (17.2%), MBA/MSc are 117 (24.2%) and Ph.D are 11(2.3%). For the professional qualifications, only 48.2% of the respondents indicate their professional status. Out of these</w:t>
      </w:r>
      <w:r w:rsidR="00E505E5">
        <w:rPr>
          <w:lang w:val="en-GB"/>
        </w:rPr>
        <w:t>,</w:t>
      </w:r>
      <w:r w:rsidR="00B051EB" w:rsidRPr="008573C5">
        <w:rPr>
          <w:lang w:val="en-GB"/>
        </w:rPr>
        <w:t xml:space="preserve"> 150 ha</w:t>
      </w:r>
      <w:r w:rsidRPr="008573C5">
        <w:rPr>
          <w:lang w:val="en-GB"/>
        </w:rPr>
        <w:t>ve</w:t>
      </w:r>
      <w:r w:rsidR="00B051EB" w:rsidRPr="008573C5">
        <w:rPr>
          <w:lang w:val="en-GB"/>
        </w:rPr>
        <w:t xml:space="preserve"> ACA/FCA, 24 ha</w:t>
      </w:r>
      <w:r w:rsidRPr="008573C5">
        <w:rPr>
          <w:lang w:val="en-GB"/>
        </w:rPr>
        <w:t>ve</w:t>
      </w:r>
      <w:r w:rsidR="00B051EB" w:rsidRPr="008573C5">
        <w:rPr>
          <w:lang w:val="en-GB"/>
        </w:rPr>
        <w:t xml:space="preserve"> ACCA/FCCA, 4 ha</w:t>
      </w:r>
      <w:r w:rsidRPr="008573C5">
        <w:rPr>
          <w:lang w:val="en-GB"/>
        </w:rPr>
        <w:t>ve</w:t>
      </w:r>
      <w:r w:rsidR="00B051EB" w:rsidRPr="008573C5">
        <w:rPr>
          <w:lang w:val="en-GB"/>
        </w:rPr>
        <w:t xml:space="preserve"> both ACA and ACCA, 15 ha</w:t>
      </w:r>
      <w:r w:rsidRPr="008573C5">
        <w:rPr>
          <w:lang w:val="en-GB"/>
        </w:rPr>
        <w:t>ve</w:t>
      </w:r>
      <w:r w:rsidR="00B051EB" w:rsidRPr="008573C5">
        <w:rPr>
          <w:lang w:val="en-GB"/>
        </w:rPr>
        <w:t xml:space="preserve"> CNA/FCNA while 40 are professionals in other fields</w:t>
      </w:r>
      <w:r w:rsidR="00E505E5">
        <w:rPr>
          <w:lang w:val="en-GB"/>
        </w:rPr>
        <w:t>. T</w:t>
      </w:r>
      <w:r w:rsidRPr="008573C5">
        <w:rPr>
          <w:lang w:val="en-GB"/>
        </w:rPr>
        <w:t>hese include</w:t>
      </w:r>
      <w:r w:rsidR="00B051EB" w:rsidRPr="008573C5">
        <w:rPr>
          <w:lang w:val="en-GB"/>
        </w:rPr>
        <w:t>: m</w:t>
      </w:r>
      <w:r w:rsidR="00B051EB" w:rsidRPr="008573C5">
        <w:t>embers of Chartered Institute of Stockbrokers, members of Chartered Institute of Bankers, members of Nigerian Institute of Management and members of Chartered Institute of Taxation.</w:t>
      </w:r>
      <w:r w:rsidR="00B051EB" w:rsidRPr="008573C5">
        <w:rPr>
          <w:lang w:val="en-GB"/>
        </w:rPr>
        <w:t xml:space="preserve"> The data on educational and pro</w:t>
      </w:r>
      <w:r w:rsidR="00995A66" w:rsidRPr="008573C5">
        <w:rPr>
          <w:lang w:val="en-GB"/>
        </w:rPr>
        <w:t>fessional qualifications reveal</w:t>
      </w:r>
      <w:r w:rsidR="00B051EB" w:rsidRPr="008573C5">
        <w:rPr>
          <w:lang w:val="en-GB"/>
        </w:rPr>
        <w:t xml:space="preserve"> that most of the respondents have either first or both first and second degrees and are professionally competent. They are able to understand the content of the questionnaire and express unbiased opinion.</w:t>
      </w:r>
    </w:p>
    <w:p w:rsidR="00B051EB" w:rsidRPr="008573C5" w:rsidRDefault="00B051EB" w:rsidP="00B051EB">
      <w:pPr>
        <w:autoSpaceDE w:val="0"/>
        <w:autoSpaceDN w:val="0"/>
        <w:adjustRightInd w:val="0"/>
        <w:rPr>
          <w:rFonts w:ascii="System" w:eastAsia="Calibri" w:hAnsi="System"/>
        </w:rPr>
      </w:pPr>
    </w:p>
    <w:p w:rsidR="00B051EB" w:rsidRPr="008573C5" w:rsidRDefault="00B051EB" w:rsidP="00995A66">
      <w:pPr>
        <w:autoSpaceDE w:val="0"/>
        <w:autoSpaceDN w:val="0"/>
        <w:adjustRightInd w:val="0"/>
        <w:spacing w:line="360" w:lineRule="auto"/>
        <w:jc w:val="both"/>
        <w:rPr>
          <w:rFonts w:eastAsia="Calibri"/>
          <w:bCs/>
        </w:rPr>
      </w:pPr>
      <w:r w:rsidRPr="008573C5">
        <w:rPr>
          <w:rFonts w:eastAsia="Calibri"/>
          <w:bCs/>
        </w:rPr>
        <w:t>The occupation of the respondents analysed reveal</w:t>
      </w:r>
      <w:r w:rsidR="00000931" w:rsidRPr="008573C5">
        <w:rPr>
          <w:rFonts w:eastAsia="Calibri"/>
          <w:bCs/>
        </w:rPr>
        <w:t>s</w:t>
      </w:r>
      <w:r w:rsidRPr="008573C5">
        <w:rPr>
          <w:rFonts w:eastAsia="Calibri"/>
          <w:bCs/>
        </w:rPr>
        <w:t xml:space="preserve"> </w:t>
      </w:r>
      <w:r w:rsidR="001B2A6B" w:rsidRPr="008573C5">
        <w:rPr>
          <w:rFonts w:eastAsia="Calibri"/>
          <w:bCs/>
        </w:rPr>
        <w:t>that auditors</w:t>
      </w:r>
      <w:r w:rsidR="00E16084" w:rsidRPr="008573C5">
        <w:rPr>
          <w:rFonts w:eastAsia="Calibri"/>
          <w:bCs/>
        </w:rPr>
        <w:t xml:space="preserve"> are in the majority;</w:t>
      </w:r>
      <w:r w:rsidRPr="008573C5">
        <w:rPr>
          <w:rFonts w:eastAsia="Calibri"/>
          <w:bCs/>
        </w:rPr>
        <w:t xml:space="preserve"> they number 134, which is 27.7% of the total sample. Out of the remaining 349 respondents, accountants are 106</w:t>
      </w:r>
      <w:r w:rsidR="00995A66" w:rsidRPr="008573C5">
        <w:rPr>
          <w:rFonts w:eastAsia="Calibri"/>
          <w:bCs/>
        </w:rPr>
        <w:t xml:space="preserve"> (21.9%), stockbrokers are 16 (</w:t>
      </w:r>
      <w:r w:rsidRPr="008573C5">
        <w:rPr>
          <w:rFonts w:eastAsia="Calibri"/>
          <w:bCs/>
        </w:rPr>
        <w:t xml:space="preserve">3.3%), financial analysts/consultants are 40 (8.3%), accounting educators are 85 (17.6%), bankers are 73 (15.5%) while others are 27 (5.6%). The others include managers and supervisors at the Nigerian Stock Exchange and Securities and Exchange Commission. </w:t>
      </w:r>
    </w:p>
    <w:p w:rsidR="00B051EB" w:rsidRPr="008573C5" w:rsidRDefault="00B051EB" w:rsidP="00995A66">
      <w:pPr>
        <w:autoSpaceDE w:val="0"/>
        <w:autoSpaceDN w:val="0"/>
        <w:adjustRightInd w:val="0"/>
        <w:spacing w:line="360" w:lineRule="auto"/>
        <w:ind w:right="-331"/>
        <w:jc w:val="both"/>
        <w:rPr>
          <w:rFonts w:eastAsia="Calibri"/>
          <w:b/>
          <w:bCs/>
        </w:rPr>
      </w:pPr>
    </w:p>
    <w:p w:rsidR="00B051EB" w:rsidRPr="008573C5" w:rsidRDefault="00B051EB" w:rsidP="00995A66">
      <w:pPr>
        <w:spacing w:line="360" w:lineRule="auto"/>
        <w:jc w:val="both"/>
        <w:rPr>
          <w:lang w:val="en-GB"/>
        </w:rPr>
      </w:pPr>
      <w:r w:rsidRPr="008573C5">
        <w:rPr>
          <w:rFonts w:eastAsia="Calibri"/>
          <w:bCs/>
        </w:rPr>
        <w:t>The work experience d</w:t>
      </w:r>
      <w:r w:rsidR="00E16084" w:rsidRPr="008573C5">
        <w:rPr>
          <w:rFonts w:eastAsia="Calibri"/>
          <w:bCs/>
        </w:rPr>
        <w:t>ata</w:t>
      </w:r>
      <w:r w:rsidRPr="008573C5">
        <w:rPr>
          <w:rFonts w:eastAsia="Calibri"/>
          <w:bCs/>
        </w:rPr>
        <w:t xml:space="preserve"> as presented in Table 4.</w:t>
      </w:r>
      <w:r w:rsidR="006B1949" w:rsidRPr="008573C5">
        <w:rPr>
          <w:rFonts w:eastAsia="Calibri"/>
          <w:bCs/>
        </w:rPr>
        <w:t>3</w:t>
      </w:r>
      <w:r w:rsidR="001B2A6B" w:rsidRPr="008573C5">
        <w:rPr>
          <w:rFonts w:eastAsia="Calibri"/>
          <w:bCs/>
        </w:rPr>
        <w:t>1</w:t>
      </w:r>
      <w:r w:rsidRPr="008573C5">
        <w:rPr>
          <w:rFonts w:eastAsia="Calibri"/>
          <w:bCs/>
        </w:rPr>
        <w:t xml:space="preserve"> above reveal</w:t>
      </w:r>
      <w:r w:rsidR="00E505E5">
        <w:rPr>
          <w:rFonts w:eastAsia="Calibri"/>
          <w:bCs/>
        </w:rPr>
        <w:t>s</w:t>
      </w:r>
      <w:r w:rsidR="00000931" w:rsidRPr="008573C5">
        <w:rPr>
          <w:rFonts w:eastAsia="Calibri"/>
          <w:bCs/>
        </w:rPr>
        <w:t xml:space="preserve"> that </w:t>
      </w:r>
      <w:r w:rsidRPr="008573C5">
        <w:rPr>
          <w:lang w:val="en-GB"/>
        </w:rPr>
        <w:t xml:space="preserve"> majority of the respondents are in the experience bracket of 1 to 5 years</w:t>
      </w:r>
      <w:r w:rsidR="00E16084" w:rsidRPr="008573C5">
        <w:rPr>
          <w:lang w:val="en-GB"/>
        </w:rPr>
        <w:t>;</w:t>
      </w:r>
      <w:r w:rsidRPr="008573C5">
        <w:rPr>
          <w:lang w:val="en-GB"/>
        </w:rPr>
        <w:t xml:space="preserve"> this constitute</w:t>
      </w:r>
      <w:r w:rsidR="00E16084" w:rsidRPr="008573C5">
        <w:rPr>
          <w:lang w:val="en-GB"/>
        </w:rPr>
        <w:t>s</w:t>
      </w:r>
      <w:r w:rsidRPr="008573C5">
        <w:rPr>
          <w:lang w:val="en-GB"/>
        </w:rPr>
        <w:t xml:space="preserve"> 44.5% of the total sample. The respondents with 6 to 10 years experience represent 25.16% while those with above ten years experience are 30.4%.  The analysis reveals that the working experience of the respondents is mixed. The respondents have considerable experience in their field</w:t>
      </w:r>
      <w:r w:rsidR="00000931" w:rsidRPr="008573C5">
        <w:rPr>
          <w:lang w:val="en-GB"/>
        </w:rPr>
        <w:t>s</w:t>
      </w:r>
      <w:r w:rsidRPr="008573C5">
        <w:rPr>
          <w:lang w:val="en-GB"/>
        </w:rPr>
        <w:t xml:space="preserve"> that will enable them to have a good knowledge of disclosure practices of listed companies.</w:t>
      </w:r>
    </w:p>
    <w:p w:rsidR="00B051EB" w:rsidRPr="008573C5" w:rsidRDefault="00B051EB" w:rsidP="00B051EB">
      <w:pPr>
        <w:spacing w:line="360" w:lineRule="auto"/>
        <w:jc w:val="both"/>
        <w:rPr>
          <w:lang w:val="en-GB"/>
        </w:rPr>
      </w:pPr>
    </w:p>
    <w:p w:rsidR="00B051EB" w:rsidRPr="008573C5" w:rsidRDefault="00B051EB" w:rsidP="00B051EB">
      <w:pPr>
        <w:spacing w:line="360" w:lineRule="auto"/>
        <w:jc w:val="both"/>
        <w:rPr>
          <w:lang w:val="en-GB"/>
        </w:rPr>
      </w:pPr>
      <w:r w:rsidRPr="008573C5">
        <w:rPr>
          <w:lang w:val="en-GB"/>
        </w:rPr>
        <w:t>The next sub-sections present the data on Section</w:t>
      </w:r>
      <w:r w:rsidR="00E16084" w:rsidRPr="008573C5">
        <w:rPr>
          <w:lang w:val="en-GB"/>
        </w:rPr>
        <w:t>s</w:t>
      </w:r>
      <w:r w:rsidRPr="008573C5">
        <w:rPr>
          <w:lang w:val="en-GB"/>
        </w:rPr>
        <w:t xml:space="preserve"> B, C, D, and E of the questionnaire. </w:t>
      </w:r>
      <w:r w:rsidR="00F16322" w:rsidRPr="008573C5">
        <w:rPr>
          <w:lang w:val="en-GB"/>
        </w:rPr>
        <w:t xml:space="preserve">The responses </w:t>
      </w:r>
      <w:r w:rsidR="00E505E5">
        <w:rPr>
          <w:lang w:val="en-GB"/>
        </w:rPr>
        <w:t>ar</w:t>
      </w:r>
      <w:r w:rsidR="00F16322" w:rsidRPr="008573C5">
        <w:rPr>
          <w:lang w:val="en-GB"/>
        </w:rPr>
        <w:t>e labelled</w:t>
      </w:r>
      <w:r w:rsidR="00EA5B06" w:rsidRPr="008573C5">
        <w:rPr>
          <w:lang w:val="en-GB"/>
        </w:rPr>
        <w:t>:</w:t>
      </w:r>
      <w:r w:rsidR="00F16322" w:rsidRPr="008573C5">
        <w:rPr>
          <w:lang w:val="en-GB"/>
        </w:rPr>
        <w:t xml:space="preserve"> </w:t>
      </w:r>
      <w:r w:rsidRPr="008573C5">
        <w:rPr>
          <w:lang w:val="en-GB"/>
        </w:rPr>
        <w:t>SA</w:t>
      </w:r>
      <w:r w:rsidR="00F16322" w:rsidRPr="008573C5">
        <w:rPr>
          <w:lang w:val="en-GB"/>
        </w:rPr>
        <w:t xml:space="preserve"> (</w:t>
      </w:r>
      <w:r w:rsidRPr="008573C5">
        <w:rPr>
          <w:lang w:val="en-GB"/>
        </w:rPr>
        <w:t>Strongly Agree</w:t>
      </w:r>
      <w:r w:rsidR="00F16322" w:rsidRPr="008573C5">
        <w:rPr>
          <w:lang w:val="en-GB"/>
        </w:rPr>
        <w:t>)</w:t>
      </w:r>
      <w:r w:rsidRPr="008573C5">
        <w:rPr>
          <w:lang w:val="en-GB"/>
        </w:rPr>
        <w:t xml:space="preserve">, A </w:t>
      </w:r>
      <w:r w:rsidR="00F16322" w:rsidRPr="008573C5">
        <w:rPr>
          <w:lang w:val="en-GB"/>
        </w:rPr>
        <w:t>(</w:t>
      </w:r>
      <w:r w:rsidRPr="008573C5">
        <w:rPr>
          <w:lang w:val="en-GB"/>
        </w:rPr>
        <w:t>Agree</w:t>
      </w:r>
      <w:r w:rsidR="00F16322" w:rsidRPr="008573C5">
        <w:rPr>
          <w:lang w:val="en-GB"/>
        </w:rPr>
        <w:t>)</w:t>
      </w:r>
      <w:r w:rsidRPr="008573C5">
        <w:rPr>
          <w:lang w:val="en-GB"/>
        </w:rPr>
        <w:t xml:space="preserve">, D </w:t>
      </w:r>
      <w:r w:rsidR="00F16322" w:rsidRPr="008573C5">
        <w:rPr>
          <w:lang w:val="en-GB"/>
        </w:rPr>
        <w:t>(D</w:t>
      </w:r>
      <w:r w:rsidRPr="008573C5">
        <w:rPr>
          <w:lang w:val="en-GB"/>
        </w:rPr>
        <w:t>isagree</w:t>
      </w:r>
      <w:r w:rsidR="00F16322" w:rsidRPr="008573C5">
        <w:rPr>
          <w:lang w:val="en-GB"/>
        </w:rPr>
        <w:t>)</w:t>
      </w:r>
      <w:r w:rsidRPr="008573C5">
        <w:rPr>
          <w:lang w:val="en-GB"/>
        </w:rPr>
        <w:t xml:space="preserve">, SD </w:t>
      </w:r>
      <w:r w:rsidR="00F16322" w:rsidRPr="008573C5">
        <w:rPr>
          <w:lang w:val="en-GB"/>
        </w:rPr>
        <w:t>(</w:t>
      </w:r>
      <w:r w:rsidRPr="008573C5">
        <w:rPr>
          <w:lang w:val="en-GB"/>
        </w:rPr>
        <w:t>Strongly Disagree</w:t>
      </w:r>
      <w:r w:rsidR="00F16322" w:rsidRPr="008573C5">
        <w:rPr>
          <w:lang w:val="en-GB"/>
        </w:rPr>
        <w:t>)</w:t>
      </w:r>
      <w:r w:rsidRPr="008573C5">
        <w:rPr>
          <w:lang w:val="en-GB"/>
        </w:rPr>
        <w:t>.  The weighted sample is the expected responses less the missing ones. The weighted average mean (M) and the standard deviation (SD) of each question are also computed.</w:t>
      </w:r>
    </w:p>
    <w:p w:rsidR="00B051EB" w:rsidRPr="008573C5" w:rsidRDefault="00B051EB" w:rsidP="00B051EB">
      <w:pPr>
        <w:autoSpaceDE w:val="0"/>
        <w:autoSpaceDN w:val="0"/>
        <w:adjustRightInd w:val="0"/>
        <w:rPr>
          <w:rFonts w:ascii="System" w:hAnsi="System" w:cs="System"/>
          <w:b/>
          <w:bCs/>
          <w:sz w:val="20"/>
          <w:szCs w:val="20"/>
        </w:rPr>
      </w:pPr>
    </w:p>
    <w:p w:rsidR="00B051EB" w:rsidRPr="008573C5" w:rsidRDefault="00B051EB" w:rsidP="00B051EB">
      <w:pPr>
        <w:autoSpaceDE w:val="0"/>
        <w:autoSpaceDN w:val="0"/>
        <w:adjustRightInd w:val="0"/>
        <w:rPr>
          <w:b/>
          <w:sz w:val="28"/>
          <w:szCs w:val="28"/>
          <w:lang w:val="en-GB"/>
        </w:rPr>
      </w:pPr>
      <w:r w:rsidRPr="008573C5">
        <w:rPr>
          <w:b/>
          <w:bCs/>
          <w:sz w:val="28"/>
          <w:szCs w:val="28"/>
        </w:rPr>
        <w:t>4.</w:t>
      </w:r>
      <w:r w:rsidR="004D206D" w:rsidRPr="008573C5">
        <w:rPr>
          <w:b/>
          <w:bCs/>
          <w:sz w:val="28"/>
          <w:szCs w:val="28"/>
        </w:rPr>
        <w:t>3</w:t>
      </w:r>
      <w:r w:rsidR="008320E8" w:rsidRPr="008573C5">
        <w:rPr>
          <w:b/>
          <w:bCs/>
          <w:sz w:val="28"/>
          <w:szCs w:val="28"/>
        </w:rPr>
        <w:t xml:space="preserve">.2  </w:t>
      </w:r>
      <w:r w:rsidRPr="008573C5">
        <w:rPr>
          <w:b/>
          <w:sz w:val="28"/>
          <w:szCs w:val="28"/>
          <w:lang w:val="en-GB"/>
        </w:rPr>
        <w:t xml:space="preserve"> Compliance with </w:t>
      </w:r>
      <w:r w:rsidR="008320E8" w:rsidRPr="008573C5">
        <w:rPr>
          <w:b/>
          <w:sz w:val="28"/>
          <w:szCs w:val="28"/>
          <w:lang w:val="en-GB"/>
        </w:rPr>
        <w:t>D</w:t>
      </w:r>
      <w:r w:rsidRPr="008573C5">
        <w:rPr>
          <w:b/>
          <w:sz w:val="28"/>
          <w:szCs w:val="28"/>
          <w:lang w:val="en-GB"/>
        </w:rPr>
        <w:t>isclosure require</w:t>
      </w:r>
      <w:r w:rsidR="005E1620" w:rsidRPr="008573C5">
        <w:rPr>
          <w:b/>
          <w:sz w:val="28"/>
          <w:szCs w:val="28"/>
          <w:lang w:val="en-GB"/>
        </w:rPr>
        <w:t xml:space="preserve">ments of SASs </w:t>
      </w:r>
      <w:r w:rsidRPr="008573C5">
        <w:rPr>
          <w:b/>
          <w:sz w:val="28"/>
          <w:szCs w:val="28"/>
          <w:lang w:val="en-GB"/>
        </w:rPr>
        <w:t xml:space="preserve">and </w:t>
      </w:r>
      <w:r w:rsidR="008320E8" w:rsidRPr="008573C5">
        <w:rPr>
          <w:b/>
          <w:sz w:val="28"/>
          <w:szCs w:val="28"/>
          <w:lang w:val="en-GB"/>
        </w:rPr>
        <w:t>IFRS</w:t>
      </w:r>
      <w:r w:rsidR="005E1620" w:rsidRPr="008573C5">
        <w:rPr>
          <w:b/>
          <w:sz w:val="28"/>
          <w:szCs w:val="28"/>
          <w:lang w:val="en-GB"/>
        </w:rPr>
        <w:t>s</w:t>
      </w:r>
    </w:p>
    <w:p w:rsidR="00B051EB" w:rsidRPr="008573C5" w:rsidRDefault="00B051EB" w:rsidP="00B051EB">
      <w:pPr>
        <w:spacing w:line="360" w:lineRule="auto"/>
        <w:ind w:right="-781"/>
        <w:rPr>
          <w:lang w:val="en-GB"/>
        </w:rPr>
      </w:pPr>
    </w:p>
    <w:p w:rsidR="00B051EB" w:rsidRPr="008573C5" w:rsidRDefault="00B051EB" w:rsidP="00B051EB">
      <w:pPr>
        <w:spacing w:line="360" w:lineRule="auto"/>
        <w:ind w:right="-781"/>
        <w:rPr>
          <w:lang w:val="en-GB"/>
        </w:rPr>
      </w:pPr>
      <w:r w:rsidRPr="008573C5">
        <w:rPr>
          <w:lang w:val="en-GB"/>
        </w:rPr>
        <w:t>Table 4.</w:t>
      </w:r>
      <w:r w:rsidR="001B2A6B" w:rsidRPr="008573C5">
        <w:rPr>
          <w:lang w:val="en-GB"/>
        </w:rPr>
        <w:t>32</w:t>
      </w:r>
      <w:r w:rsidRPr="008573C5">
        <w:rPr>
          <w:lang w:val="en-GB"/>
        </w:rPr>
        <w:t xml:space="preserve"> below depicts the responses to </w:t>
      </w:r>
      <w:r w:rsidR="00F01289" w:rsidRPr="008573C5">
        <w:rPr>
          <w:lang w:val="en-GB"/>
        </w:rPr>
        <w:t>items</w:t>
      </w:r>
      <w:r w:rsidRPr="008573C5">
        <w:rPr>
          <w:lang w:val="en-GB"/>
        </w:rPr>
        <w:t xml:space="preserve"> 7 to 13 of the questionnaire arranged in a serial manner. Th</w:t>
      </w:r>
      <w:r w:rsidR="00F01289" w:rsidRPr="008573C5">
        <w:rPr>
          <w:lang w:val="en-GB"/>
        </w:rPr>
        <w:t>ese relate</w:t>
      </w:r>
      <w:r w:rsidRPr="008573C5">
        <w:rPr>
          <w:lang w:val="en-GB"/>
        </w:rPr>
        <w:t xml:space="preserve"> to Objectives 1 and 2</w:t>
      </w:r>
      <w:r w:rsidR="00F01289" w:rsidRPr="008573C5">
        <w:rPr>
          <w:lang w:val="en-GB"/>
        </w:rPr>
        <w:t xml:space="preserve"> of the study and also address</w:t>
      </w:r>
      <w:r w:rsidRPr="008573C5">
        <w:rPr>
          <w:lang w:val="en-GB"/>
        </w:rPr>
        <w:t xml:space="preserve"> Research questions 1 and 2.</w:t>
      </w:r>
    </w:p>
    <w:p w:rsidR="001067E9" w:rsidRPr="008573C5" w:rsidRDefault="001067E9" w:rsidP="00B051EB">
      <w:pPr>
        <w:tabs>
          <w:tab w:val="left" w:pos="2897"/>
        </w:tabs>
        <w:spacing w:line="480" w:lineRule="auto"/>
        <w:jc w:val="both"/>
        <w:rPr>
          <w:b/>
          <w:lang w:val="en-GB"/>
        </w:rPr>
      </w:pPr>
    </w:p>
    <w:p w:rsidR="001067E9" w:rsidRPr="008573C5" w:rsidRDefault="001067E9" w:rsidP="001067E9">
      <w:pPr>
        <w:spacing w:line="360" w:lineRule="auto"/>
        <w:ind w:right="-781"/>
        <w:jc w:val="both"/>
        <w:rPr>
          <w:lang w:val="en-GB"/>
        </w:rPr>
      </w:pPr>
      <w:r w:rsidRPr="008573C5">
        <w:rPr>
          <w:lang w:val="en-GB"/>
        </w:rPr>
        <w:t xml:space="preserve">Responses to item 7 reveal that out of the sample of 483, 475 or 98.3% responded.  The analysis shows that 99 or 20.5% of the total sample strongly agree that </w:t>
      </w:r>
      <w:r w:rsidRPr="008573C5">
        <w:t xml:space="preserve">listed financial companies in Nigeria fully comply with the disclosure requirements of the local SASs. </w:t>
      </w:r>
      <w:r w:rsidRPr="008573C5">
        <w:rPr>
          <w:lang w:val="en-GB"/>
        </w:rPr>
        <w:t>266 or 55.1% agree, 77 or 15.9% disagree, whi</w:t>
      </w:r>
      <w:r w:rsidR="00E16084" w:rsidRPr="008573C5">
        <w:rPr>
          <w:lang w:val="en-GB"/>
        </w:rPr>
        <w:t>le 33 or 6.8% strongly disagree w</w:t>
      </w:r>
      <w:r w:rsidRPr="008573C5">
        <w:rPr>
          <w:lang w:val="en-GB"/>
        </w:rPr>
        <w:t>ith the weighted average mean of 2.91 and a standard deviation of 0.801.</w:t>
      </w:r>
    </w:p>
    <w:p w:rsidR="001067E9" w:rsidRPr="008573C5" w:rsidRDefault="001067E9" w:rsidP="001067E9">
      <w:pPr>
        <w:spacing w:line="360" w:lineRule="auto"/>
        <w:ind w:right="-781"/>
        <w:jc w:val="both"/>
        <w:rPr>
          <w:lang w:val="en-GB"/>
        </w:rPr>
      </w:pPr>
    </w:p>
    <w:p w:rsidR="001067E9" w:rsidRPr="008573C5" w:rsidRDefault="001067E9" w:rsidP="001067E9">
      <w:pPr>
        <w:spacing w:line="360" w:lineRule="auto"/>
        <w:ind w:right="-781"/>
        <w:jc w:val="both"/>
      </w:pPr>
      <w:r w:rsidRPr="008573C5">
        <w:rPr>
          <w:lang w:val="en-GB"/>
        </w:rPr>
        <w:t>Item 8 ha</w:t>
      </w:r>
      <w:r w:rsidR="00E505E5">
        <w:rPr>
          <w:lang w:val="en-GB"/>
        </w:rPr>
        <w:t>s</w:t>
      </w:r>
      <w:r w:rsidRPr="008573C5">
        <w:rPr>
          <w:lang w:val="en-GB"/>
        </w:rPr>
        <w:t xml:space="preserve"> a response rate of 97.9% out of the total sample of 483. Out of these responses, 56 (11.6%) strongly agree that </w:t>
      </w:r>
      <w:r w:rsidRPr="008573C5">
        <w:t>listed non-financial companies in Nigeria fully comply with the disclosure requirements of the local SASs</w:t>
      </w:r>
      <w:r w:rsidRPr="008573C5">
        <w:rPr>
          <w:lang w:val="en-GB"/>
        </w:rPr>
        <w:t xml:space="preserve">, 219 (45.3%) agree, 162 (33.5%) disagree, while 36 (7.5%) strongly disagree. The weighted arithmetic mean is 2.62 with standard deviation of 0.791. The disparity of responses to question 7 and 8 indicates that the respondents are of the opinion that the financial companies comply more than the non-financial companies with the disclosure requirements of the SASs. This </w:t>
      </w:r>
      <w:r w:rsidR="003B6863" w:rsidRPr="008573C5">
        <w:t xml:space="preserve">further suggests that </w:t>
      </w:r>
      <w:r w:rsidRPr="008573C5">
        <w:t xml:space="preserve">due to the reform, regulation and competition in the financial sector in Nigeria, </w:t>
      </w:r>
      <w:r w:rsidR="003B6863" w:rsidRPr="008573C5">
        <w:t>the sector</w:t>
      </w:r>
      <w:r w:rsidRPr="008573C5">
        <w:t xml:space="preserve"> maintain</w:t>
      </w:r>
      <w:r w:rsidR="00E505E5">
        <w:t>s</w:t>
      </w:r>
      <w:r w:rsidRPr="008573C5">
        <w:t xml:space="preserve"> a higher level of information disclosure than other sectors.  </w:t>
      </w:r>
    </w:p>
    <w:p w:rsidR="001067E9" w:rsidRPr="008573C5" w:rsidRDefault="001067E9" w:rsidP="001067E9">
      <w:pPr>
        <w:spacing w:line="360" w:lineRule="auto"/>
        <w:ind w:right="-781"/>
        <w:jc w:val="both"/>
        <w:rPr>
          <w:lang w:val="en-GB"/>
        </w:rPr>
      </w:pPr>
      <w:r w:rsidRPr="008573C5">
        <w:rPr>
          <w:lang w:val="en-GB"/>
        </w:rPr>
        <w:t xml:space="preserve"> </w:t>
      </w:r>
    </w:p>
    <w:p w:rsidR="00B051EB" w:rsidRPr="008573C5" w:rsidRDefault="00B051EB" w:rsidP="00B051EB">
      <w:pPr>
        <w:tabs>
          <w:tab w:val="left" w:pos="2897"/>
        </w:tabs>
        <w:spacing w:line="480" w:lineRule="auto"/>
        <w:jc w:val="both"/>
        <w:rPr>
          <w:b/>
          <w:bCs/>
          <w:lang w:val="en-GB"/>
        </w:rPr>
      </w:pPr>
      <w:r w:rsidRPr="008573C5">
        <w:rPr>
          <w:b/>
          <w:lang w:val="en-GB"/>
        </w:rPr>
        <w:tab/>
      </w:r>
    </w:p>
    <w:p w:rsidR="009664A4" w:rsidRPr="008573C5" w:rsidRDefault="009664A4" w:rsidP="001A651F">
      <w:pPr>
        <w:autoSpaceDE w:val="0"/>
        <w:autoSpaceDN w:val="0"/>
        <w:adjustRightInd w:val="0"/>
        <w:jc w:val="center"/>
        <w:rPr>
          <w:b/>
          <w:bCs/>
          <w:sz w:val="28"/>
          <w:szCs w:val="28"/>
          <w:lang w:val="en-GB"/>
        </w:rPr>
      </w:pPr>
    </w:p>
    <w:p w:rsidR="009664A4" w:rsidRPr="008573C5" w:rsidRDefault="009664A4" w:rsidP="001A651F">
      <w:pPr>
        <w:autoSpaceDE w:val="0"/>
        <w:autoSpaceDN w:val="0"/>
        <w:adjustRightInd w:val="0"/>
        <w:jc w:val="center"/>
        <w:rPr>
          <w:b/>
          <w:bCs/>
          <w:sz w:val="28"/>
          <w:szCs w:val="28"/>
          <w:lang w:val="en-GB"/>
        </w:rPr>
      </w:pPr>
    </w:p>
    <w:p w:rsidR="009664A4" w:rsidRPr="008573C5" w:rsidRDefault="009664A4" w:rsidP="001A651F">
      <w:pPr>
        <w:autoSpaceDE w:val="0"/>
        <w:autoSpaceDN w:val="0"/>
        <w:adjustRightInd w:val="0"/>
        <w:jc w:val="center"/>
        <w:rPr>
          <w:b/>
          <w:bCs/>
          <w:sz w:val="28"/>
          <w:szCs w:val="28"/>
          <w:lang w:val="en-GB"/>
        </w:rPr>
      </w:pPr>
    </w:p>
    <w:p w:rsidR="00B051EB" w:rsidRPr="008573C5" w:rsidRDefault="001A651F" w:rsidP="001A651F">
      <w:pPr>
        <w:autoSpaceDE w:val="0"/>
        <w:autoSpaceDN w:val="0"/>
        <w:adjustRightInd w:val="0"/>
        <w:jc w:val="center"/>
        <w:rPr>
          <w:b/>
          <w:bCs/>
          <w:sz w:val="28"/>
          <w:szCs w:val="28"/>
          <w:lang w:val="en-GB"/>
        </w:rPr>
      </w:pPr>
      <w:r w:rsidRPr="008573C5">
        <w:rPr>
          <w:b/>
          <w:bCs/>
          <w:sz w:val="28"/>
          <w:szCs w:val="28"/>
          <w:lang w:val="en-GB"/>
        </w:rPr>
        <w:t>Table 4.</w:t>
      </w:r>
      <w:r w:rsidR="002E5C79" w:rsidRPr="008573C5">
        <w:rPr>
          <w:b/>
          <w:bCs/>
          <w:sz w:val="28"/>
          <w:szCs w:val="28"/>
          <w:lang w:val="en-GB"/>
        </w:rPr>
        <w:t>32</w:t>
      </w:r>
      <w:r w:rsidR="00B051EB" w:rsidRPr="008573C5">
        <w:rPr>
          <w:b/>
          <w:bCs/>
          <w:sz w:val="28"/>
          <w:szCs w:val="28"/>
          <w:lang w:val="en-GB"/>
        </w:rPr>
        <w:t xml:space="preserve">: </w:t>
      </w:r>
      <w:r w:rsidR="00D74B4F" w:rsidRPr="008573C5">
        <w:rPr>
          <w:b/>
          <w:bCs/>
          <w:sz w:val="28"/>
          <w:szCs w:val="28"/>
          <w:lang w:val="en-GB"/>
        </w:rPr>
        <w:t xml:space="preserve">Distribution of Responses on </w:t>
      </w:r>
      <w:r w:rsidR="00B051EB" w:rsidRPr="008573C5">
        <w:rPr>
          <w:b/>
          <w:bCs/>
          <w:sz w:val="28"/>
          <w:szCs w:val="28"/>
          <w:lang w:val="en-GB"/>
        </w:rPr>
        <w:t xml:space="preserve">Compliance with Disclosure requirements of </w:t>
      </w:r>
      <w:r w:rsidR="00D74B4F" w:rsidRPr="008573C5">
        <w:rPr>
          <w:b/>
          <w:bCs/>
          <w:sz w:val="28"/>
          <w:szCs w:val="28"/>
          <w:lang w:val="en-GB"/>
        </w:rPr>
        <w:t>Accounting Standards</w:t>
      </w:r>
    </w:p>
    <w:p w:rsidR="00B051EB" w:rsidRPr="008573C5" w:rsidRDefault="00B051EB" w:rsidP="00B051EB">
      <w:pPr>
        <w:autoSpaceDE w:val="0"/>
        <w:autoSpaceDN w:val="0"/>
        <w:adjustRightInd w:val="0"/>
        <w:jc w:val="center"/>
        <w:rPr>
          <w:rFonts w:ascii="System" w:hAnsi="System" w:cs="System"/>
          <w:b/>
          <w:bCs/>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8"/>
        <w:gridCol w:w="990"/>
        <w:gridCol w:w="900"/>
        <w:gridCol w:w="900"/>
        <w:gridCol w:w="810"/>
        <w:gridCol w:w="1170"/>
        <w:gridCol w:w="990"/>
        <w:gridCol w:w="810"/>
      </w:tblGrid>
      <w:tr w:rsidR="00B051EB" w:rsidRPr="008573C5" w:rsidTr="00A23403">
        <w:tc>
          <w:tcPr>
            <w:tcW w:w="3348" w:type="dxa"/>
          </w:tcPr>
          <w:p w:rsidR="00B051EB" w:rsidRPr="008573C5" w:rsidRDefault="00B051EB" w:rsidP="00A23403">
            <w:pPr>
              <w:spacing w:before="100" w:beforeAutospacing="1" w:after="100" w:afterAutospacing="1"/>
              <w:jc w:val="center"/>
              <w:rPr>
                <w:b/>
                <w:sz w:val="22"/>
                <w:szCs w:val="22"/>
              </w:rPr>
            </w:pPr>
          </w:p>
        </w:tc>
        <w:tc>
          <w:tcPr>
            <w:tcW w:w="990" w:type="dxa"/>
          </w:tcPr>
          <w:p w:rsidR="00B051EB" w:rsidRPr="008573C5" w:rsidRDefault="00B051EB" w:rsidP="00A23403">
            <w:pPr>
              <w:spacing w:before="100" w:beforeAutospacing="1" w:after="100" w:afterAutospacing="1"/>
              <w:jc w:val="center"/>
              <w:rPr>
                <w:b/>
                <w:sz w:val="22"/>
                <w:szCs w:val="22"/>
              </w:rPr>
            </w:pPr>
            <w:r w:rsidRPr="008573C5">
              <w:rPr>
                <w:b/>
                <w:sz w:val="22"/>
                <w:szCs w:val="22"/>
              </w:rPr>
              <w:t xml:space="preserve">SA </w:t>
            </w:r>
          </w:p>
          <w:p w:rsidR="00B051EB" w:rsidRPr="008573C5" w:rsidRDefault="00B051EB" w:rsidP="00A23403">
            <w:pPr>
              <w:spacing w:before="100" w:beforeAutospacing="1" w:after="100" w:afterAutospacing="1"/>
              <w:jc w:val="center"/>
              <w:rPr>
                <w:b/>
                <w:sz w:val="22"/>
                <w:szCs w:val="22"/>
              </w:rPr>
            </w:pPr>
          </w:p>
        </w:tc>
        <w:tc>
          <w:tcPr>
            <w:tcW w:w="900" w:type="dxa"/>
          </w:tcPr>
          <w:p w:rsidR="00B051EB" w:rsidRPr="008573C5" w:rsidRDefault="00B051EB" w:rsidP="00A23403">
            <w:pPr>
              <w:spacing w:before="100" w:beforeAutospacing="1" w:after="100" w:afterAutospacing="1"/>
              <w:jc w:val="center"/>
              <w:rPr>
                <w:b/>
                <w:sz w:val="22"/>
                <w:szCs w:val="22"/>
              </w:rPr>
            </w:pPr>
            <w:r w:rsidRPr="008573C5">
              <w:rPr>
                <w:b/>
                <w:sz w:val="22"/>
                <w:szCs w:val="22"/>
              </w:rPr>
              <w:t xml:space="preserve">A </w:t>
            </w:r>
          </w:p>
          <w:p w:rsidR="00B051EB" w:rsidRPr="008573C5" w:rsidRDefault="00B051EB" w:rsidP="00A23403">
            <w:pPr>
              <w:spacing w:before="100" w:beforeAutospacing="1" w:after="100" w:afterAutospacing="1"/>
              <w:rPr>
                <w:b/>
                <w:sz w:val="22"/>
                <w:szCs w:val="22"/>
              </w:rPr>
            </w:pPr>
          </w:p>
        </w:tc>
        <w:tc>
          <w:tcPr>
            <w:tcW w:w="900" w:type="dxa"/>
          </w:tcPr>
          <w:p w:rsidR="00B051EB" w:rsidRPr="008573C5" w:rsidRDefault="00B051EB" w:rsidP="00A23403">
            <w:pPr>
              <w:spacing w:before="100" w:beforeAutospacing="1" w:after="100" w:afterAutospacing="1"/>
              <w:jc w:val="center"/>
              <w:rPr>
                <w:b/>
                <w:sz w:val="22"/>
                <w:szCs w:val="22"/>
              </w:rPr>
            </w:pPr>
            <w:r w:rsidRPr="008573C5">
              <w:rPr>
                <w:b/>
                <w:sz w:val="22"/>
                <w:szCs w:val="22"/>
              </w:rPr>
              <w:t>D</w:t>
            </w:r>
          </w:p>
          <w:p w:rsidR="00B051EB" w:rsidRPr="008573C5" w:rsidRDefault="00B051EB" w:rsidP="00A23403">
            <w:pPr>
              <w:spacing w:before="100" w:beforeAutospacing="1" w:after="100" w:afterAutospacing="1"/>
              <w:jc w:val="center"/>
              <w:rPr>
                <w:b/>
                <w:sz w:val="22"/>
                <w:szCs w:val="22"/>
              </w:rPr>
            </w:pPr>
          </w:p>
        </w:tc>
        <w:tc>
          <w:tcPr>
            <w:tcW w:w="810" w:type="dxa"/>
          </w:tcPr>
          <w:p w:rsidR="00B051EB" w:rsidRPr="008573C5" w:rsidRDefault="00B051EB" w:rsidP="00A23403">
            <w:pPr>
              <w:spacing w:before="100" w:beforeAutospacing="1" w:after="100" w:afterAutospacing="1"/>
              <w:jc w:val="center"/>
              <w:rPr>
                <w:b/>
                <w:sz w:val="22"/>
                <w:szCs w:val="22"/>
              </w:rPr>
            </w:pPr>
            <w:r w:rsidRPr="008573C5">
              <w:rPr>
                <w:b/>
                <w:sz w:val="22"/>
                <w:szCs w:val="22"/>
              </w:rPr>
              <w:t>SD</w:t>
            </w:r>
          </w:p>
          <w:p w:rsidR="00B051EB" w:rsidRPr="008573C5" w:rsidRDefault="00B051EB" w:rsidP="00A23403">
            <w:pPr>
              <w:spacing w:before="100" w:beforeAutospacing="1" w:after="100" w:afterAutospacing="1"/>
              <w:jc w:val="center"/>
              <w:rPr>
                <w:b/>
                <w:sz w:val="22"/>
                <w:szCs w:val="22"/>
              </w:rPr>
            </w:pPr>
          </w:p>
        </w:tc>
        <w:tc>
          <w:tcPr>
            <w:tcW w:w="1170" w:type="dxa"/>
          </w:tcPr>
          <w:p w:rsidR="00B051EB" w:rsidRPr="008573C5" w:rsidRDefault="00B051EB" w:rsidP="00A23403">
            <w:pPr>
              <w:spacing w:before="100" w:beforeAutospacing="1" w:after="100" w:afterAutospacing="1"/>
              <w:jc w:val="center"/>
              <w:rPr>
                <w:b/>
                <w:sz w:val="22"/>
                <w:szCs w:val="22"/>
              </w:rPr>
            </w:pPr>
            <w:r w:rsidRPr="008573C5">
              <w:rPr>
                <w:b/>
                <w:sz w:val="22"/>
                <w:szCs w:val="22"/>
              </w:rPr>
              <w:t>Weighted</w:t>
            </w:r>
          </w:p>
          <w:p w:rsidR="00B051EB" w:rsidRPr="008573C5" w:rsidRDefault="00B051EB" w:rsidP="00A23403">
            <w:pPr>
              <w:spacing w:before="100" w:beforeAutospacing="1" w:after="100" w:afterAutospacing="1"/>
              <w:jc w:val="center"/>
              <w:rPr>
                <w:b/>
                <w:sz w:val="22"/>
                <w:szCs w:val="22"/>
              </w:rPr>
            </w:pPr>
            <w:r w:rsidRPr="008573C5">
              <w:rPr>
                <w:b/>
                <w:sz w:val="22"/>
                <w:szCs w:val="22"/>
              </w:rPr>
              <w:t>Sample</w:t>
            </w:r>
          </w:p>
          <w:p w:rsidR="00B051EB" w:rsidRPr="008573C5" w:rsidRDefault="00B051EB" w:rsidP="00A23403">
            <w:pPr>
              <w:spacing w:before="100" w:beforeAutospacing="1" w:after="100" w:afterAutospacing="1"/>
              <w:jc w:val="center"/>
              <w:rPr>
                <w:b/>
                <w:sz w:val="22"/>
                <w:szCs w:val="22"/>
              </w:rPr>
            </w:pPr>
          </w:p>
        </w:tc>
        <w:tc>
          <w:tcPr>
            <w:tcW w:w="990" w:type="dxa"/>
          </w:tcPr>
          <w:p w:rsidR="00B051EB" w:rsidRPr="008573C5" w:rsidRDefault="00B051EB" w:rsidP="00A23403">
            <w:pPr>
              <w:spacing w:before="100" w:beforeAutospacing="1" w:after="100" w:afterAutospacing="1"/>
              <w:jc w:val="center"/>
              <w:rPr>
                <w:b/>
                <w:sz w:val="22"/>
                <w:szCs w:val="22"/>
              </w:rPr>
            </w:pPr>
            <w:r w:rsidRPr="008573C5">
              <w:rPr>
                <w:b/>
                <w:sz w:val="22"/>
                <w:szCs w:val="22"/>
              </w:rPr>
              <w:t>M</w:t>
            </w:r>
            <w:r w:rsidR="0099149F" w:rsidRPr="008573C5">
              <w:rPr>
                <w:b/>
                <w:sz w:val="22"/>
                <w:szCs w:val="22"/>
              </w:rPr>
              <w:t>ean</w:t>
            </w:r>
          </w:p>
          <w:p w:rsidR="00B051EB" w:rsidRPr="008573C5" w:rsidRDefault="00B051EB" w:rsidP="00A23403">
            <w:pPr>
              <w:spacing w:before="100" w:beforeAutospacing="1" w:after="100" w:afterAutospacing="1"/>
              <w:jc w:val="center"/>
              <w:rPr>
                <w:b/>
                <w:sz w:val="22"/>
                <w:szCs w:val="22"/>
              </w:rPr>
            </w:pPr>
          </w:p>
        </w:tc>
        <w:tc>
          <w:tcPr>
            <w:tcW w:w="810" w:type="dxa"/>
          </w:tcPr>
          <w:p w:rsidR="00B051EB" w:rsidRPr="008573C5" w:rsidRDefault="00B051EB" w:rsidP="00A23403">
            <w:pPr>
              <w:spacing w:before="100" w:beforeAutospacing="1" w:after="100" w:afterAutospacing="1"/>
              <w:jc w:val="center"/>
              <w:rPr>
                <w:b/>
                <w:sz w:val="22"/>
                <w:szCs w:val="22"/>
              </w:rPr>
            </w:pPr>
            <w:r w:rsidRPr="008573C5">
              <w:rPr>
                <w:b/>
                <w:sz w:val="22"/>
                <w:szCs w:val="22"/>
              </w:rPr>
              <w:t>SDev</w:t>
            </w:r>
          </w:p>
        </w:tc>
      </w:tr>
      <w:tr w:rsidR="00B051EB" w:rsidRPr="008573C5" w:rsidTr="00A23403">
        <w:tc>
          <w:tcPr>
            <w:tcW w:w="3348" w:type="dxa"/>
            <w:vAlign w:val="bottom"/>
          </w:tcPr>
          <w:p w:rsidR="00B051EB" w:rsidRPr="008573C5" w:rsidRDefault="00B051EB" w:rsidP="00A23403">
            <w:r w:rsidRPr="008573C5">
              <w:t>In practice, listed financial companies in Nigeria fully comply with the disclosure requirements of the local SASs.</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99</w:t>
            </w:r>
          </w:p>
          <w:p w:rsidR="00B051EB" w:rsidRPr="008573C5" w:rsidRDefault="00B051EB" w:rsidP="00A23403">
            <w:pPr>
              <w:spacing w:before="100" w:beforeAutospacing="1" w:after="100" w:afterAutospacing="1"/>
              <w:jc w:val="center"/>
              <w:rPr>
                <w:sz w:val="22"/>
                <w:szCs w:val="22"/>
              </w:rPr>
            </w:pPr>
            <w:r w:rsidRPr="008573C5">
              <w:rPr>
                <w:sz w:val="22"/>
                <w:szCs w:val="22"/>
              </w:rPr>
              <w:t>20.5%</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266</w:t>
            </w:r>
          </w:p>
          <w:p w:rsidR="00B051EB" w:rsidRPr="008573C5" w:rsidRDefault="00B051EB" w:rsidP="00A23403">
            <w:pPr>
              <w:spacing w:before="100" w:beforeAutospacing="1" w:after="100" w:afterAutospacing="1"/>
              <w:jc w:val="center"/>
              <w:rPr>
                <w:sz w:val="22"/>
                <w:szCs w:val="22"/>
              </w:rPr>
            </w:pPr>
            <w:r w:rsidRPr="008573C5">
              <w:rPr>
                <w:sz w:val="22"/>
                <w:szCs w:val="22"/>
              </w:rPr>
              <w:t>55.1%</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77</w:t>
            </w:r>
          </w:p>
          <w:p w:rsidR="00B051EB" w:rsidRPr="008573C5" w:rsidRDefault="00B051EB" w:rsidP="00A23403">
            <w:pPr>
              <w:spacing w:before="100" w:beforeAutospacing="1" w:after="100" w:afterAutospacing="1"/>
              <w:jc w:val="center"/>
              <w:rPr>
                <w:sz w:val="22"/>
                <w:szCs w:val="22"/>
              </w:rPr>
            </w:pPr>
            <w:r w:rsidRPr="008573C5">
              <w:rPr>
                <w:sz w:val="22"/>
                <w:szCs w:val="22"/>
              </w:rPr>
              <w:t xml:space="preserve">15.9% </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33</w:t>
            </w:r>
          </w:p>
          <w:p w:rsidR="00B051EB" w:rsidRPr="008573C5" w:rsidRDefault="00B051EB" w:rsidP="00A23403">
            <w:pPr>
              <w:spacing w:before="100" w:beforeAutospacing="1" w:after="100" w:afterAutospacing="1"/>
              <w:jc w:val="center"/>
              <w:rPr>
                <w:sz w:val="22"/>
                <w:szCs w:val="22"/>
              </w:rPr>
            </w:pPr>
            <w:r w:rsidRPr="008573C5">
              <w:rPr>
                <w:sz w:val="22"/>
                <w:szCs w:val="22"/>
              </w:rPr>
              <w:t>6.8%</w:t>
            </w:r>
          </w:p>
        </w:tc>
        <w:tc>
          <w:tcPr>
            <w:tcW w:w="1170" w:type="dxa"/>
          </w:tcPr>
          <w:p w:rsidR="00B051EB" w:rsidRPr="008573C5" w:rsidRDefault="00B051EB" w:rsidP="00A23403">
            <w:pPr>
              <w:spacing w:before="100" w:beforeAutospacing="1" w:after="100" w:afterAutospacing="1"/>
              <w:jc w:val="center"/>
              <w:rPr>
                <w:sz w:val="22"/>
                <w:szCs w:val="22"/>
              </w:rPr>
            </w:pPr>
            <w:r w:rsidRPr="008573C5">
              <w:rPr>
                <w:sz w:val="22"/>
                <w:szCs w:val="22"/>
              </w:rPr>
              <w:t>475</w:t>
            </w:r>
          </w:p>
          <w:p w:rsidR="00B051EB" w:rsidRPr="008573C5" w:rsidRDefault="00B051EB" w:rsidP="00A23403">
            <w:pPr>
              <w:spacing w:before="100" w:beforeAutospacing="1" w:after="100" w:afterAutospacing="1"/>
              <w:jc w:val="center"/>
              <w:rPr>
                <w:sz w:val="22"/>
                <w:szCs w:val="22"/>
              </w:rPr>
            </w:pPr>
            <w:r w:rsidRPr="008573C5">
              <w:rPr>
                <w:sz w:val="22"/>
                <w:szCs w:val="22"/>
              </w:rPr>
              <w:t>98.3%</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2.91</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.801</w:t>
            </w:r>
          </w:p>
        </w:tc>
      </w:tr>
      <w:tr w:rsidR="00B051EB" w:rsidRPr="008573C5" w:rsidTr="00A23403">
        <w:tc>
          <w:tcPr>
            <w:tcW w:w="3348" w:type="dxa"/>
            <w:vAlign w:val="bottom"/>
          </w:tcPr>
          <w:p w:rsidR="00B051EB" w:rsidRPr="008573C5" w:rsidRDefault="00B051EB" w:rsidP="00A23403">
            <w:r w:rsidRPr="008573C5">
              <w:t>In practice, listed non-financial companies in Nigeria fully comply with the disclosure requirements of the local SASs.</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56</w:t>
            </w:r>
          </w:p>
          <w:p w:rsidR="00B051EB" w:rsidRPr="008573C5" w:rsidRDefault="00B051EB" w:rsidP="00A23403">
            <w:pPr>
              <w:spacing w:before="100" w:beforeAutospacing="1" w:after="100" w:afterAutospacing="1"/>
              <w:jc w:val="center"/>
              <w:rPr>
                <w:sz w:val="22"/>
                <w:szCs w:val="22"/>
              </w:rPr>
            </w:pPr>
            <w:r w:rsidRPr="008573C5">
              <w:rPr>
                <w:sz w:val="22"/>
                <w:szCs w:val="22"/>
              </w:rPr>
              <w:t>11.6%</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219</w:t>
            </w:r>
          </w:p>
          <w:p w:rsidR="00B051EB" w:rsidRPr="008573C5" w:rsidRDefault="00B051EB" w:rsidP="00A23403">
            <w:pPr>
              <w:spacing w:before="100" w:beforeAutospacing="1" w:after="100" w:afterAutospacing="1"/>
              <w:jc w:val="center"/>
              <w:rPr>
                <w:sz w:val="22"/>
                <w:szCs w:val="22"/>
              </w:rPr>
            </w:pPr>
            <w:r w:rsidRPr="008573C5">
              <w:rPr>
                <w:sz w:val="22"/>
                <w:szCs w:val="22"/>
              </w:rPr>
              <w:t>45.3%</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162</w:t>
            </w:r>
          </w:p>
          <w:p w:rsidR="00B051EB" w:rsidRPr="008573C5" w:rsidRDefault="00B051EB" w:rsidP="00A23403">
            <w:pPr>
              <w:spacing w:before="100" w:beforeAutospacing="1" w:after="100" w:afterAutospacing="1"/>
              <w:jc w:val="center"/>
              <w:rPr>
                <w:sz w:val="22"/>
                <w:szCs w:val="22"/>
              </w:rPr>
            </w:pPr>
            <w:r w:rsidRPr="008573C5">
              <w:rPr>
                <w:sz w:val="22"/>
                <w:szCs w:val="22"/>
              </w:rPr>
              <w:t>33.5%</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36</w:t>
            </w:r>
          </w:p>
          <w:p w:rsidR="00B051EB" w:rsidRPr="008573C5" w:rsidRDefault="00B051EB" w:rsidP="00A23403">
            <w:pPr>
              <w:spacing w:before="100" w:beforeAutospacing="1" w:after="100" w:afterAutospacing="1"/>
              <w:jc w:val="center"/>
              <w:rPr>
                <w:sz w:val="22"/>
                <w:szCs w:val="22"/>
              </w:rPr>
            </w:pPr>
            <w:r w:rsidRPr="008573C5">
              <w:rPr>
                <w:sz w:val="22"/>
                <w:szCs w:val="22"/>
              </w:rPr>
              <w:t>7.5%</w:t>
            </w:r>
          </w:p>
        </w:tc>
        <w:tc>
          <w:tcPr>
            <w:tcW w:w="1170" w:type="dxa"/>
          </w:tcPr>
          <w:p w:rsidR="00B051EB" w:rsidRPr="008573C5" w:rsidRDefault="00B051EB" w:rsidP="00A23403">
            <w:pPr>
              <w:spacing w:before="100" w:beforeAutospacing="1" w:after="100" w:afterAutospacing="1"/>
              <w:jc w:val="center"/>
              <w:rPr>
                <w:sz w:val="22"/>
                <w:szCs w:val="22"/>
              </w:rPr>
            </w:pPr>
            <w:r w:rsidRPr="008573C5">
              <w:rPr>
                <w:sz w:val="22"/>
                <w:szCs w:val="22"/>
              </w:rPr>
              <w:t>473</w:t>
            </w:r>
          </w:p>
          <w:p w:rsidR="00B051EB" w:rsidRPr="008573C5" w:rsidRDefault="00B051EB" w:rsidP="00A23403">
            <w:pPr>
              <w:spacing w:before="100" w:beforeAutospacing="1" w:after="100" w:afterAutospacing="1"/>
              <w:jc w:val="center"/>
              <w:rPr>
                <w:sz w:val="22"/>
                <w:szCs w:val="22"/>
              </w:rPr>
            </w:pPr>
            <w:r w:rsidRPr="008573C5">
              <w:rPr>
                <w:sz w:val="22"/>
                <w:szCs w:val="22"/>
              </w:rPr>
              <w:t>97.9%</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2.62</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.791</w:t>
            </w:r>
          </w:p>
        </w:tc>
      </w:tr>
      <w:tr w:rsidR="00B051EB" w:rsidRPr="008573C5" w:rsidTr="00A23403">
        <w:trPr>
          <w:trHeight w:val="782"/>
        </w:trPr>
        <w:tc>
          <w:tcPr>
            <w:tcW w:w="3348" w:type="dxa"/>
          </w:tcPr>
          <w:p w:rsidR="00B051EB" w:rsidRPr="008573C5" w:rsidRDefault="00B051EB" w:rsidP="00A23403">
            <w:pPr>
              <w:rPr>
                <w:sz w:val="22"/>
                <w:szCs w:val="22"/>
              </w:rPr>
            </w:pPr>
            <w:r w:rsidRPr="008573C5">
              <w:t>Where there is a conflict between SAS and IAS/IFRS disclosures, listed companies usually apply SAS</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95</w:t>
            </w:r>
          </w:p>
          <w:p w:rsidR="00B051EB" w:rsidRPr="008573C5" w:rsidRDefault="00B051EB" w:rsidP="00A23403">
            <w:pPr>
              <w:spacing w:before="100" w:beforeAutospacing="1" w:after="100" w:afterAutospacing="1"/>
              <w:jc w:val="center"/>
              <w:rPr>
                <w:sz w:val="22"/>
                <w:szCs w:val="22"/>
              </w:rPr>
            </w:pPr>
            <w:r w:rsidRPr="008573C5">
              <w:rPr>
                <w:sz w:val="22"/>
                <w:szCs w:val="22"/>
              </w:rPr>
              <w:t>19.7%</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283</w:t>
            </w:r>
          </w:p>
          <w:p w:rsidR="00B051EB" w:rsidRPr="008573C5" w:rsidRDefault="00B051EB" w:rsidP="00A23403">
            <w:pPr>
              <w:spacing w:before="100" w:beforeAutospacing="1" w:after="100" w:afterAutospacing="1"/>
              <w:jc w:val="center"/>
              <w:rPr>
                <w:sz w:val="22"/>
                <w:szCs w:val="22"/>
              </w:rPr>
            </w:pPr>
            <w:r w:rsidRPr="008573C5">
              <w:rPr>
                <w:sz w:val="22"/>
                <w:szCs w:val="22"/>
              </w:rPr>
              <w:t>58.6%</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67</w:t>
            </w:r>
          </w:p>
          <w:p w:rsidR="00B051EB" w:rsidRPr="008573C5" w:rsidRDefault="00B051EB" w:rsidP="00A23403">
            <w:pPr>
              <w:spacing w:before="100" w:beforeAutospacing="1" w:after="100" w:afterAutospacing="1"/>
              <w:jc w:val="center"/>
              <w:rPr>
                <w:sz w:val="22"/>
                <w:szCs w:val="22"/>
              </w:rPr>
            </w:pPr>
            <w:r w:rsidRPr="008573C5">
              <w:rPr>
                <w:sz w:val="22"/>
                <w:szCs w:val="22"/>
              </w:rPr>
              <w:t>13.9%</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23</w:t>
            </w:r>
          </w:p>
          <w:p w:rsidR="00B051EB" w:rsidRPr="008573C5" w:rsidRDefault="00B051EB" w:rsidP="00A23403">
            <w:pPr>
              <w:spacing w:before="100" w:beforeAutospacing="1" w:after="100" w:afterAutospacing="1"/>
              <w:jc w:val="center"/>
              <w:rPr>
                <w:sz w:val="22"/>
                <w:szCs w:val="22"/>
              </w:rPr>
            </w:pPr>
            <w:r w:rsidRPr="008573C5">
              <w:rPr>
                <w:sz w:val="22"/>
                <w:szCs w:val="22"/>
              </w:rPr>
              <w:t>4.8%</w:t>
            </w:r>
          </w:p>
        </w:tc>
        <w:tc>
          <w:tcPr>
            <w:tcW w:w="1170" w:type="dxa"/>
          </w:tcPr>
          <w:p w:rsidR="00B051EB" w:rsidRPr="008573C5" w:rsidRDefault="00B051EB" w:rsidP="00A23403">
            <w:pPr>
              <w:spacing w:before="100" w:beforeAutospacing="1" w:after="100" w:afterAutospacing="1"/>
              <w:jc w:val="center"/>
              <w:rPr>
                <w:sz w:val="22"/>
                <w:szCs w:val="22"/>
              </w:rPr>
            </w:pPr>
            <w:r w:rsidRPr="008573C5">
              <w:rPr>
                <w:sz w:val="22"/>
                <w:szCs w:val="22"/>
              </w:rPr>
              <w:t>468</w:t>
            </w:r>
          </w:p>
          <w:p w:rsidR="00B051EB" w:rsidRPr="008573C5" w:rsidRDefault="00B051EB" w:rsidP="00A23403">
            <w:pPr>
              <w:spacing w:before="100" w:beforeAutospacing="1" w:after="100" w:afterAutospacing="1"/>
              <w:jc w:val="center"/>
              <w:rPr>
                <w:sz w:val="22"/>
                <w:szCs w:val="22"/>
              </w:rPr>
            </w:pPr>
            <w:r w:rsidRPr="008573C5">
              <w:rPr>
                <w:sz w:val="22"/>
                <w:szCs w:val="22"/>
              </w:rPr>
              <w:t>96.9%</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2.96</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.736</w:t>
            </w:r>
          </w:p>
        </w:tc>
      </w:tr>
      <w:tr w:rsidR="00B051EB" w:rsidRPr="008573C5" w:rsidTr="00A23403">
        <w:tc>
          <w:tcPr>
            <w:tcW w:w="3348" w:type="dxa"/>
          </w:tcPr>
          <w:p w:rsidR="00B051EB" w:rsidRPr="008573C5" w:rsidRDefault="00B051EB" w:rsidP="00A23403">
            <w:r w:rsidRPr="008573C5">
              <w:t>Where there is a conflict between SAS and IAS/IFRS disclosures, listed companies usually apply IAS/IFRS.</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32</w:t>
            </w:r>
          </w:p>
          <w:p w:rsidR="00B051EB" w:rsidRPr="008573C5" w:rsidRDefault="00B051EB" w:rsidP="00A23403">
            <w:pPr>
              <w:spacing w:before="100" w:beforeAutospacing="1" w:after="100" w:afterAutospacing="1"/>
              <w:jc w:val="center"/>
              <w:rPr>
                <w:sz w:val="22"/>
                <w:szCs w:val="22"/>
              </w:rPr>
            </w:pPr>
            <w:r w:rsidRPr="008573C5">
              <w:rPr>
                <w:sz w:val="22"/>
                <w:szCs w:val="22"/>
              </w:rPr>
              <w:t>6.6%</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115</w:t>
            </w:r>
          </w:p>
          <w:p w:rsidR="00B051EB" w:rsidRPr="008573C5" w:rsidRDefault="00B051EB" w:rsidP="00A23403">
            <w:pPr>
              <w:spacing w:before="100" w:beforeAutospacing="1" w:after="100" w:afterAutospacing="1"/>
              <w:jc w:val="center"/>
              <w:rPr>
                <w:sz w:val="22"/>
                <w:szCs w:val="22"/>
              </w:rPr>
            </w:pPr>
            <w:r w:rsidRPr="008573C5">
              <w:rPr>
                <w:sz w:val="22"/>
                <w:szCs w:val="22"/>
              </w:rPr>
              <w:t>23.8%</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220</w:t>
            </w:r>
          </w:p>
          <w:p w:rsidR="00B051EB" w:rsidRPr="008573C5" w:rsidRDefault="00B051EB" w:rsidP="00A23403">
            <w:pPr>
              <w:spacing w:before="100" w:beforeAutospacing="1" w:after="100" w:afterAutospacing="1"/>
              <w:jc w:val="center"/>
              <w:rPr>
                <w:sz w:val="22"/>
                <w:szCs w:val="22"/>
              </w:rPr>
            </w:pPr>
            <w:r w:rsidRPr="008573C5">
              <w:rPr>
                <w:sz w:val="22"/>
                <w:szCs w:val="22"/>
              </w:rPr>
              <w:t>45.5%</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100</w:t>
            </w:r>
          </w:p>
          <w:p w:rsidR="00B051EB" w:rsidRPr="008573C5" w:rsidRDefault="00B051EB" w:rsidP="00A23403">
            <w:pPr>
              <w:spacing w:before="100" w:beforeAutospacing="1" w:after="100" w:afterAutospacing="1"/>
              <w:jc w:val="center"/>
              <w:rPr>
                <w:sz w:val="22"/>
                <w:szCs w:val="22"/>
              </w:rPr>
            </w:pPr>
            <w:r w:rsidRPr="008573C5">
              <w:rPr>
                <w:sz w:val="22"/>
                <w:szCs w:val="22"/>
              </w:rPr>
              <w:t>20.7%</w:t>
            </w:r>
          </w:p>
        </w:tc>
        <w:tc>
          <w:tcPr>
            <w:tcW w:w="1170" w:type="dxa"/>
          </w:tcPr>
          <w:p w:rsidR="00B051EB" w:rsidRPr="008573C5" w:rsidRDefault="00B051EB" w:rsidP="00A23403">
            <w:pPr>
              <w:spacing w:before="100" w:beforeAutospacing="1" w:after="100" w:afterAutospacing="1"/>
              <w:jc w:val="center"/>
              <w:rPr>
                <w:sz w:val="22"/>
                <w:szCs w:val="22"/>
              </w:rPr>
            </w:pPr>
            <w:r w:rsidRPr="008573C5">
              <w:rPr>
                <w:sz w:val="22"/>
                <w:szCs w:val="22"/>
              </w:rPr>
              <w:t>467</w:t>
            </w:r>
          </w:p>
          <w:p w:rsidR="00B051EB" w:rsidRPr="008573C5" w:rsidRDefault="00B051EB" w:rsidP="00A23403">
            <w:pPr>
              <w:spacing w:before="100" w:beforeAutospacing="1" w:after="100" w:afterAutospacing="1"/>
              <w:jc w:val="center"/>
              <w:rPr>
                <w:sz w:val="22"/>
                <w:szCs w:val="22"/>
              </w:rPr>
            </w:pPr>
            <w:r w:rsidRPr="008573C5">
              <w:rPr>
                <w:sz w:val="22"/>
                <w:szCs w:val="22"/>
              </w:rPr>
              <w:t>96.7%</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2.17</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.841</w:t>
            </w:r>
          </w:p>
        </w:tc>
      </w:tr>
      <w:tr w:rsidR="00B051EB" w:rsidRPr="008573C5" w:rsidTr="00A23403">
        <w:tc>
          <w:tcPr>
            <w:tcW w:w="3348" w:type="dxa"/>
          </w:tcPr>
          <w:p w:rsidR="00B051EB" w:rsidRPr="008573C5" w:rsidRDefault="00B051EB" w:rsidP="00A23403">
            <w:pPr>
              <w:rPr>
                <w:sz w:val="22"/>
                <w:szCs w:val="22"/>
              </w:rPr>
            </w:pPr>
            <w:r w:rsidRPr="008573C5">
              <w:t>In areas where there are no local accounting standards, relevant IASs/IFRSs are fully applied by listed financial companies.</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102</w:t>
            </w:r>
          </w:p>
          <w:p w:rsidR="00B051EB" w:rsidRPr="008573C5" w:rsidRDefault="00B051EB" w:rsidP="00A23403">
            <w:pPr>
              <w:spacing w:before="100" w:beforeAutospacing="1" w:after="100" w:afterAutospacing="1"/>
              <w:jc w:val="center"/>
              <w:rPr>
                <w:sz w:val="22"/>
                <w:szCs w:val="22"/>
              </w:rPr>
            </w:pPr>
            <w:r w:rsidRPr="008573C5">
              <w:rPr>
                <w:sz w:val="22"/>
                <w:szCs w:val="22"/>
              </w:rPr>
              <w:t>21.1%</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259</w:t>
            </w:r>
          </w:p>
          <w:p w:rsidR="00B051EB" w:rsidRPr="008573C5" w:rsidRDefault="00B051EB" w:rsidP="00A23403">
            <w:pPr>
              <w:spacing w:before="100" w:beforeAutospacing="1" w:after="100" w:afterAutospacing="1"/>
              <w:jc w:val="center"/>
              <w:rPr>
                <w:sz w:val="22"/>
                <w:szCs w:val="22"/>
              </w:rPr>
            </w:pPr>
            <w:r w:rsidRPr="008573C5">
              <w:rPr>
                <w:sz w:val="22"/>
                <w:szCs w:val="22"/>
              </w:rPr>
              <w:t>53.6%</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81</w:t>
            </w:r>
          </w:p>
          <w:p w:rsidR="00B051EB" w:rsidRPr="008573C5" w:rsidRDefault="00B051EB" w:rsidP="00A23403">
            <w:pPr>
              <w:spacing w:before="100" w:beforeAutospacing="1" w:after="100" w:afterAutospacing="1"/>
              <w:jc w:val="center"/>
              <w:rPr>
                <w:sz w:val="22"/>
                <w:szCs w:val="22"/>
              </w:rPr>
            </w:pPr>
            <w:r w:rsidRPr="008573C5">
              <w:rPr>
                <w:sz w:val="22"/>
                <w:szCs w:val="22"/>
              </w:rPr>
              <w:t>16.8%</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15</w:t>
            </w:r>
          </w:p>
          <w:p w:rsidR="00B051EB" w:rsidRPr="008573C5" w:rsidRDefault="00B051EB" w:rsidP="00A23403">
            <w:pPr>
              <w:spacing w:before="100" w:beforeAutospacing="1" w:after="100" w:afterAutospacing="1"/>
              <w:jc w:val="center"/>
              <w:rPr>
                <w:sz w:val="22"/>
                <w:szCs w:val="22"/>
              </w:rPr>
            </w:pPr>
            <w:r w:rsidRPr="008573C5">
              <w:rPr>
                <w:sz w:val="22"/>
                <w:szCs w:val="22"/>
              </w:rPr>
              <w:t>3.1%</w:t>
            </w:r>
          </w:p>
        </w:tc>
        <w:tc>
          <w:tcPr>
            <w:tcW w:w="1170" w:type="dxa"/>
          </w:tcPr>
          <w:p w:rsidR="00B051EB" w:rsidRPr="008573C5" w:rsidRDefault="00B051EB" w:rsidP="00A23403">
            <w:pPr>
              <w:spacing w:before="100" w:beforeAutospacing="1" w:after="100" w:afterAutospacing="1"/>
              <w:jc w:val="center"/>
              <w:rPr>
                <w:sz w:val="22"/>
                <w:szCs w:val="22"/>
              </w:rPr>
            </w:pPr>
            <w:r w:rsidRPr="008573C5">
              <w:rPr>
                <w:sz w:val="22"/>
                <w:szCs w:val="22"/>
              </w:rPr>
              <w:t>457</w:t>
            </w:r>
          </w:p>
          <w:p w:rsidR="00B051EB" w:rsidRPr="008573C5" w:rsidRDefault="00B051EB" w:rsidP="00A23403">
            <w:pPr>
              <w:spacing w:before="100" w:beforeAutospacing="1" w:after="100" w:afterAutospacing="1"/>
              <w:jc w:val="center"/>
              <w:rPr>
                <w:sz w:val="22"/>
                <w:szCs w:val="22"/>
              </w:rPr>
            </w:pPr>
            <w:r w:rsidRPr="008573C5">
              <w:rPr>
                <w:sz w:val="22"/>
                <w:szCs w:val="22"/>
              </w:rPr>
              <w:t>94.6%</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2.98</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.730</w:t>
            </w:r>
          </w:p>
        </w:tc>
      </w:tr>
      <w:tr w:rsidR="00B051EB" w:rsidRPr="008573C5" w:rsidTr="00A23403">
        <w:tc>
          <w:tcPr>
            <w:tcW w:w="3348" w:type="dxa"/>
          </w:tcPr>
          <w:p w:rsidR="00B051EB" w:rsidRPr="008573C5" w:rsidRDefault="00B051EB" w:rsidP="00A23403">
            <w:r w:rsidRPr="008573C5">
              <w:t>In areas where there are no local accounting standards, relevant IASs/IFRSs are fully applied by listed non-financial companies.</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57</w:t>
            </w:r>
          </w:p>
          <w:p w:rsidR="00B051EB" w:rsidRPr="008573C5" w:rsidRDefault="00B051EB" w:rsidP="00A23403">
            <w:pPr>
              <w:spacing w:before="100" w:beforeAutospacing="1" w:after="100" w:afterAutospacing="1"/>
              <w:jc w:val="center"/>
              <w:rPr>
                <w:sz w:val="22"/>
                <w:szCs w:val="22"/>
              </w:rPr>
            </w:pPr>
            <w:r w:rsidRPr="008573C5">
              <w:rPr>
                <w:sz w:val="22"/>
                <w:szCs w:val="22"/>
              </w:rPr>
              <w:t>11.8%</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216</w:t>
            </w:r>
          </w:p>
          <w:p w:rsidR="00B051EB" w:rsidRPr="008573C5" w:rsidRDefault="00B051EB" w:rsidP="00A23403">
            <w:pPr>
              <w:spacing w:before="100" w:beforeAutospacing="1" w:after="100" w:afterAutospacing="1"/>
              <w:jc w:val="center"/>
              <w:rPr>
                <w:sz w:val="22"/>
                <w:szCs w:val="22"/>
              </w:rPr>
            </w:pPr>
            <w:r w:rsidRPr="008573C5">
              <w:rPr>
                <w:sz w:val="22"/>
                <w:szCs w:val="22"/>
              </w:rPr>
              <w:t>44.7%</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156</w:t>
            </w:r>
          </w:p>
          <w:p w:rsidR="00B051EB" w:rsidRPr="008573C5" w:rsidRDefault="00B051EB" w:rsidP="00A23403">
            <w:pPr>
              <w:spacing w:before="100" w:beforeAutospacing="1" w:after="100" w:afterAutospacing="1"/>
              <w:jc w:val="center"/>
              <w:rPr>
                <w:sz w:val="22"/>
                <w:szCs w:val="22"/>
              </w:rPr>
            </w:pPr>
            <w:r w:rsidRPr="008573C5">
              <w:rPr>
                <w:sz w:val="22"/>
                <w:szCs w:val="22"/>
              </w:rPr>
              <w:t>32.3%</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29</w:t>
            </w:r>
          </w:p>
          <w:p w:rsidR="00B051EB" w:rsidRPr="008573C5" w:rsidRDefault="00B051EB" w:rsidP="00A23403">
            <w:pPr>
              <w:spacing w:before="100" w:beforeAutospacing="1" w:after="100" w:afterAutospacing="1"/>
              <w:jc w:val="center"/>
              <w:rPr>
                <w:sz w:val="22"/>
                <w:szCs w:val="22"/>
              </w:rPr>
            </w:pPr>
            <w:r w:rsidRPr="008573C5">
              <w:rPr>
                <w:sz w:val="22"/>
                <w:szCs w:val="22"/>
              </w:rPr>
              <w:t>6.0%</w:t>
            </w:r>
          </w:p>
        </w:tc>
        <w:tc>
          <w:tcPr>
            <w:tcW w:w="1170" w:type="dxa"/>
          </w:tcPr>
          <w:p w:rsidR="00B051EB" w:rsidRPr="008573C5" w:rsidRDefault="00B051EB" w:rsidP="00A23403">
            <w:pPr>
              <w:spacing w:before="100" w:beforeAutospacing="1" w:after="100" w:afterAutospacing="1"/>
              <w:jc w:val="center"/>
              <w:rPr>
                <w:sz w:val="22"/>
                <w:szCs w:val="22"/>
              </w:rPr>
            </w:pPr>
            <w:r w:rsidRPr="008573C5">
              <w:rPr>
                <w:sz w:val="22"/>
                <w:szCs w:val="22"/>
              </w:rPr>
              <w:t>458</w:t>
            </w:r>
          </w:p>
          <w:p w:rsidR="00B051EB" w:rsidRPr="008573C5" w:rsidRDefault="00B051EB" w:rsidP="00A23403">
            <w:pPr>
              <w:spacing w:before="100" w:beforeAutospacing="1" w:after="100" w:afterAutospacing="1"/>
              <w:jc w:val="center"/>
              <w:rPr>
                <w:sz w:val="22"/>
                <w:szCs w:val="22"/>
              </w:rPr>
            </w:pPr>
            <w:r w:rsidRPr="008573C5">
              <w:rPr>
                <w:sz w:val="22"/>
                <w:szCs w:val="22"/>
              </w:rPr>
              <w:t>94.8%</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2.66</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.776</w:t>
            </w:r>
          </w:p>
        </w:tc>
      </w:tr>
      <w:tr w:rsidR="00B051EB" w:rsidRPr="008573C5" w:rsidTr="00A23403">
        <w:tc>
          <w:tcPr>
            <w:tcW w:w="3348" w:type="dxa"/>
            <w:vAlign w:val="bottom"/>
          </w:tcPr>
          <w:p w:rsidR="00B051EB" w:rsidRPr="008573C5" w:rsidRDefault="00B051EB" w:rsidP="00A23403">
            <w:r w:rsidRPr="008573C5">
              <w:t>Listed companies with multinational affiliation fully apply IASs/IFRSs.</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138</w:t>
            </w:r>
          </w:p>
          <w:p w:rsidR="00B051EB" w:rsidRPr="008573C5" w:rsidRDefault="00B051EB" w:rsidP="00A23403">
            <w:pPr>
              <w:spacing w:before="100" w:beforeAutospacing="1" w:after="100" w:afterAutospacing="1"/>
              <w:jc w:val="center"/>
              <w:rPr>
                <w:sz w:val="22"/>
                <w:szCs w:val="22"/>
              </w:rPr>
            </w:pPr>
            <w:r w:rsidRPr="008573C5">
              <w:rPr>
                <w:sz w:val="22"/>
                <w:szCs w:val="22"/>
              </w:rPr>
              <w:t>28.6%</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221</w:t>
            </w:r>
          </w:p>
          <w:p w:rsidR="00B051EB" w:rsidRPr="008573C5" w:rsidRDefault="00B051EB" w:rsidP="00A23403">
            <w:pPr>
              <w:spacing w:before="100" w:beforeAutospacing="1" w:after="100" w:afterAutospacing="1"/>
              <w:jc w:val="center"/>
              <w:rPr>
                <w:sz w:val="22"/>
                <w:szCs w:val="22"/>
              </w:rPr>
            </w:pPr>
            <w:r w:rsidRPr="008573C5">
              <w:rPr>
                <w:sz w:val="22"/>
                <w:szCs w:val="22"/>
              </w:rPr>
              <w:t>45.8%</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61</w:t>
            </w:r>
          </w:p>
          <w:p w:rsidR="00B051EB" w:rsidRPr="008573C5" w:rsidRDefault="00B051EB" w:rsidP="00A23403">
            <w:pPr>
              <w:spacing w:before="100" w:beforeAutospacing="1" w:after="100" w:afterAutospacing="1"/>
              <w:jc w:val="center"/>
              <w:rPr>
                <w:sz w:val="22"/>
                <w:szCs w:val="22"/>
              </w:rPr>
            </w:pPr>
            <w:r w:rsidRPr="008573C5">
              <w:rPr>
                <w:sz w:val="22"/>
                <w:szCs w:val="22"/>
              </w:rPr>
              <w:t>12.6%</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13</w:t>
            </w:r>
          </w:p>
          <w:p w:rsidR="00B051EB" w:rsidRPr="008573C5" w:rsidRDefault="00B051EB" w:rsidP="00A23403">
            <w:pPr>
              <w:spacing w:before="100" w:beforeAutospacing="1" w:after="100" w:afterAutospacing="1"/>
              <w:jc w:val="center"/>
              <w:rPr>
                <w:sz w:val="22"/>
                <w:szCs w:val="22"/>
              </w:rPr>
            </w:pPr>
            <w:r w:rsidRPr="008573C5">
              <w:rPr>
                <w:sz w:val="22"/>
                <w:szCs w:val="22"/>
              </w:rPr>
              <w:t>2.7%</w:t>
            </w:r>
          </w:p>
        </w:tc>
        <w:tc>
          <w:tcPr>
            <w:tcW w:w="1170" w:type="dxa"/>
          </w:tcPr>
          <w:p w:rsidR="00B051EB" w:rsidRPr="008573C5" w:rsidRDefault="00B051EB" w:rsidP="00A23403">
            <w:pPr>
              <w:spacing w:before="100" w:beforeAutospacing="1" w:after="100" w:afterAutospacing="1"/>
              <w:jc w:val="center"/>
              <w:rPr>
                <w:sz w:val="22"/>
                <w:szCs w:val="22"/>
              </w:rPr>
            </w:pPr>
            <w:r w:rsidRPr="008573C5">
              <w:rPr>
                <w:sz w:val="22"/>
                <w:szCs w:val="22"/>
              </w:rPr>
              <w:t>433</w:t>
            </w:r>
          </w:p>
          <w:p w:rsidR="00B051EB" w:rsidRPr="008573C5" w:rsidRDefault="00B051EB" w:rsidP="00A23403">
            <w:pPr>
              <w:spacing w:before="100" w:beforeAutospacing="1" w:after="100" w:afterAutospacing="1"/>
              <w:jc w:val="center"/>
              <w:rPr>
                <w:sz w:val="22"/>
                <w:szCs w:val="22"/>
              </w:rPr>
            </w:pPr>
            <w:r w:rsidRPr="008573C5">
              <w:rPr>
                <w:sz w:val="22"/>
                <w:szCs w:val="22"/>
              </w:rPr>
              <w:t>89.6%</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3.12</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.753</w:t>
            </w:r>
          </w:p>
        </w:tc>
      </w:tr>
    </w:tbl>
    <w:p w:rsidR="00B85521" w:rsidRPr="008573C5" w:rsidRDefault="00B85521" w:rsidP="00B85521">
      <w:pPr>
        <w:autoSpaceDE w:val="0"/>
        <w:autoSpaceDN w:val="0"/>
        <w:adjustRightInd w:val="0"/>
        <w:jc w:val="center"/>
        <w:rPr>
          <w:rFonts w:eastAsia="Calibri"/>
          <w:b/>
          <w:bCs/>
        </w:rPr>
      </w:pPr>
      <w:r w:rsidRPr="008573C5">
        <w:rPr>
          <w:rFonts w:eastAsia="Calibri"/>
          <w:b/>
          <w:bCs/>
        </w:rPr>
        <w:t>Source: Field Study (2009)</w:t>
      </w:r>
    </w:p>
    <w:p w:rsidR="00B051EB" w:rsidRPr="008573C5" w:rsidRDefault="00B051EB" w:rsidP="00B051EB">
      <w:pPr>
        <w:autoSpaceDE w:val="0"/>
        <w:autoSpaceDN w:val="0"/>
        <w:adjustRightInd w:val="0"/>
        <w:jc w:val="center"/>
        <w:rPr>
          <w:rFonts w:eastAsia="Calibri"/>
          <w:bCs/>
        </w:rPr>
      </w:pPr>
    </w:p>
    <w:p w:rsidR="00B051EB" w:rsidRPr="008573C5" w:rsidRDefault="00B051EB" w:rsidP="00B051EB">
      <w:pPr>
        <w:spacing w:line="480" w:lineRule="auto"/>
        <w:jc w:val="both"/>
        <w:rPr>
          <w:lang w:val="en-GB"/>
        </w:rPr>
      </w:pPr>
    </w:p>
    <w:p w:rsidR="00B051EB" w:rsidRPr="008573C5" w:rsidRDefault="00B051EB" w:rsidP="00B051EB">
      <w:pPr>
        <w:spacing w:line="360" w:lineRule="auto"/>
        <w:ind w:right="-781"/>
        <w:jc w:val="both"/>
        <w:rPr>
          <w:lang w:val="en-GB"/>
        </w:rPr>
      </w:pPr>
      <w:r w:rsidRPr="008573C5">
        <w:rPr>
          <w:lang w:val="en-GB"/>
        </w:rPr>
        <w:t xml:space="preserve">Regarding </w:t>
      </w:r>
      <w:r w:rsidR="00353C13" w:rsidRPr="008573C5">
        <w:rPr>
          <w:lang w:val="en-GB"/>
        </w:rPr>
        <w:t>item</w:t>
      </w:r>
      <w:r w:rsidRPr="008573C5">
        <w:rPr>
          <w:lang w:val="en-GB"/>
        </w:rPr>
        <w:t xml:space="preserve"> 9, Table 4.</w:t>
      </w:r>
      <w:r w:rsidR="00CC76FF" w:rsidRPr="008573C5">
        <w:rPr>
          <w:lang w:val="en-GB"/>
        </w:rPr>
        <w:t>3</w:t>
      </w:r>
      <w:r w:rsidR="001B2A6B" w:rsidRPr="008573C5">
        <w:rPr>
          <w:lang w:val="en-GB"/>
        </w:rPr>
        <w:t>2</w:t>
      </w:r>
      <w:r w:rsidRPr="008573C5">
        <w:rPr>
          <w:lang w:val="en-GB"/>
        </w:rPr>
        <w:t xml:space="preserve"> above shows that 78.3% (58.6% agree and 19.7% strongly agree) of the respondents are affirmative that listed companies appl</w:t>
      </w:r>
      <w:r w:rsidR="003B6863" w:rsidRPr="008573C5">
        <w:rPr>
          <w:lang w:val="en-GB"/>
        </w:rPr>
        <w:t>y</w:t>
      </w:r>
      <w:r w:rsidRPr="008573C5">
        <w:rPr>
          <w:lang w:val="en-GB"/>
        </w:rPr>
        <w:t xml:space="preserve"> SAS where </w:t>
      </w:r>
      <w:r w:rsidR="003B6863" w:rsidRPr="008573C5">
        <w:rPr>
          <w:lang w:val="en-GB"/>
        </w:rPr>
        <w:t xml:space="preserve">there </w:t>
      </w:r>
      <w:r w:rsidRPr="008573C5">
        <w:rPr>
          <w:lang w:val="en-GB"/>
        </w:rPr>
        <w:t xml:space="preserve">are conflicts between SAS and IFRS/IAS, 18.7% (13.9% disagree, 4.8% strongly disagree) are not affirmative, while 3.1% are unsure. This </w:t>
      </w:r>
      <w:r w:rsidR="00BC239C" w:rsidRPr="008573C5">
        <w:rPr>
          <w:lang w:val="en-GB"/>
        </w:rPr>
        <w:t>is in co</w:t>
      </w:r>
      <w:r w:rsidRPr="008573C5">
        <w:rPr>
          <w:lang w:val="en-GB"/>
        </w:rPr>
        <w:t>nformity with the Law (CAMA 1990) that state</w:t>
      </w:r>
      <w:r w:rsidR="00BC239C" w:rsidRPr="008573C5">
        <w:rPr>
          <w:lang w:val="en-GB"/>
        </w:rPr>
        <w:t>s</w:t>
      </w:r>
      <w:r w:rsidRPr="008573C5">
        <w:rPr>
          <w:lang w:val="en-GB"/>
        </w:rPr>
        <w:t xml:space="preserve"> that all Nigerian companies should comply with the Standards issued by the Nigerian Accounting Standard Board.</w:t>
      </w:r>
    </w:p>
    <w:p w:rsidR="00B051EB" w:rsidRPr="008573C5" w:rsidRDefault="00B051EB" w:rsidP="00B051EB">
      <w:pPr>
        <w:spacing w:line="360" w:lineRule="auto"/>
        <w:ind w:right="-781"/>
        <w:jc w:val="both"/>
        <w:rPr>
          <w:lang w:val="en-GB"/>
        </w:rPr>
      </w:pPr>
    </w:p>
    <w:p w:rsidR="00B051EB" w:rsidRPr="008573C5" w:rsidRDefault="00B051EB" w:rsidP="00B051EB">
      <w:pPr>
        <w:spacing w:line="360" w:lineRule="auto"/>
        <w:ind w:right="-781"/>
        <w:jc w:val="both"/>
        <w:rPr>
          <w:lang w:val="en-GB"/>
        </w:rPr>
      </w:pPr>
      <w:r w:rsidRPr="008573C5">
        <w:rPr>
          <w:lang w:val="en-GB"/>
        </w:rPr>
        <w:t>The analysis of t</w:t>
      </w:r>
      <w:r w:rsidR="00353C13" w:rsidRPr="008573C5">
        <w:rPr>
          <w:lang w:val="en-GB"/>
        </w:rPr>
        <w:t>he data generated for item</w:t>
      </w:r>
      <w:r w:rsidRPr="008573C5">
        <w:rPr>
          <w:lang w:val="en-GB"/>
        </w:rPr>
        <w:t xml:space="preserve"> 10 reveals that out of 468 (96.9%) that responded, majority 320 (66.2%) either disagree (45.5%) or strongly disagree (20.7%) to the fact that listed companies will apply the international standard in a case where there is conflict between the national and international standard. 147 (30.4%) were in agreement, while 3.3% were unsure. The weighted average mean is 2.17 and the standard deviation is .841. This buttress</w:t>
      </w:r>
      <w:r w:rsidR="003B6863" w:rsidRPr="008573C5">
        <w:rPr>
          <w:lang w:val="en-GB"/>
        </w:rPr>
        <w:t>es</w:t>
      </w:r>
      <w:r w:rsidRPr="008573C5">
        <w:rPr>
          <w:lang w:val="en-GB"/>
        </w:rPr>
        <w:t xml:space="preserve"> the fact that the national standard is usually followed in occurrences when there </w:t>
      </w:r>
      <w:r w:rsidR="00353C13" w:rsidRPr="008573C5">
        <w:rPr>
          <w:lang w:val="en-GB"/>
        </w:rPr>
        <w:t>is conflict</w:t>
      </w:r>
      <w:r w:rsidRPr="008573C5">
        <w:rPr>
          <w:lang w:val="en-GB"/>
        </w:rPr>
        <w:t xml:space="preserve"> between the national and international standard</w:t>
      </w:r>
      <w:r w:rsidR="00E505E5">
        <w:rPr>
          <w:lang w:val="en-GB"/>
        </w:rPr>
        <w:t>s</w:t>
      </w:r>
      <w:r w:rsidRPr="008573C5">
        <w:rPr>
          <w:lang w:val="en-GB"/>
        </w:rPr>
        <w:t>. This finding agr</w:t>
      </w:r>
      <w:r w:rsidR="00353C13" w:rsidRPr="008573C5">
        <w:rPr>
          <w:lang w:val="en-GB"/>
        </w:rPr>
        <w:t>ees with the finding of item</w:t>
      </w:r>
      <w:r w:rsidRPr="008573C5">
        <w:rPr>
          <w:lang w:val="en-GB"/>
        </w:rPr>
        <w:t xml:space="preserve"> 9 above.</w:t>
      </w:r>
    </w:p>
    <w:p w:rsidR="00B051EB" w:rsidRPr="008573C5" w:rsidRDefault="00B051EB" w:rsidP="00B051EB">
      <w:pPr>
        <w:spacing w:line="360" w:lineRule="auto"/>
        <w:ind w:right="-781"/>
        <w:jc w:val="both"/>
        <w:rPr>
          <w:lang w:val="en-GB"/>
        </w:rPr>
      </w:pPr>
    </w:p>
    <w:p w:rsidR="00B051EB" w:rsidRPr="008573C5" w:rsidRDefault="00353C13" w:rsidP="00B051EB">
      <w:pPr>
        <w:spacing w:line="360" w:lineRule="auto"/>
        <w:ind w:right="-781"/>
        <w:jc w:val="both"/>
        <w:rPr>
          <w:lang w:val="en-GB"/>
        </w:rPr>
      </w:pPr>
      <w:r w:rsidRPr="008573C5">
        <w:t>From the analysis of item</w:t>
      </w:r>
      <w:r w:rsidR="00B051EB" w:rsidRPr="008573C5">
        <w:t xml:space="preserve"> 11 above, majority of the respondents, 361 or 74.7% are affirmative that listed financial companies usually apply relevant IASs/IFRSs in areas where there are no local accounting standards. Those that disagree and strongly disagree are 16.8% and 3.1% respectively. Thus with the weighted average mean of 2.98 which can be approximated to 3 and the standard deviation of </w:t>
      </w:r>
      <w:r w:rsidR="00762068" w:rsidRPr="008573C5">
        <w:t>0</w:t>
      </w:r>
      <w:r w:rsidR="00B051EB" w:rsidRPr="008573C5">
        <w:t xml:space="preserve">.730 we can confirm that the respondents agree that listed financial companies usually apply relevant IFRSs/IASs in areas where there are no local accounting standards.  </w:t>
      </w:r>
    </w:p>
    <w:p w:rsidR="00B051EB" w:rsidRPr="008573C5" w:rsidRDefault="00B051EB" w:rsidP="00B051EB">
      <w:pPr>
        <w:spacing w:line="360" w:lineRule="auto"/>
        <w:ind w:right="-781"/>
        <w:rPr>
          <w:lang w:val="en-GB"/>
        </w:rPr>
      </w:pPr>
    </w:p>
    <w:p w:rsidR="00B051EB" w:rsidRPr="008573C5" w:rsidRDefault="00353C13" w:rsidP="00B051EB">
      <w:pPr>
        <w:spacing w:line="360" w:lineRule="auto"/>
        <w:ind w:right="-781"/>
        <w:jc w:val="both"/>
        <w:rPr>
          <w:lang w:val="en-GB"/>
        </w:rPr>
      </w:pPr>
      <w:r w:rsidRPr="008573C5">
        <w:rPr>
          <w:lang w:val="en-GB"/>
        </w:rPr>
        <w:t>Relating to item</w:t>
      </w:r>
      <w:r w:rsidR="00B051EB" w:rsidRPr="008573C5">
        <w:rPr>
          <w:lang w:val="en-GB"/>
        </w:rPr>
        <w:t xml:space="preserve"> 12</w:t>
      </w:r>
      <w:r w:rsidR="00E505E5">
        <w:rPr>
          <w:lang w:val="en-GB"/>
        </w:rPr>
        <w:t>, analysis reveals that 56.5% a</w:t>
      </w:r>
      <w:r w:rsidR="00B051EB" w:rsidRPr="008573C5">
        <w:rPr>
          <w:lang w:val="en-GB"/>
        </w:rPr>
        <w:t xml:space="preserve">re affirmative that </w:t>
      </w:r>
      <w:r w:rsidR="00B051EB" w:rsidRPr="008573C5">
        <w:t xml:space="preserve">listed non-financial companies usually apply relevant IASs/IFRSs in areas where there are no local accounting standards. 38.3% either disagree or strongly disagree, with a weighted average mean of 2.66 and a standard deviation .776. The variant between the mean of </w:t>
      </w:r>
      <w:r w:rsidR="0099149F" w:rsidRPr="008573C5">
        <w:t>items 11 and 12 confirm</w:t>
      </w:r>
      <w:r w:rsidR="00B051EB" w:rsidRPr="008573C5">
        <w:t xml:space="preserve"> the opinion that listed financial companies usually apply relevant IFRSs/IASs in areas where there are no local accounting standards than the non-financial companies. Due to the strict regulation on the financial sector and intense competition brought about by the reforms in the financial sector they incorporate relevant national and international disclosures more than other sectors.</w:t>
      </w:r>
    </w:p>
    <w:p w:rsidR="00B051EB" w:rsidRPr="008573C5" w:rsidRDefault="00B051EB" w:rsidP="00B051EB">
      <w:pPr>
        <w:spacing w:line="360" w:lineRule="auto"/>
        <w:ind w:right="-781"/>
        <w:rPr>
          <w:lang w:val="en-GB"/>
        </w:rPr>
      </w:pPr>
    </w:p>
    <w:p w:rsidR="00B051EB" w:rsidRPr="008573C5" w:rsidRDefault="00B051EB" w:rsidP="00CC76FF">
      <w:pPr>
        <w:spacing w:line="360" w:lineRule="auto"/>
        <w:ind w:right="-781"/>
        <w:jc w:val="both"/>
      </w:pPr>
      <w:r w:rsidRPr="008573C5">
        <w:rPr>
          <w:lang w:val="en-GB"/>
        </w:rPr>
        <w:t>With regards</w:t>
      </w:r>
      <w:r w:rsidR="00353C13" w:rsidRPr="008573C5">
        <w:rPr>
          <w:lang w:val="en-GB"/>
        </w:rPr>
        <w:t xml:space="preserve"> to item</w:t>
      </w:r>
      <w:r w:rsidRPr="008573C5">
        <w:rPr>
          <w:lang w:val="en-GB"/>
        </w:rPr>
        <w:t xml:space="preserve"> 13, 45.8% or 221 respondents agree to the statement that l</w:t>
      </w:r>
      <w:r w:rsidRPr="008573C5">
        <w:t xml:space="preserve">isted companies with multinational affiliation fully apply IASs/IFRSs. 138 (28.6%) strongly agree, 61 (12.6%) disagree, 13 (2.7%) strongly disagree. The weighted arithmetic mean is 3.12 and the standard deviation is .753. It is evident that multinational organizations in Nigeria do prepare financial statements with international standards for their foreign parent. </w:t>
      </w:r>
    </w:p>
    <w:p w:rsidR="002B4F4C" w:rsidRPr="008573C5" w:rsidRDefault="002B4F4C" w:rsidP="00B051EB">
      <w:pPr>
        <w:rPr>
          <w:b/>
          <w:bCs/>
          <w:sz w:val="28"/>
          <w:szCs w:val="28"/>
        </w:rPr>
      </w:pPr>
    </w:p>
    <w:p w:rsidR="002B4F4C" w:rsidRPr="008573C5" w:rsidRDefault="002B4F4C" w:rsidP="00B051EB">
      <w:pPr>
        <w:rPr>
          <w:b/>
          <w:bCs/>
          <w:sz w:val="28"/>
          <w:szCs w:val="28"/>
        </w:rPr>
      </w:pPr>
    </w:p>
    <w:p w:rsidR="00B051EB" w:rsidRPr="008573C5" w:rsidRDefault="00B051EB" w:rsidP="00B051EB">
      <w:pPr>
        <w:rPr>
          <w:b/>
          <w:sz w:val="28"/>
          <w:szCs w:val="28"/>
        </w:rPr>
      </w:pPr>
      <w:r w:rsidRPr="008573C5">
        <w:rPr>
          <w:b/>
          <w:bCs/>
          <w:sz w:val="28"/>
          <w:szCs w:val="28"/>
        </w:rPr>
        <w:t>4.</w:t>
      </w:r>
      <w:r w:rsidR="004D206D" w:rsidRPr="008573C5">
        <w:rPr>
          <w:b/>
          <w:bCs/>
          <w:sz w:val="28"/>
          <w:szCs w:val="28"/>
        </w:rPr>
        <w:t>3</w:t>
      </w:r>
      <w:r w:rsidRPr="008573C5">
        <w:rPr>
          <w:b/>
          <w:bCs/>
          <w:sz w:val="28"/>
          <w:szCs w:val="28"/>
        </w:rPr>
        <w:t>.3</w:t>
      </w:r>
      <w:r w:rsidRPr="008573C5">
        <w:rPr>
          <w:b/>
          <w:sz w:val="28"/>
          <w:szCs w:val="28"/>
          <w:lang w:val="en-GB"/>
        </w:rPr>
        <w:t xml:space="preserve">: </w:t>
      </w:r>
      <w:r w:rsidRPr="008573C5">
        <w:rPr>
          <w:b/>
          <w:sz w:val="28"/>
          <w:szCs w:val="28"/>
        </w:rPr>
        <w:t>Voluntary disclosure by listed companies.</w:t>
      </w:r>
    </w:p>
    <w:p w:rsidR="00B051EB" w:rsidRPr="008573C5" w:rsidRDefault="00B051EB" w:rsidP="00B051EB"/>
    <w:p w:rsidR="00B051EB" w:rsidRPr="008573C5" w:rsidRDefault="00B051EB" w:rsidP="00B051EB">
      <w:pPr>
        <w:autoSpaceDE w:val="0"/>
        <w:autoSpaceDN w:val="0"/>
        <w:adjustRightInd w:val="0"/>
        <w:spacing w:line="360" w:lineRule="auto"/>
        <w:rPr>
          <w:lang w:val="en-GB"/>
        </w:rPr>
      </w:pPr>
      <w:r w:rsidRPr="008573C5">
        <w:rPr>
          <w:lang w:val="en-GB"/>
        </w:rPr>
        <w:t>T</w:t>
      </w:r>
      <w:r w:rsidR="001A651F" w:rsidRPr="008573C5">
        <w:rPr>
          <w:lang w:val="en-GB"/>
        </w:rPr>
        <w:t>able 4.3</w:t>
      </w:r>
      <w:r w:rsidR="001B2A6B" w:rsidRPr="008573C5">
        <w:rPr>
          <w:lang w:val="en-GB"/>
        </w:rPr>
        <w:t>3</w:t>
      </w:r>
      <w:r w:rsidRPr="008573C5">
        <w:rPr>
          <w:lang w:val="en-GB"/>
        </w:rPr>
        <w:t xml:space="preserve"> presents the results for </w:t>
      </w:r>
      <w:r w:rsidR="00353C13" w:rsidRPr="008573C5">
        <w:rPr>
          <w:lang w:val="en-GB"/>
        </w:rPr>
        <w:t>item</w:t>
      </w:r>
      <w:r w:rsidRPr="008573C5">
        <w:rPr>
          <w:lang w:val="en-GB"/>
        </w:rPr>
        <w:t>s 14 to 18 on voluntary disclosures. It provides answers to Objective 3 and Research question 3.</w:t>
      </w:r>
    </w:p>
    <w:p w:rsidR="00B051EB" w:rsidRPr="008573C5" w:rsidRDefault="00B051EB" w:rsidP="00B051EB">
      <w:pPr>
        <w:ind w:left="720"/>
        <w:jc w:val="both"/>
        <w:rPr>
          <w:lang w:val="en-GB"/>
        </w:rPr>
      </w:pPr>
    </w:p>
    <w:p w:rsidR="00B051EB" w:rsidRPr="008573C5" w:rsidRDefault="001A651F" w:rsidP="00B051EB">
      <w:pPr>
        <w:autoSpaceDE w:val="0"/>
        <w:autoSpaceDN w:val="0"/>
        <w:adjustRightInd w:val="0"/>
        <w:jc w:val="center"/>
        <w:rPr>
          <w:b/>
          <w:bCs/>
          <w:sz w:val="28"/>
          <w:szCs w:val="28"/>
          <w:lang w:val="en-GB"/>
        </w:rPr>
      </w:pPr>
      <w:r w:rsidRPr="008573C5">
        <w:rPr>
          <w:b/>
          <w:bCs/>
          <w:sz w:val="28"/>
          <w:szCs w:val="28"/>
          <w:lang w:val="en-GB"/>
        </w:rPr>
        <w:t>Table 4.3</w:t>
      </w:r>
      <w:r w:rsidR="002E5C79" w:rsidRPr="008573C5">
        <w:rPr>
          <w:b/>
          <w:bCs/>
          <w:sz w:val="28"/>
          <w:szCs w:val="28"/>
          <w:lang w:val="en-GB"/>
        </w:rPr>
        <w:t>3</w:t>
      </w:r>
      <w:r w:rsidR="00B051EB" w:rsidRPr="008573C5">
        <w:rPr>
          <w:b/>
          <w:bCs/>
          <w:sz w:val="28"/>
          <w:szCs w:val="28"/>
          <w:lang w:val="en-GB"/>
        </w:rPr>
        <w:t>: Distribution of Responses on Voluntary Disclosures</w:t>
      </w:r>
    </w:p>
    <w:p w:rsidR="001A651F" w:rsidRPr="008573C5" w:rsidRDefault="001A651F" w:rsidP="00B051EB">
      <w:pPr>
        <w:autoSpaceDE w:val="0"/>
        <w:autoSpaceDN w:val="0"/>
        <w:adjustRightInd w:val="0"/>
        <w:jc w:val="center"/>
        <w:rPr>
          <w:rFonts w:ascii="System" w:hAnsi="System" w:cs="System"/>
          <w:b/>
          <w:bCs/>
          <w:sz w:val="28"/>
          <w:szCs w:val="2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8"/>
        <w:gridCol w:w="990"/>
        <w:gridCol w:w="900"/>
        <w:gridCol w:w="900"/>
        <w:gridCol w:w="810"/>
        <w:gridCol w:w="1170"/>
        <w:gridCol w:w="990"/>
        <w:gridCol w:w="810"/>
      </w:tblGrid>
      <w:tr w:rsidR="00B051EB" w:rsidRPr="008573C5" w:rsidTr="00A23403">
        <w:tc>
          <w:tcPr>
            <w:tcW w:w="3348" w:type="dxa"/>
          </w:tcPr>
          <w:p w:rsidR="00B051EB" w:rsidRPr="008573C5" w:rsidRDefault="00B051EB" w:rsidP="00B35F8E">
            <w:pPr>
              <w:spacing w:before="100" w:beforeAutospacing="1" w:after="100" w:afterAutospacing="1"/>
              <w:jc w:val="center"/>
              <w:rPr>
                <w:b/>
                <w:sz w:val="22"/>
                <w:szCs w:val="22"/>
              </w:rPr>
            </w:pPr>
          </w:p>
        </w:tc>
        <w:tc>
          <w:tcPr>
            <w:tcW w:w="990" w:type="dxa"/>
          </w:tcPr>
          <w:p w:rsidR="00B051EB" w:rsidRPr="008573C5" w:rsidRDefault="00B051EB" w:rsidP="00A23403">
            <w:pPr>
              <w:spacing w:before="100" w:beforeAutospacing="1" w:after="100" w:afterAutospacing="1"/>
              <w:jc w:val="center"/>
              <w:rPr>
                <w:b/>
                <w:sz w:val="22"/>
                <w:szCs w:val="22"/>
              </w:rPr>
            </w:pPr>
            <w:r w:rsidRPr="008573C5">
              <w:rPr>
                <w:b/>
                <w:sz w:val="22"/>
                <w:szCs w:val="22"/>
              </w:rPr>
              <w:t xml:space="preserve">SA </w:t>
            </w:r>
          </w:p>
          <w:p w:rsidR="00B051EB" w:rsidRPr="008573C5" w:rsidRDefault="00B051EB" w:rsidP="00A23403">
            <w:pPr>
              <w:spacing w:before="100" w:beforeAutospacing="1" w:after="100" w:afterAutospacing="1"/>
              <w:jc w:val="center"/>
              <w:rPr>
                <w:b/>
                <w:sz w:val="22"/>
                <w:szCs w:val="22"/>
              </w:rPr>
            </w:pPr>
          </w:p>
        </w:tc>
        <w:tc>
          <w:tcPr>
            <w:tcW w:w="900" w:type="dxa"/>
          </w:tcPr>
          <w:p w:rsidR="00B051EB" w:rsidRPr="008573C5" w:rsidRDefault="00B051EB" w:rsidP="00A23403">
            <w:pPr>
              <w:spacing w:before="100" w:beforeAutospacing="1" w:after="100" w:afterAutospacing="1"/>
              <w:jc w:val="center"/>
              <w:rPr>
                <w:b/>
                <w:sz w:val="22"/>
                <w:szCs w:val="22"/>
              </w:rPr>
            </w:pPr>
            <w:r w:rsidRPr="008573C5">
              <w:rPr>
                <w:b/>
                <w:sz w:val="22"/>
                <w:szCs w:val="22"/>
              </w:rPr>
              <w:t xml:space="preserve">A </w:t>
            </w:r>
          </w:p>
          <w:p w:rsidR="00B051EB" w:rsidRPr="008573C5" w:rsidRDefault="00B051EB" w:rsidP="00A23403">
            <w:pPr>
              <w:spacing w:before="100" w:beforeAutospacing="1" w:after="100" w:afterAutospacing="1"/>
              <w:rPr>
                <w:b/>
                <w:sz w:val="22"/>
                <w:szCs w:val="22"/>
              </w:rPr>
            </w:pPr>
          </w:p>
        </w:tc>
        <w:tc>
          <w:tcPr>
            <w:tcW w:w="900" w:type="dxa"/>
          </w:tcPr>
          <w:p w:rsidR="00B051EB" w:rsidRPr="008573C5" w:rsidRDefault="00B051EB" w:rsidP="00A23403">
            <w:pPr>
              <w:spacing w:before="100" w:beforeAutospacing="1" w:after="100" w:afterAutospacing="1"/>
              <w:jc w:val="center"/>
              <w:rPr>
                <w:b/>
                <w:sz w:val="22"/>
                <w:szCs w:val="22"/>
              </w:rPr>
            </w:pPr>
            <w:r w:rsidRPr="008573C5">
              <w:rPr>
                <w:b/>
                <w:sz w:val="22"/>
                <w:szCs w:val="22"/>
              </w:rPr>
              <w:t>D</w:t>
            </w:r>
          </w:p>
          <w:p w:rsidR="00B051EB" w:rsidRPr="008573C5" w:rsidRDefault="00B051EB" w:rsidP="00A23403">
            <w:pPr>
              <w:spacing w:before="100" w:beforeAutospacing="1" w:after="100" w:afterAutospacing="1"/>
              <w:jc w:val="center"/>
              <w:rPr>
                <w:b/>
                <w:sz w:val="22"/>
                <w:szCs w:val="22"/>
              </w:rPr>
            </w:pPr>
          </w:p>
        </w:tc>
        <w:tc>
          <w:tcPr>
            <w:tcW w:w="810" w:type="dxa"/>
          </w:tcPr>
          <w:p w:rsidR="00B051EB" w:rsidRPr="008573C5" w:rsidRDefault="00B051EB" w:rsidP="00A23403">
            <w:pPr>
              <w:spacing w:before="100" w:beforeAutospacing="1" w:after="100" w:afterAutospacing="1"/>
              <w:jc w:val="center"/>
              <w:rPr>
                <w:b/>
                <w:sz w:val="22"/>
                <w:szCs w:val="22"/>
              </w:rPr>
            </w:pPr>
            <w:r w:rsidRPr="008573C5">
              <w:rPr>
                <w:b/>
                <w:sz w:val="22"/>
                <w:szCs w:val="22"/>
              </w:rPr>
              <w:t>SD</w:t>
            </w:r>
          </w:p>
          <w:p w:rsidR="00B051EB" w:rsidRPr="008573C5" w:rsidRDefault="00B051EB" w:rsidP="00A23403">
            <w:pPr>
              <w:spacing w:before="100" w:beforeAutospacing="1" w:after="100" w:afterAutospacing="1"/>
              <w:jc w:val="center"/>
              <w:rPr>
                <w:b/>
                <w:sz w:val="22"/>
                <w:szCs w:val="22"/>
              </w:rPr>
            </w:pPr>
          </w:p>
        </w:tc>
        <w:tc>
          <w:tcPr>
            <w:tcW w:w="1170" w:type="dxa"/>
          </w:tcPr>
          <w:p w:rsidR="00B051EB" w:rsidRPr="008573C5" w:rsidRDefault="00B051EB" w:rsidP="00A23403">
            <w:pPr>
              <w:spacing w:before="100" w:beforeAutospacing="1" w:after="100" w:afterAutospacing="1"/>
              <w:jc w:val="center"/>
              <w:rPr>
                <w:b/>
                <w:sz w:val="22"/>
                <w:szCs w:val="22"/>
              </w:rPr>
            </w:pPr>
            <w:r w:rsidRPr="008573C5">
              <w:rPr>
                <w:b/>
                <w:sz w:val="22"/>
                <w:szCs w:val="22"/>
              </w:rPr>
              <w:t>Weighted</w:t>
            </w:r>
          </w:p>
          <w:p w:rsidR="00B051EB" w:rsidRPr="008573C5" w:rsidRDefault="00B051EB" w:rsidP="00A23403">
            <w:pPr>
              <w:spacing w:before="100" w:beforeAutospacing="1" w:after="100" w:afterAutospacing="1"/>
              <w:jc w:val="center"/>
              <w:rPr>
                <w:b/>
                <w:sz w:val="22"/>
                <w:szCs w:val="22"/>
              </w:rPr>
            </w:pPr>
            <w:r w:rsidRPr="008573C5">
              <w:rPr>
                <w:b/>
                <w:sz w:val="22"/>
                <w:szCs w:val="22"/>
              </w:rPr>
              <w:t>Sample</w:t>
            </w:r>
          </w:p>
          <w:p w:rsidR="00B051EB" w:rsidRPr="008573C5" w:rsidRDefault="00B051EB" w:rsidP="00A23403">
            <w:pPr>
              <w:spacing w:before="100" w:beforeAutospacing="1" w:after="100" w:afterAutospacing="1"/>
              <w:jc w:val="center"/>
              <w:rPr>
                <w:b/>
                <w:sz w:val="22"/>
                <w:szCs w:val="22"/>
              </w:rPr>
            </w:pPr>
          </w:p>
        </w:tc>
        <w:tc>
          <w:tcPr>
            <w:tcW w:w="990" w:type="dxa"/>
          </w:tcPr>
          <w:p w:rsidR="00B051EB" w:rsidRPr="008573C5" w:rsidRDefault="00B051EB" w:rsidP="00A23403">
            <w:pPr>
              <w:spacing w:before="100" w:beforeAutospacing="1" w:after="100" w:afterAutospacing="1"/>
              <w:jc w:val="center"/>
              <w:rPr>
                <w:b/>
                <w:sz w:val="22"/>
                <w:szCs w:val="22"/>
              </w:rPr>
            </w:pPr>
            <w:r w:rsidRPr="008573C5">
              <w:rPr>
                <w:b/>
                <w:sz w:val="22"/>
                <w:szCs w:val="22"/>
              </w:rPr>
              <w:t>M</w:t>
            </w:r>
            <w:r w:rsidR="0099149F" w:rsidRPr="008573C5">
              <w:rPr>
                <w:b/>
                <w:sz w:val="22"/>
                <w:szCs w:val="22"/>
              </w:rPr>
              <w:t>ean</w:t>
            </w:r>
          </w:p>
          <w:p w:rsidR="00B051EB" w:rsidRPr="008573C5" w:rsidRDefault="00B051EB" w:rsidP="00A23403">
            <w:pPr>
              <w:spacing w:before="100" w:beforeAutospacing="1" w:after="100" w:afterAutospacing="1"/>
              <w:jc w:val="center"/>
              <w:rPr>
                <w:b/>
                <w:sz w:val="22"/>
                <w:szCs w:val="22"/>
              </w:rPr>
            </w:pPr>
          </w:p>
        </w:tc>
        <w:tc>
          <w:tcPr>
            <w:tcW w:w="810" w:type="dxa"/>
          </w:tcPr>
          <w:p w:rsidR="00B051EB" w:rsidRPr="008573C5" w:rsidRDefault="00B051EB" w:rsidP="00A23403">
            <w:pPr>
              <w:spacing w:before="100" w:beforeAutospacing="1" w:after="100" w:afterAutospacing="1"/>
              <w:jc w:val="center"/>
              <w:rPr>
                <w:b/>
                <w:sz w:val="22"/>
                <w:szCs w:val="22"/>
              </w:rPr>
            </w:pPr>
            <w:r w:rsidRPr="008573C5">
              <w:rPr>
                <w:b/>
                <w:sz w:val="22"/>
                <w:szCs w:val="22"/>
              </w:rPr>
              <w:t>SDev</w:t>
            </w:r>
          </w:p>
        </w:tc>
      </w:tr>
      <w:tr w:rsidR="00B051EB" w:rsidRPr="008573C5" w:rsidTr="00A23403">
        <w:trPr>
          <w:trHeight w:val="701"/>
        </w:trPr>
        <w:tc>
          <w:tcPr>
            <w:tcW w:w="3348" w:type="dxa"/>
            <w:vAlign w:val="bottom"/>
          </w:tcPr>
          <w:p w:rsidR="00B051EB" w:rsidRPr="008573C5" w:rsidRDefault="00B051EB" w:rsidP="00A23403">
            <w:r w:rsidRPr="008573C5">
              <w:t>Quantitative forecast of performance for the next accounting year is voluntarily disclosed by listed companies.</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86</w:t>
            </w:r>
          </w:p>
          <w:p w:rsidR="00B051EB" w:rsidRPr="008573C5" w:rsidRDefault="00B051EB" w:rsidP="00A23403">
            <w:pPr>
              <w:spacing w:before="100" w:beforeAutospacing="1" w:after="100" w:afterAutospacing="1"/>
              <w:jc w:val="center"/>
              <w:rPr>
                <w:sz w:val="22"/>
                <w:szCs w:val="22"/>
              </w:rPr>
            </w:pPr>
            <w:r w:rsidRPr="008573C5">
              <w:rPr>
                <w:sz w:val="22"/>
                <w:szCs w:val="22"/>
              </w:rPr>
              <w:t>17.8%</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184</w:t>
            </w:r>
          </w:p>
          <w:p w:rsidR="00B051EB" w:rsidRPr="008573C5" w:rsidRDefault="00B051EB" w:rsidP="00A23403">
            <w:pPr>
              <w:spacing w:before="100" w:beforeAutospacing="1" w:after="100" w:afterAutospacing="1"/>
              <w:jc w:val="center"/>
              <w:rPr>
                <w:sz w:val="22"/>
                <w:szCs w:val="22"/>
              </w:rPr>
            </w:pPr>
            <w:r w:rsidRPr="008573C5">
              <w:rPr>
                <w:sz w:val="22"/>
                <w:szCs w:val="22"/>
              </w:rPr>
              <w:t>38.1%</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129</w:t>
            </w:r>
          </w:p>
          <w:p w:rsidR="00B051EB" w:rsidRPr="008573C5" w:rsidRDefault="00B051EB" w:rsidP="00A23403">
            <w:pPr>
              <w:spacing w:before="100" w:beforeAutospacing="1" w:after="100" w:afterAutospacing="1"/>
              <w:jc w:val="center"/>
              <w:rPr>
                <w:sz w:val="22"/>
                <w:szCs w:val="22"/>
              </w:rPr>
            </w:pPr>
            <w:r w:rsidRPr="008573C5">
              <w:rPr>
                <w:sz w:val="22"/>
                <w:szCs w:val="22"/>
              </w:rPr>
              <w:t>26.7%</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33</w:t>
            </w:r>
          </w:p>
          <w:p w:rsidR="00B051EB" w:rsidRPr="008573C5" w:rsidRDefault="00B051EB" w:rsidP="00A23403">
            <w:pPr>
              <w:spacing w:before="100" w:beforeAutospacing="1" w:after="100" w:afterAutospacing="1"/>
              <w:jc w:val="center"/>
              <w:rPr>
                <w:sz w:val="22"/>
                <w:szCs w:val="22"/>
              </w:rPr>
            </w:pPr>
            <w:r w:rsidRPr="008573C5">
              <w:rPr>
                <w:sz w:val="22"/>
                <w:szCs w:val="22"/>
              </w:rPr>
              <w:t>6.8%</w:t>
            </w:r>
          </w:p>
        </w:tc>
        <w:tc>
          <w:tcPr>
            <w:tcW w:w="1170" w:type="dxa"/>
          </w:tcPr>
          <w:p w:rsidR="00B051EB" w:rsidRPr="008573C5" w:rsidRDefault="00B051EB" w:rsidP="00A23403">
            <w:pPr>
              <w:spacing w:before="100" w:beforeAutospacing="1" w:after="100" w:afterAutospacing="1"/>
              <w:jc w:val="center"/>
              <w:rPr>
                <w:sz w:val="22"/>
                <w:szCs w:val="22"/>
              </w:rPr>
            </w:pPr>
            <w:r w:rsidRPr="008573C5">
              <w:rPr>
                <w:sz w:val="22"/>
                <w:szCs w:val="22"/>
              </w:rPr>
              <w:t>452</w:t>
            </w:r>
          </w:p>
          <w:p w:rsidR="00B051EB" w:rsidRPr="008573C5" w:rsidRDefault="00B051EB" w:rsidP="00A23403">
            <w:pPr>
              <w:spacing w:before="100" w:beforeAutospacing="1" w:after="100" w:afterAutospacing="1"/>
              <w:jc w:val="center"/>
              <w:rPr>
                <w:sz w:val="22"/>
                <w:szCs w:val="22"/>
              </w:rPr>
            </w:pPr>
            <w:r w:rsidRPr="008573C5">
              <w:rPr>
                <w:sz w:val="22"/>
                <w:szCs w:val="22"/>
              </w:rPr>
              <w:t>89.4%</w:t>
            </w:r>
          </w:p>
        </w:tc>
        <w:tc>
          <w:tcPr>
            <w:tcW w:w="990" w:type="dxa"/>
          </w:tcPr>
          <w:p w:rsidR="00B051EB" w:rsidRPr="008573C5" w:rsidRDefault="00B051EB" w:rsidP="00A23403">
            <w:pPr>
              <w:spacing w:before="100" w:beforeAutospacing="1" w:after="100" w:afterAutospacing="1"/>
              <w:rPr>
                <w:sz w:val="22"/>
                <w:szCs w:val="22"/>
              </w:rPr>
            </w:pPr>
            <w:r w:rsidRPr="008573C5">
              <w:rPr>
                <w:sz w:val="22"/>
                <w:szCs w:val="22"/>
              </w:rPr>
              <w:t>2.75</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.861</w:t>
            </w:r>
          </w:p>
        </w:tc>
      </w:tr>
      <w:tr w:rsidR="00B051EB" w:rsidRPr="008573C5" w:rsidTr="00A23403">
        <w:tc>
          <w:tcPr>
            <w:tcW w:w="3348" w:type="dxa"/>
            <w:vAlign w:val="bottom"/>
          </w:tcPr>
          <w:p w:rsidR="00B051EB" w:rsidRPr="008573C5" w:rsidRDefault="00B051EB" w:rsidP="00A23403">
            <w:r w:rsidRPr="008573C5">
              <w:t>Corporate social responsibility information is voluntarily disclosed by listed companies.</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99</w:t>
            </w:r>
          </w:p>
          <w:p w:rsidR="00B051EB" w:rsidRPr="008573C5" w:rsidRDefault="00B051EB" w:rsidP="00A23403">
            <w:pPr>
              <w:spacing w:before="100" w:beforeAutospacing="1" w:after="100" w:afterAutospacing="1"/>
              <w:jc w:val="center"/>
              <w:rPr>
                <w:sz w:val="22"/>
                <w:szCs w:val="22"/>
              </w:rPr>
            </w:pPr>
            <w:r w:rsidRPr="008573C5">
              <w:rPr>
                <w:sz w:val="22"/>
                <w:szCs w:val="22"/>
              </w:rPr>
              <w:t>20.5%</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218</w:t>
            </w:r>
          </w:p>
          <w:p w:rsidR="00B051EB" w:rsidRPr="008573C5" w:rsidRDefault="00B051EB" w:rsidP="00A23403">
            <w:pPr>
              <w:spacing w:before="100" w:beforeAutospacing="1" w:after="100" w:afterAutospacing="1"/>
              <w:jc w:val="center"/>
              <w:rPr>
                <w:sz w:val="22"/>
                <w:szCs w:val="22"/>
              </w:rPr>
            </w:pPr>
            <w:r w:rsidRPr="008573C5">
              <w:rPr>
                <w:sz w:val="22"/>
                <w:szCs w:val="22"/>
              </w:rPr>
              <w:t>45.1%</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99</w:t>
            </w:r>
          </w:p>
          <w:p w:rsidR="00B051EB" w:rsidRPr="008573C5" w:rsidRDefault="00B051EB" w:rsidP="00A23403">
            <w:pPr>
              <w:spacing w:before="100" w:beforeAutospacing="1" w:after="100" w:afterAutospacing="1"/>
              <w:jc w:val="center"/>
              <w:rPr>
                <w:sz w:val="22"/>
                <w:szCs w:val="22"/>
              </w:rPr>
            </w:pPr>
            <w:r w:rsidRPr="008573C5">
              <w:rPr>
                <w:sz w:val="22"/>
                <w:szCs w:val="22"/>
              </w:rPr>
              <w:t>20.5%</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15</w:t>
            </w:r>
          </w:p>
          <w:p w:rsidR="00B051EB" w:rsidRPr="008573C5" w:rsidRDefault="00B051EB" w:rsidP="00A23403">
            <w:pPr>
              <w:spacing w:before="100" w:beforeAutospacing="1" w:after="100" w:afterAutospacing="1"/>
              <w:jc w:val="center"/>
              <w:rPr>
                <w:sz w:val="22"/>
                <w:szCs w:val="22"/>
              </w:rPr>
            </w:pPr>
            <w:r w:rsidRPr="008573C5">
              <w:rPr>
                <w:sz w:val="22"/>
                <w:szCs w:val="22"/>
              </w:rPr>
              <w:t>3.1%</w:t>
            </w:r>
          </w:p>
        </w:tc>
        <w:tc>
          <w:tcPr>
            <w:tcW w:w="1170" w:type="dxa"/>
          </w:tcPr>
          <w:p w:rsidR="00B051EB" w:rsidRPr="008573C5" w:rsidRDefault="00B051EB" w:rsidP="00A23403">
            <w:pPr>
              <w:spacing w:before="100" w:beforeAutospacing="1" w:after="100" w:afterAutospacing="1"/>
              <w:jc w:val="center"/>
              <w:rPr>
                <w:sz w:val="22"/>
                <w:szCs w:val="22"/>
              </w:rPr>
            </w:pPr>
            <w:r w:rsidRPr="008573C5">
              <w:rPr>
                <w:sz w:val="22"/>
                <w:szCs w:val="22"/>
              </w:rPr>
              <w:t>431</w:t>
            </w:r>
          </w:p>
          <w:p w:rsidR="00B051EB" w:rsidRPr="008573C5" w:rsidRDefault="00B051EB" w:rsidP="00A23403">
            <w:pPr>
              <w:spacing w:before="100" w:beforeAutospacing="1" w:after="100" w:afterAutospacing="1"/>
              <w:jc w:val="center"/>
              <w:rPr>
                <w:sz w:val="22"/>
                <w:szCs w:val="22"/>
              </w:rPr>
            </w:pPr>
            <w:r w:rsidRPr="008573C5">
              <w:rPr>
                <w:sz w:val="22"/>
                <w:szCs w:val="22"/>
              </w:rPr>
              <w:t>89.2%</w:t>
            </w:r>
          </w:p>
        </w:tc>
        <w:tc>
          <w:tcPr>
            <w:tcW w:w="990" w:type="dxa"/>
          </w:tcPr>
          <w:p w:rsidR="00B051EB" w:rsidRPr="008573C5" w:rsidRDefault="00B051EB" w:rsidP="00A23403">
            <w:r w:rsidRPr="008573C5">
              <w:rPr>
                <w:sz w:val="22"/>
                <w:szCs w:val="22"/>
              </w:rPr>
              <w:t>2.93</w:t>
            </w:r>
          </w:p>
        </w:tc>
        <w:tc>
          <w:tcPr>
            <w:tcW w:w="810" w:type="dxa"/>
          </w:tcPr>
          <w:p w:rsidR="00B051EB" w:rsidRPr="008573C5" w:rsidRDefault="00B051EB" w:rsidP="00A23403">
            <w:pPr>
              <w:rPr>
                <w:sz w:val="22"/>
                <w:szCs w:val="22"/>
              </w:rPr>
            </w:pPr>
            <w:r w:rsidRPr="008573C5">
              <w:rPr>
                <w:sz w:val="22"/>
                <w:szCs w:val="22"/>
              </w:rPr>
              <w:t>.771</w:t>
            </w:r>
          </w:p>
        </w:tc>
      </w:tr>
      <w:tr w:rsidR="00B051EB" w:rsidRPr="008573C5" w:rsidTr="00A23403">
        <w:tc>
          <w:tcPr>
            <w:tcW w:w="3348" w:type="dxa"/>
          </w:tcPr>
          <w:p w:rsidR="00B051EB" w:rsidRPr="008573C5" w:rsidRDefault="00B051EB" w:rsidP="00A23403">
            <w:pPr>
              <w:rPr>
                <w:sz w:val="22"/>
                <w:szCs w:val="22"/>
              </w:rPr>
            </w:pPr>
            <w:r w:rsidRPr="008573C5">
              <w:t>Corporate governance information is voluntarily disclosed by listed companies.</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65</w:t>
            </w:r>
          </w:p>
          <w:p w:rsidR="00B051EB" w:rsidRPr="008573C5" w:rsidRDefault="00B051EB" w:rsidP="00A23403">
            <w:pPr>
              <w:spacing w:before="100" w:beforeAutospacing="1" w:after="100" w:afterAutospacing="1"/>
              <w:jc w:val="center"/>
              <w:rPr>
                <w:sz w:val="22"/>
                <w:szCs w:val="22"/>
              </w:rPr>
            </w:pPr>
            <w:r w:rsidRPr="008573C5">
              <w:rPr>
                <w:sz w:val="22"/>
                <w:szCs w:val="22"/>
              </w:rPr>
              <w:t>13.5%</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241</w:t>
            </w:r>
          </w:p>
          <w:p w:rsidR="00B051EB" w:rsidRPr="008573C5" w:rsidRDefault="00B051EB" w:rsidP="00A23403">
            <w:pPr>
              <w:spacing w:before="100" w:beforeAutospacing="1" w:after="100" w:afterAutospacing="1"/>
              <w:jc w:val="center"/>
              <w:rPr>
                <w:sz w:val="22"/>
                <w:szCs w:val="22"/>
              </w:rPr>
            </w:pPr>
            <w:r w:rsidRPr="008573C5">
              <w:rPr>
                <w:sz w:val="22"/>
                <w:szCs w:val="22"/>
              </w:rPr>
              <w:t>49.9%</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107</w:t>
            </w:r>
          </w:p>
          <w:p w:rsidR="00B051EB" w:rsidRPr="008573C5" w:rsidRDefault="00B051EB" w:rsidP="00A23403">
            <w:pPr>
              <w:spacing w:before="100" w:beforeAutospacing="1" w:after="100" w:afterAutospacing="1"/>
              <w:jc w:val="center"/>
              <w:rPr>
                <w:sz w:val="22"/>
                <w:szCs w:val="22"/>
              </w:rPr>
            </w:pPr>
            <w:r w:rsidRPr="008573C5">
              <w:rPr>
                <w:sz w:val="22"/>
                <w:szCs w:val="22"/>
              </w:rPr>
              <w:t>22.2%</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18</w:t>
            </w:r>
          </w:p>
          <w:p w:rsidR="00B051EB" w:rsidRPr="008573C5" w:rsidRDefault="00B051EB" w:rsidP="00A23403">
            <w:pPr>
              <w:spacing w:before="100" w:beforeAutospacing="1" w:after="100" w:afterAutospacing="1"/>
              <w:jc w:val="center"/>
              <w:rPr>
                <w:sz w:val="22"/>
                <w:szCs w:val="22"/>
              </w:rPr>
            </w:pPr>
            <w:r w:rsidRPr="008573C5">
              <w:rPr>
                <w:sz w:val="22"/>
                <w:szCs w:val="22"/>
              </w:rPr>
              <w:t>3.7%</w:t>
            </w:r>
          </w:p>
        </w:tc>
        <w:tc>
          <w:tcPr>
            <w:tcW w:w="1170" w:type="dxa"/>
          </w:tcPr>
          <w:p w:rsidR="00B051EB" w:rsidRPr="008573C5" w:rsidRDefault="00B051EB" w:rsidP="00A23403">
            <w:pPr>
              <w:spacing w:before="100" w:beforeAutospacing="1" w:after="100" w:afterAutospacing="1"/>
              <w:jc w:val="center"/>
              <w:rPr>
                <w:sz w:val="22"/>
                <w:szCs w:val="22"/>
              </w:rPr>
            </w:pPr>
            <w:r w:rsidRPr="008573C5">
              <w:rPr>
                <w:sz w:val="22"/>
                <w:szCs w:val="22"/>
              </w:rPr>
              <w:t>431</w:t>
            </w:r>
          </w:p>
          <w:p w:rsidR="00B051EB" w:rsidRPr="008573C5" w:rsidRDefault="00B051EB" w:rsidP="00A23403">
            <w:pPr>
              <w:spacing w:before="100" w:beforeAutospacing="1" w:after="100" w:afterAutospacing="1"/>
              <w:jc w:val="center"/>
              <w:rPr>
                <w:sz w:val="22"/>
                <w:szCs w:val="22"/>
              </w:rPr>
            </w:pPr>
            <w:r w:rsidRPr="008573C5">
              <w:rPr>
                <w:sz w:val="22"/>
                <w:szCs w:val="22"/>
              </w:rPr>
              <w:t>89.2%</w:t>
            </w:r>
          </w:p>
        </w:tc>
        <w:tc>
          <w:tcPr>
            <w:tcW w:w="990" w:type="dxa"/>
          </w:tcPr>
          <w:p w:rsidR="00B051EB" w:rsidRPr="008573C5" w:rsidRDefault="00B051EB" w:rsidP="00A23403">
            <w:r w:rsidRPr="008573C5">
              <w:rPr>
                <w:sz w:val="22"/>
                <w:szCs w:val="22"/>
              </w:rPr>
              <w:t>2.82</w:t>
            </w:r>
          </w:p>
        </w:tc>
        <w:tc>
          <w:tcPr>
            <w:tcW w:w="810" w:type="dxa"/>
          </w:tcPr>
          <w:p w:rsidR="00B051EB" w:rsidRPr="008573C5" w:rsidRDefault="00B051EB" w:rsidP="00A23403">
            <w:pPr>
              <w:rPr>
                <w:sz w:val="22"/>
                <w:szCs w:val="22"/>
              </w:rPr>
            </w:pPr>
            <w:r w:rsidRPr="008573C5">
              <w:rPr>
                <w:sz w:val="22"/>
                <w:szCs w:val="22"/>
              </w:rPr>
              <w:t>.731</w:t>
            </w:r>
          </w:p>
        </w:tc>
      </w:tr>
      <w:tr w:rsidR="00B051EB" w:rsidRPr="008573C5" w:rsidTr="00A23403">
        <w:tc>
          <w:tcPr>
            <w:tcW w:w="3348" w:type="dxa"/>
          </w:tcPr>
          <w:p w:rsidR="00B051EB" w:rsidRPr="008573C5" w:rsidRDefault="00B051EB" w:rsidP="00A23403">
            <w:r w:rsidRPr="008573C5">
              <w:t>Environmental liabilities and cost information is voluntarily disclosed by listed companies.</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48</w:t>
            </w:r>
          </w:p>
          <w:p w:rsidR="00B051EB" w:rsidRPr="008573C5" w:rsidRDefault="00B051EB" w:rsidP="00A23403">
            <w:pPr>
              <w:spacing w:before="100" w:beforeAutospacing="1" w:after="100" w:afterAutospacing="1"/>
              <w:jc w:val="center"/>
              <w:rPr>
                <w:sz w:val="22"/>
                <w:szCs w:val="22"/>
              </w:rPr>
            </w:pPr>
            <w:r w:rsidRPr="008573C5">
              <w:rPr>
                <w:sz w:val="22"/>
                <w:szCs w:val="22"/>
              </w:rPr>
              <w:t>9.9%</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151</w:t>
            </w:r>
          </w:p>
          <w:p w:rsidR="00B051EB" w:rsidRPr="008573C5" w:rsidRDefault="00B051EB" w:rsidP="00A23403">
            <w:pPr>
              <w:spacing w:before="100" w:beforeAutospacing="1" w:after="100" w:afterAutospacing="1"/>
              <w:jc w:val="center"/>
              <w:rPr>
                <w:sz w:val="22"/>
                <w:szCs w:val="22"/>
              </w:rPr>
            </w:pPr>
            <w:r w:rsidRPr="008573C5">
              <w:rPr>
                <w:sz w:val="22"/>
                <w:szCs w:val="22"/>
              </w:rPr>
              <w:t>31.3%</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194</w:t>
            </w:r>
          </w:p>
          <w:p w:rsidR="00B051EB" w:rsidRPr="008573C5" w:rsidRDefault="00B051EB" w:rsidP="00A23403">
            <w:pPr>
              <w:spacing w:before="100" w:beforeAutospacing="1" w:after="100" w:afterAutospacing="1"/>
              <w:jc w:val="center"/>
              <w:rPr>
                <w:sz w:val="22"/>
                <w:szCs w:val="22"/>
              </w:rPr>
            </w:pPr>
            <w:r w:rsidRPr="008573C5">
              <w:rPr>
                <w:sz w:val="22"/>
                <w:szCs w:val="22"/>
              </w:rPr>
              <w:t>40.2%</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39</w:t>
            </w:r>
          </w:p>
          <w:p w:rsidR="00B051EB" w:rsidRPr="008573C5" w:rsidRDefault="00B051EB" w:rsidP="00A23403">
            <w:pPr>
              <w:spacing w:before="100" w:beforeAutospacing="1" w:after="100" w:afterAutospacing="1"/>
              <w:jc w:val="center"/>
              <w:rPr>
                <w:sz w:val="22"/>
                <w:szCs w:val="22"/>
              </w:rPr>
            </w:pPr>
            <w:r w:rsidRPr="008573C5">
              <w:rPr>
                <w:sz w:val="22"/>
                <w:szCs w:val="22"/>
              </w:rPr>
              <w:t>8.1%</w:t>
            </w:r>
          </w:p>
        </w:tc>
        <w:tc>
          <w:tcPr>
            <w:tcW w:w="1170" w:type="dxa"/>
          </w:tcPr>
          <w:p w:rsidR="00B051EB" w:rsidRPr="008573C5" w:rsidRDefault="00B051EB" w:rsidP="00A23403">
            <w:pPr>
              <w:spacing w:before="100" w:beforeAutospacing="1" w:after="100" w:afterAutospacing="1"/>
              <w:jc w:val="center"/>
              <w:rPr>
                <w:sz w:val="22"/>
                <w:szCs w:val="22"/>
              </w:rPr>
            </w:pPr>
            <w:r w:rsidRPr="008573C5">
              <w:rPr>
                <w:sz w:val="22"/>
                <w:szCs w:val="22"/>
              </w:rPr>
              <w:t>432</w:t>
            </w:r>
          </w:p>
          <w:p w:rsidR="00B051EB" w:rsidRPr="008573C5" w:rsidRDefault="00B051EB" w:rsidP="00A23403">
            <w:pPr>
              <w:spacing w:before="100" w:beforeAutospacing="1" w:after="100" w:afterAutospacing="1"/>
              <w:jc w:val="center"/>
              <w:rPr>
                <w:sz w:val="22"/>
                <w:szCs w:val="22"/>
              </w:rPr>
            </w:pPr>
            <w:r w:rsidRPr="008573C5">
              <w:rPr>
                <w:sz w:val="22"/>
                <w:szCs w:val="22"/>
              </w:rPr>
              <w:t>89.4%</w:t>
            </w:r>
          </w:p>
        </w:tc>
        <w:tc>
          <w:tcPr>
            <w:tcW w:w="990" w:type="dxa"/>
          </w:tcPr>
          <w:p w:rsidR="00B051EB" w:rsidRPr="008573C5" w:rsidRDefault="00B051EB" w:rsidP="00A23403">
            <w:r w:rsidRPr="008573C5">
              <w:rPr>
                <w:sz w:val="22"/>
                <w:szCs w:val="22"/>
              </w:rPr>
              <w:t>2.48</w:t>
            </w:r>
          </w:p>
        </w:tc>
        <w:tc>
          <w:tcPr>
            <w:tcW w:w="810" w:type="dxa"/>
          </w:tcPr>
          <w:p w:rsidR="00B051EB" w:rsidRPr="008573C5" w:rsidRDefault="00B051EB" w:rsidP="00A23403">
            <w:pPr>
              <w:rPr>
                <w:sz w:val="22"/>
                <w:szCs w:val="22"/>
              </w:rPr>
            </w:pPr>
            <w:r w:rsidRPr="008573C5">
              <w:rPr>
                <w:sz w:val="22"/>
                <w:szCs w:val="22"/>
              </w:rPr>
              <w:t>.809</w:t>
            </w:r>
          </w:p>
        </w:tc>
      </w:tr>
      <w:tr w:rsidR="00B051EB" w:rsidRPr="008573C5" w:rsidTr="00A23403">
        <w:tc>
          <w:tcPr>
            <w:tcW w:w="3348" w:type="dxa"/>
          </w:tcPr>
          <w:p w:rsidR="00B051EB" w:rsidRPr="008573C5" w:rsidRDefault="00B051EB" w:rsidP="00A23403">
            <w:pPr>
              <w:rPr>
                <w:sz w:val="22"/>
                <w:szCs w:val="22"/>
              </w:rPr>
            </w:pPr>
            <w:r w:rsidRPr="008573C5">
              <w:t>Risk management information is voluntarily disclosed by listed companies.</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67</w:t>
            </w:r>
          </w:p>
          <w:p w:rsidR="00B051EB" w:rsidRPr="008573C5" w:rsidRDefault="00B051EB" w:rsidP="00A23403">
            <w:pPr>
              <w:spacing w:before="100" w:beforeAutospacing="1" w:after="100" w:afterAutospacing="1"/>
              <w:jc w:val="center"/>
              <w:rPr>
                <w:sz w:val="22"/>
                <w:szCs w:val="22"/>
              </w:rPr>
            </w:pPr>
            <w:r w:rsidRPr="008573C5">
              <w:rPr>
                <w:sz w:val="22"/>
                <w:szCs w:val="22"/>
              </w:rPr>
              <w:t>13.9%</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187</w:t>
            </w:r>
          </w:p>
          <w:p w:rsidR="00B051EB" w:rsidRPr="008573C5" w:rsidRDefault="00B051EB" w:rsidP="00A23403">
            <w:pPr>
              <w:spacing w:before="100" w:beforeAutospacing="1" w:after="100" w:afterAutospacing="1"/>
              <w:jc w:val="center"/>
              <w:rPr>
                <w:sz w:val="22"/>
                <w:szCs w:val="22"/>
              </w:rPr>
            </w:pPr>
            <w:r w:rsidRPr="008573C5">
              <w:rPr>
                <w:sz w:val="22"/>
                <w:szCs w:val="22"/>
              </w:rPr>
              <w:t>38.7%</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143</w:t>
            </w:r>
          </w:p>
          <w:p w:rsidR="00B051EB" w:rsidRPr="008573C5" w:rsidRDefault="00B051EB" w:rsidP="00A23403">
            <w:pPr>
              <w:spacing w:before="100" w:beforeAutospacing="1" w:after="100" w:afterAutospacing="1"/>
              <w:jc w:val="center"/>
              <w:rPr>
                <w:sz w:val="22"/>
                <w:szCs w:val="22"/>
              </w:rPr>
            </w:pPr>
            <w:r w:rsidRPr="008573C5">
              <w:rPr>
                <w:sz w:val="22"/>
                <w:szCs w:val="22"/>
              </w:rPr>
              <w:t>29.6%</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37</w:t>
            </w:r>
          </w:p>
          <w:p w:rsidR="00B051EB" w:rsidRPr="008573C5" w:rsidRDefault="00B051EB" w:rsidP="00A23403">
            <w:pPr>
              <w:spacing w:before="100" w:beforeAutospacing="1" w:after="100" w:afterAutospacing="1"/>
              <w:jc w:val="center"/>
              <w:rPr>
                <w:sz w:val="22"/>
                <w:szCs w:val="22"/>
              </w:rPr>
            </w:pPr>
            <w:r w:rsidRPr="008573C5">
              <w:rPr>
                <w:sz w:val="22"/>
                <w:szCs w:val="22"/>
              </w:rPr>
              <w:t>7.7%</w:t>
            </w:r>
          </w:p>
        </w:tc>
        <w:tc>
          <w:tcPr>
            <w:tcW w:w="1170" w:type="dxa"/>
          </w:tcPr>
          <w:p w:rsidR="00B051EB" w:rsidRPr="008573C5" w:rsidRDefault="00B051EB" w:rsidP="00A23403">
            <w:pPr>
              <w:spacing w:before="100" w:beforeAutospacing="1" w:after="100" w:afterAutospacing="1"/>
              <w:jc w:val="center"/>
              <w:rPr>
                <w:sz w:val="22"/>
                <w:szCs w:val="22"/>
              </w:rPr>
            </w:pPr>
            <w:r w:rsidRPr="008573C5">
              <w:rPr>
                <w:sz w:val="22"/>
                <w:szCs w:val="22"/>
              </w:rPr>
              <w:t>434</w:t>
            </w:r>
          </w:p>
          <w:p w:rsidR="00B051EB" w:rsidRPr="008573C5" w:rsidRDefault="00B051EB" w:rsidP="00A23403">
            <w:pPr>
              <w:spacing w:before="100" w:beforeAutospacing="1" w:after="100" w:afterAutospacing="1"/>
              <w:jc w:val="center"/>
              <w:rPr>
                <w:sz w:val="22"/>
                <w:szCs w:val="22"/>
              </w:rPr>
            </w:pPr>
            <w:r w:rsidRPr="008573C5">
              <w:rPr>
                <w:sz w:val="22"/>
                <w:szCs w:val="22"/>
              </w:rPr>
              <w:t>89.9%</w:t>
            </w:r>
          </w:p>
        </w:tc>
        <w:tc>
          <w:tcPr>
            <w:tcW w:w="990" w:type="dxa"/>
          </w:tcPr>
          <w:p w:rsidR="00B051EB" w:rsidRPr="008573C5" w:rsidRDefault="00B051EB" w:rsidP="00A23403">
            <w:r w:rsidRPr="008573C5">
              <w:rPr>
                <w:sz w:val="22"/>
                <w:szCs w:val="22"/>
              </w:rPr>
              <w:t>2.65</w:t>
            </w:r>
          </w:p>
        </w:tc>
        <w:tc>
          <w:tcPr>
            <w:tcW w:w="810" w:type="dxa"/>
          </w:tcPr>
          <w:p w:rsidR="00B051EB" w:rsidRPr="008573C5" w:rsidRDefault="00B051EB" w:rsidP="00A23403">
            <w:pPr>
              <w:rPr>
                <w:sz w:val="22"/>
                <w:szCs w:val="22"/>
              </w:rPr>
            </w:pPr>
            <w:r w:rsidRPr="008573C5">
              <w:rPr>
                <w:sz w:val="22"/>
                <w:szCs w:val="22"/>
              </w:rPr>
              <w:t>.841</w:t>
            </w:r>
          </w:p>
        </w:tc>
      </w:tr>
    </w:tbl>
    <w:p w:rsidR="00B85521" w:rsidRPr="008573C5" w:rsidRDefault="00B85521" w:rsidP="00B85521">
      <w:pPr>
        <w:autoSpaceDE w:val="0"/>
        <w:autoSpaceDN w:val="0"/>
        <w:adjustRightInd w:val="0"/>
        <w:jc w:val="center"/>
        <w:rPr>
          <w:rFonts w:eastAsia="Calibri"/>
          <w:b/>
          <w:bCs/>
        </w:rPr>
      </w:pPr>
      <w:r w:rsidRPr="008573C5">
        <w:rPr>
          <w:rFonts w:eastAsia="Calibri"/>
          <w:b/>
          <w:bCs/>
        </w:rPr>
        <w:t>Source: Field Study (2009)</w:t>
      </w:r>
    </w:p>
    <w:p w:rsidR="00B051EB" w:rsidRPr="008573C5" w:rsidRDefault="00B051EB" w:rsidP="00B051EB">
      <w:pPr>
        <w:autoSpaceDE w:val="0"/>
        <w:autoSpaceDN w:val="0"/>
        <w:adjustRightInd w:val="0"/>
        <w:jc w:val="center"/>
        <w:rPr>
          <w:rFonts w:eastAsia="Calibri"/>
          <w:b/>
          <w:bCs/>
        </w:rPr>
      </w:pPr>
    </w:p>
    <w:p w:rsidR="00B051EB" w:rsidRPr="008573C5" w:rsidRDefault="00B051EB" w:rsidP="00B051EB">
      <w:pPr>
        <w:autoSpaceDE w:val="0"/>
        <w:autoSpaceDN w:val="0"/>
        <w:adjustRightInd w:val="0"/>
        <w:jc w:val="center"/>
        <w:rPr>
          <w:b/>
          <w:bCs/>
          <w:lang w:val="en-GB"/>
        </w:rPr>
      </w:pPr>
    </w:p>
    <w:p w:rsidR="00B051EB" w:rsidRPr="008573C5" w:rsidRDefault="00B051EB" w:rsidP="00B051EB">
      <w:pPr>
        <w:autoSpaceDE w:val="0"/>
        <w:autoSpaceDN w:val="0"/>
        <w:adjustRightInd w:val="0"/>
        <w:spacing w:line="360" w:lineRule="auto"/>
        <w:jc w:val="both"/>
      </w:pPr>
      <w:r w:rsidRPr="008573C5">
        <w:rPr>
          <w:bCs/>
          <w:lang w:val="en-GB"/>
        </w:rPr>
        <w:t xml:space="preserve">The responses </w:t>
      </w:r>
      <w:r w:rsidR="00353C13" w:rsidRPr="008573C5">
        <w:rPr>
          <w:bCs/>
          <w:lang w:val="en-GB"/>
        </w:rPr>
        <w:t>on item</w:t>
      </w:r>
      <w:r w:rsidRPr="008573C5">
        <w:rPr>
          <w:bCs/>
          <w:lang w:val="en-GB"/>
        </w:rPr>
        <w:t xml:space="preserve"> 14 are varied. </w:t>
      </w:r>
      <w:r w:rsidRPr="008573C5">
        <w:t xml:space="preserve">184 (38.1%) respondents agree to this fact that listed companies voluntarily disclose the quantitative forecast of performance for the next accounting year. 17.8% strongly agree, 26.7% disagree while 6.8% strongly disagree. </w:t>
      </w:r>
      <w:r w:rsidRPr="008573C5">
        <w:rPr>
          <w:lang w:val="en-GB"/>
        </w:rPr>
        <w:t xml:space="preserve">The cumulative percent of respondents that agree and strongly agree is 55.9%. </w:t>
      </w:r>
      <w:r w:rsidRPr="008573C5">
        <w:t>The weighted average mean is 2.75 while the standard deviation is .861. This suggests that the respondents opined that on the average listed companies voluntarily disclose the quantitative forecast of performance for the next accounting year.</w:t>
      </w:r>
    </w:p>
    <w:p w:rsidR="00B051EB" w:rsidRPr="008573C5" w:rsidRDefault="00B051EB" w:rsidP="00B051EB">
      <w:pPr>
        <w:autoSpaceDE w:val="0"/>
        <w:autoSpaceDN w:val="0"/>
        <w:adjustRightInd w:val="0"/>
        <w:spacing w:line="360" w:lineRule="auto"/>
        <w:jc w:val="both"/>
      </w:pPr>
    </w:p>
    <w:p w:rsidR="00B051EB" w:rsidRPr="008573C5" w:rsidRDefault="00E505E5" w:rsidP="00B051EB">
      <w:pPr>
        <w:autoSpaceDE w:val="0"/>
        <w:autoSpaceDN w:val="0"/>
        <w:adjustRightInd w:val="0"/>
        <w:spacing w:line="360" w:lineRule="auto"/>
        <w:jc w:val="both"/>
      </w:pPr>
      <w:r>
        <w:t>The result of</w:t>
      </w:r>
      <w:r w:rsidR="00353C13" w:rsidRPr="008573C5">
        <w:t xml:space="preserve"> item</w:t>
      </w:r>
      <w:r w:rsidR="00B051EB" w:rsidRPr="008573C5">
        <w:t xml:space="preserve"> 15 as shown above reveal</w:t>
      </w:r>
      <w:r w:rsidR="00BC239C" w:rsidRPr="008573C5">
        <w:t>s</w:t>
      </w:r>
      <w:r w:rsidR="00B051EB" w:rsidRPr="008573C5">
        <w:t xml:space="preserve"> that 431 (89.2%) responded to this question. Ninety nine (20.5%) respondents strongly agree that corporate social responsibility information is voluntarily disclosed by listed companies. 218 (45.1%)  agree, 99 (20.5%) disagree while  15 (3.1%) strongly disagreed. The mean is computed to be 2.93 while the standard deviation is .771. This c</w:t>
      </w:r>
      <w:r w:rsidR="002C539B" w:rsidRPr="008573C5">
        <w:t>o</w:t>
      </w:r>
      <w:r w:rsidR="00B051EB" w:rsidRPr="008573C5">
        <w:t>nfirms that majority of the respondents agree to the fact that information on corporate social responsibility such as donations and employee health, safety and welfare is voluntarily disclosed by listed companies.</w:t>
      </w:r>
    </w:p>
    <w:p w:rsidR="00B051EB" w:rsidRPr="008573C5" w:rsidRDefault="00B051EB" w:rsidP="00B051EB">
      <w:pPr>
        <w:autoSpaceDE w:val="0"/>
        <w:autoSpaceDN w:val="0"/>
        <w:adjustRightInd w:val="0"/>
        <w:spacing w:line="360" w:lineRule="auto"/>
        <w:jc w:val="both"/>
      </w:pPr>
    </w:p>
    <w:p w:rsidR="00B051EB" w:rsidRPr="008573C5" w:rsidRDefault="00353C13" w:rsidP="00B051EB">
      <w:pPr>
        <w:autoSpaceDE w:val="0"/>
        <w:autoSpaceDN w:val="0"/>
        <w:adjustRightInd w:val="0"/>
        <w:spacing w:line="360" w:lineRule="auto"/>
        <w:jc w:val="both"/>
      </w:pPr>
      <w:r w:rsidRPr="008573C5">
        <w:t>The response to item</w:t>
      </w:r>
      <w:r w:rsidR="00B051EB" w:rsidRPr="008573C5">
        <w:t xml:space="preserve"> 16 is as </w:t>
      </w:r>
      <w:r w:rsidR="002C539B" w:rsidRPr="008573C5">
        <w:t>reported</w:t>
      </w:r>
      <w:r w:rsidR="00B051EB" w:rsidRPr="008573C5">
        <w:t xml:space="preserve"> in Table 4.</w:t>
      </w:r>
      <w:r w:rsidR="00BC239C" w:rsidRPr="008573C5">
        <w:t>3</w:t>
      </w:r>
      <w:r w:rsidR="001B2A6B" w:rsidRPr="008573C5">
        <w:t>3</w:t>
      </w:r>
      <w:r w:rsidR="00B051EB" w:rsidRPr="008573C5">
        <w:t xml:space="preserve"> above. Of the total sample of 483, sixty five (13.5%) strongly agree that listed companies in Nigeria voluntarily disclose corporate governance information in their financial reports. The number of respondents that agree, disagree and strongly disagree are 241(49.9%), 107 (22.2%)  and 18 (3.7%) respectively. The weighted arithmetic mean of 2.82 and standard deviation of </w:t>
      </w:r>
      <w:r w:rsidR="0099149F" w:rsidRPr="008573C5">
        <w:t>0</w:t>
      </w:r>
      <w:r w:rsidR="00B051EB" w:rsidRPr="008573C5">
        <w:t>.731confirms that the respondents moderately agree that listed companies disclose corporate governance information in their financial statements.</w:t>
      </w:r>
    </w:p>
    <w:p w:rsidR="00B051EB" w:rsidRPr="008573C5" w:rsidRDefault="00B051EB" w:rsidP="00B051EB">
      <w:pPr>
        <w:autoSpaceDE w:val="0"/>
        <w:autoSpaceDN w:val="0"/>
        <w:adjustRightInd w:val="0"/>
        <w:spacing w:line="360" w:lineRule="auto"/>
        <w:jc w:val="both"/>
      </w:pPr>
      <w:r w:rsidRPr="008573C5">
        <w:t xml:space="preserve">  </w:t>
      </w:r>
    </w:p>
    <w:p w:rsidR="00B051EB" w:rsidRPr="008573C5" w:rsidRDefault="00353C13" w:rsidP="00B051EB">
      <w:pPr>
        <w:spacing w:line="360" w:lineRule="auto"/>
        <w:jc w:val="both"/>
      </w:pPr>
      <w:r w:rsidRPr="008573C5">
        <w:t>Responses to item</w:t>
      </w:r>
      <w:r w:rsidR="00B051EB" w:rsidRPr="008573C5">
        <w:t xml:space="preserve"> 17 relating to voluntary environmental liabilities and cost information featured a contrary view from those earlier discussed. It is observed </w:t>
      </w:r>
      <w:r w:rsidRPr="008573C5">
        <w:t>that 194</w:t>
      </w:r>
      <w:r w:rsidR="00B051EB" w:rsidRPr="008573C5">
        <w:t xml:space="preserve"> (40.2%) disagreed while 39 (8.1%) strongly disagreed. The respondents with positive view are 48 (9.9%) and 151 (31.3%). This reveals that more respondents were negative about this fact. This is also conf</w:t>
      </w:r>
      <w:r w:rsidR="00104F3B" w:rsidRPr="008573C5">
        <w:t>irmed by the 2.48 mean and .809 s</w:t>
      </w:r>
      <w:r w:rsidR="00B051EB" w:rsidRPr="008573C5">
        <w:t xml:space="preserve">tandard </w:t>
      </w:r>
      <w:r w:rsidR="00104F3B" w:rsidRPr="008573C5">
        <w:t>d</w:t>
      </w:r>
      <w:r w:rsidR="00B051EB" w:rsidRPr="008573C5">
        <w:t>eviation. The result of this analysis suggests that information on environmental liabilities and costs are hardly disclosed in the financial statements of listed companies.</w:t>
      </w:r>
    </w:p>
    <w:p w:rsidR="00B051EB" w:rsidRPr="008573C5" w:rsidRDefault="00B051EB" w:rsidP="00B051EB">
      <w:pPr>
        <w:spacing w:line="360" w:lineRule="auto"/>
        <w:jc w:val="both"/>
      </w:pPr>
    </w:p>
    <w:p w:rsidR="00B051EB" w:rsidRPr="008573C5" w:rsidRDefault="00B051EB" w:rsidP="00B051EB">
      <w:pPr>
        <w:autoSpaceDE w:val="0"/>
        <w:autoSpaceDN w:val="0"/>
        <w:adjustRightInd w:val="0"/>
        <w:spacing w:line="360" w:lineRule="auto"/>
        <w:jc w:val="both"/>
        <w:rPr>
          <w:bCs/>
          <w:lang w:val="en-GB"/>
        </w:rPr>
      </w:pPr>
      <w:r w:rsidRPr="008573C5">
        <w:rPr>
          <w:bCs/>
          <w:lang w:val="en-GB"/>
        </w:rPr>
        <w:t xml:space="preserve">The </w:t>
      </w:r>
      <w:r w:rsidR="00BC239C" w:rsidRPr="008573C5">
        <w:rPr>
          <w:bCs/>
          <w:lang w:val="en-GB"/>
        </w:rPr>
        <w:t xml:space="preserve">result obtained in </w:t>
      </w:r>
      <w:r w:rsidR="002C3E99" w:rsidRPr="008573C5">
        <w:rPr>
          <w:bCs/>
          <w:lang w:val="en-GB"/>
        </w:rPr>
        <w:t>item</w:t>
      </w:r>
      <w:r w:rsidRPr="008573C5">
        <w:rPr>
          <w:bCs/>
          <w:lang w:val="en-GB"/>
        </w:rPr>
        <w:t xml:space="preserve"> </w:t>
      </w:r>
      <w:r w:rsidR="00E505E5">
        <w:rPr>
          <w:bCs/>
          <w:lang w:val="en-GB"/>
        </w:rPr>
        <w:t>18</w:t>
      </w:r>
      <w:r w:rsidRPr="008573C5">
        <w:rPr>
          <w:bCs/>
          <w:lang w:val="en-GB"/>
        </w:rPr>
        <w:t xml:space="preserve"> shows that 434 out of 483 responded to this question. Their responses are varied. 67 (13.9%) strongly agree, 187 (38.7%) agree, 143 (29.6%) and 37 (7.7%) disagree. Cumulatively 52.6% are affirmative. With the arithmetic mean of 2.65 and standard deviation of .841</w:t>
      </w:r>
      <w:r w:rsidR="002C185B" w:rsidRPr="008573C5">
        <w:rPr>
          <w:bCs/>
          <w:lang w:val="en-GB"/>
        </w:rPr>
        <w:t xml:space="preserve">, </w:t>
      </w:r>
      <w:r w:rsidRPr="008573C5">
        <w:rPr>
          <w:bCs/>
          <w:lang w:val="en-GB"/>
        </w:rPr>
        <w:t>it can be suggested that the respondents moderately agree to the fact that r</w:t>
      </w:r>
      <w:r w:rsidRPr="008573C5">
        <w:t>isk management information is voluntarily disclosed by listed companies</w:t>
      </w:r>
      <w:r w:rsidRPr="008573C5">
        <w:rPr>
          <w:bCs/>
          <w:lang w:val="en-GB"/>
        </w:rPr>
        <w:t xml:space="preserve">. </w:t>
      </w:r>
    </w:p>
    <w:p w:rsidR="0099149F" w:rsidRPr="008573C5" w:rsidRDefault="0099149F" w:rsidP="00B051EB">
      <w:pPr>
        <w:rPr>
          <w:b/>
          <w:sz w:val="28"/>
          <w:szCs w:val="28"/>
        </w:rPr>
      </w:pPr>
    </w:p>
    <w:p w:rsidR="00B051EB" w:rsidRPr="008573C5" w:rsidRDefault="002B4F4C" w:rsidP="00B051EB">
      <w:pPr>
        <w:rPr>
          <w:b/>
          <w:sz w:val="28"/>
          <w:szCs w:val="28"/>
        </w:rPr>
      </w:pPr>
      <w:r w:rsidRPr="008573C5">
        <w:rPr>
          <w:b/>
          <w:sz w:val="28"/>
          <w:szCs w:val="28"/>
        </w:rPr>
        <w:t>4</w:t>
      </w:r>
      <w:r w:rsidR="00B051EB" w:rsidRPr="008573C5">
        <w:rPr>
          <w:b/>
          <w:sz w:val="28"/>
          <w:szCs w:val="28"/>
        </w:rPr>
        <w:t>.</w:t>
      </w:r>
      <w:r w:rsidR="004D206D" w:rsidRPr="008573C5">
        <w:rPr>
          <w:b/>
          <w:sz w:val="28"/>
          <w:szCs w:val="28"/>
        </w:rPr>
        <w:t>3</w:t>
      </w:r>
      <w:r w:rsidR="00B051EB" w:rsidRPr="008573C5">
        <w:rPr>
          <w:b/>
          <w:sz w:val="28"/>
          <w:szCs w:val="28"/>
        </w:rPr>
        <w:t xml:space="preserve">.4  Factors </w:t>
      </w:r>
      <w:r w:rsidR="00A65DE5" w:rsidRPr="008573C5">
        <w:rPr>
          <w:b/>
          <w:sz w:val="28"/>
          <w:szCs w:val="28"/>
        </w:rPr>
        <w:t>I</w:t>
      </w:r>
      <w:r w:rsidR="00B051EB" w:rsidRPr="008573C5">
        <w:rPr>
          <w:b/>
          <w:sz w:val="28"/>
          <w:szCs w:val="28"/>
        </w:rPr>
        <w:t xml:space="preserve">nfluencing the </w:t>
      </w:r>
      <w:r w:rsidR="00A65DE5" w:rsidRPr="008573C5">
        <w:rPr>
          <w:b/>
          <w:sz w:val="28"/>
          <w:szCs w:val="28"/>
        </w:rPr>
        <w:t>Extent of D</w:t>
      </w:r>
      <w:r w:rsidR="00B051EB" w:rsidRPr="008573C5">
        <w:rPr>
          <w:b/>
          <w:sz w:val="28"/>
          <w:szCs w:val="28"/>
        </w:rPr>
        <w:t xml:space="preserve">isclosure by </w:t>
      </w:r>
      <w:r w:rsidR="00A65DE5" w:rsidRPr="008573C5">
        <w:rPr>
          <w:b/>
          <w:sz w:val="28"/>
          <w:szCs w:val="28"/>
        </w:rPr>
        <w:t>L</w:t>
      </w:r>
      <w:r w:rsidR="00B051EB" w:rsidRPr="008573C5">
        <w:rPr>
          <w:b/>
          <w:sz w:val="28"/>
          <w:szCs w:val="28"/>
        </w:rPr>
        <w:t xml:space="preserve">isted </w:t>
      </w:r>
      <w:r w:rsidR="00A65DE5" w:rsidRPr="008573C5">
        <w:rPr>
          <w:b/>
          <w:sz w:val="28"/>
          <w:szCs w:val="28"/>
        </w:rPr>
        <w:t>C</w:t>
      </w:r>
      <w:r w:rsidR="00B051EB" w:rsidRPr="008573C5">
        <w:rPr>
          <w:b/>
          <w:sz w:val="28"/>
          <w:szCs w:val="28"/>
        </w:rPr>
        <w:t>ompanies.</w:t>
      </w:r>
    </w:p>
    <w:p w:rsidR="00B35F8E" w:rsidRPr="008573C5" w:rsidRDefault="00B051EB" w:rsidP="006D2791">
      <w:pPr>
        <w:spacing w:line="360" w:lineRule="auto"/>
        <w:jc w:val="both"/>
      </w:pPr>
      <w:r w:rsidRPr="008573C5">
        <w:t>Table 4.</w:t>
      </w:r>
      <w:r w:rsidR="00BC239C" w:rsidRPr="008573C5">
        <w:t>3</w:t>
      </w:r>
      <w:r w:rsidR="001B2A6B" w:rsidRPr="008573C5">
        <w:t>4</w:t>
      </w:r>
      <w:r w:rsidR="002C3E99" w:rsidRPr="008573C5">
        <w:t xml:space="preserve"> </w:t>
      </w:r>
      <w:r w:rsidR="00762068" w:rsidRPr="008573C5">
        <w:t>captures</w:t>
      </w:r>
      <w:r w:rsidR="002C3E99" w:rsidRPr="008573C5">
        <w:t xml:space="preserve"> item</w:t>
      </w:r>
      <w:r w:rsidRPr="008573C5">
        <w:t xml:space="preserve">s 19 to 30 of the questionnaire on the financial and non-financial factors influencing the extent of disclosure by listed companies. </w:t>
      </w:r>
    </w:p>
    <w:p w:rsidR="00E505E5" w:rsidRDefault="00E505E5" w:rsidP="001A651F">
      <w:pPr>
        <w:jc w:val="center"/>
        <w:rPr>
          <w:b/>
          <w:bCs/>
          <w:sz w:val="28"/>
          <w:szCs w:val="28"/>
          <w:lang w:val="en-GB"/>
        </w:rPr>
      </w:pPr>
    </w:p>
    <w:p w:rsidR="00B051EB" w:rsidRPr="008573C5" w:rsidRDefault="001A651F" w:rsidP="001A651F">
      <w:pPr>
        <w:jc w:val="center"/>
        <w:rPr>
          <w:b/>
          <w:sz w:val="28"/>
          <w:szCs w:val="28"/>
        </w:rPr>
      </w:pPr>
      <w:r w:rsidRPr="008573C5">
        <w:rPr>
          <w:b/>
          <w:bCs/>
          <w:sz w:val="28"/>
          <w:szCs w:val="28"/>
          <w:lang w:val="en-GB"/>
        </w:rPr>
        <w:t>Table 4.3</w:t>
      </w:r>
      <w:r w:rsidR="002E5C79" w:rsidRPr="008573C5">
        <w:rPr>
          <w:b/>
          <w:bCs/>
          <w:sz w:val="28"/>
          <w:szCs w:val="28"/>
          <w:lang w:val="en-GB"/>
        </w:rPr>
        <w:t>4</w:t>
      </w:r>
      <w:r w:rsidR="00B051EB" w:rsidRPr="008573C5">
        <w:rPr>
          <w:b/>
          <w:bCs/>
          <w:sz w:val="28"/>
          <w:szCs w:val="28"/>
          <w:lang w:val="en-GB"/>
        </w:rPr>
        <w:t xml:space="preserve">: </w:t>
      </w:r>
      <w:r w:rsidR="00D74B4F" w:rsidRPr="008573C5">
        <w:rPr>
          <w:b/>
          <w:bCs/>
          <w:sz w:val="28"/>
          <w:szCs w:val="28"/>
          <w:lang w:val="en-GB"/>
        </w:rPr>
        <w:t xml:space="preserve">Distribution of Responses on </w:t>
      </w:r>
      <w:r w:rsidR="00B051EB" w:rsidRPr="008573C5">
        <w:rPr>
          <w:b/>
          <w:sz w:val="28"/>
          <w:szCs w:val="28"/>
        </w:rPr>
        <w:t xml:space="preserve">Factors Influencing the Extent of Disclosure by Listed </w:t>
      </w:r>
      <w:r w:rsidRPr="008573C5">
        <w:rPr>
          <w:b/>
          <w:sz w:val="28"/>
          <w:szCs w:val="28"/>
        </w:rPr>
        <w:t>C</w:t>
      </w:r>
      <w:r w:rsidR="00B051EB" w:rsidRPr="008573C5">
        <w:rPr>
          <w:b/>
          <w:sz w:val="28"/>
          <w:szCs w:val="28"/>
        </w:rPr>
        <w:t>ompanies.</w:t>
      </w:r>
    </w:p>
    <w:p w:rsidR="00B051EB" w:rsidRPr="008573C5" w:rsidRDefault="00B051EB" w:rsidP="00B051EB">
      <w:pPr>
        <w:autoSpaceDE w:val="0"/>
        <w:autoSpaceDN w:val="0"/>
        <w:adjustRightInd w:val="0"/>
        <w:jc w:val="center"/>
        <w:rPr>
          <w:rFonts w:ascii="System" w:hAnsi="System" w:cs="System"/>
          <w:b/>
          <w:bCs/>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8"/>
        <w:gridCol w:w="990"/>
        <w:gridCol w:w="900"/>
        <w:gridCol w:w="900"/>
        <w:gridCol w:w="810"/>
        <w:gridCol w:w="1170"/>
        <w:gridCol w:w="990"/>
        <w:gridCol w:w="810"/>
      </w:tblGrid>
      <w:tr w:rsidR="00B051EB" w:rsidRPr="008573C5" w:rsidTr="00A23403">
        <w:tc>
          <w:tcPr>
            <w:tcW w:w="3348" w:type="dxa"/>
          </w:tcPr>
          <w:p w:rsidR="00B051EB" w:rsidRPr="008573C5" w:rsidRDefault="00B051EB" w:rsidP="00B35F8E">
            <w:pPr>
              <w:spacing w:before="100" w:beforeAutospacing="1" w:after="100" w:afterAutospacing="1"/>
              <w:jc w:val="center"/>
              <w:rPr>
                <w:b/>
                <w:sz w:val="22"/>
                <w:szCs w:val="22"/>
              </w:rPr>
            </w:pPr>
          </w:p>
        </w:tc>
        <w:tc>
          <w:tcPr>
            <w:tcW w:w="990" w:type="dxa"/>
          </w:tcPr>
          <w:p w:rsidR="00B051EB" w:rsidRPr="008573C5" w:rsidRDefault="00B051EB" w:rsidP="00A23403">
            <w:pPr>
              <w:spacing w:before="100" w:beforeAutospacing="1" w:after="100" w:afterAutospacing="1"/>
              <w:jc w:val="center"/>
              <w:rPr>
                <w:b/>
                <w:sz w:val="22"/>
                <w:szCs w:val="22"/>
              </w:rPr>
            </w:pPr>
            <w:r w:rsidRPr="008573C5">
              <w:rPr>
                <w:b/>
                <w:sz w:val="22"/>
                <w:szCs w:val="22"/>
              </w:rPr>
              <w:t xml:space="preserve">SA </w:t>
            </w:r>
          </w:p>
          <w:p w:rsidR="00B051EB" w:rsidRPr="008573C5" w:rsidRDefault="00B051EB" w:rsidP="00A23403">
            <w:pPr>
              <w:spacing w:before="100" w:beforeAutospacing="1" w:after="100" w:afterAutospacing="1"/>
              <w:jc w:val="center"/>
              <w:rPr>
                <w:b/>
                <w:sz w:val="22"/>
                <w:szCs w:val="22"/>
              </w:rPr>
            </w:pPr>
          </w:p>
        </w:tc>
        <w:tc>
          <w:tcPr>
            <w:tcW w:w="900" w:type="dxa"/>
          </w:tcPr>
          <w:p w:rsidR="00B051EB" w:rsidRPr="008573C5" w:rsidRDefault="00B051EB" w:rsidP="00A23403">
            <w:pPr>
              <w:spacing w:before="100" w:beforeAutospacing="1" w:after="100" w:afterAutospacing="1"/>
              <w:jc w:val="center"/>
              <w:rPr>
                <w:b/>
                <w:sz w:val="22"/>
                <w:szCs w:val="22"/>
              </w:rPr>
            </w:pPr>
            <w:r w:rsidRPr="008573C5">
              <w:rPr>
                <w:b/>
                <w:sz w:val="22"/>
                <w:szCs w:val="22"/>
              </w:rPr>
              <w:t xml:space="preserve">A </w:t>
            </w:r>
          </w:p>
          <w:p w:rsidR="00B051EB" w:rsidRPr="008573C5" w:rsidRDefault="00B051EB" w:rsidP="00A23403">
            <w:pPr>
              <w:spacing w:before="100" w:beforeAutospacing="1" w:after="100" w:afterAutospacing="1"/>
              <w:rPr>
                <w:b/>
                <w:sz w:val="22"/>
                <w:szCs w:val="22"/>
              </w:rPr>
            </w:pPr>
          </w:p>
        </w:tc>
        <w:tc>
          <w:tcPr>
            <w:tcW w:w="900" w:type="dxa"/>
          </w:tcPr>
          <w:p w:rsidR="00B051EB" w:rsidRPr="008573C5" w:rsidRDefault="00B051EB" w:rsidP="00A23403">
            <w:pPr>
              <w:spacing w:before="100" w:beforeAutospacing="1" w:after="100" w:afterAutospacing="1"/>
              <w:jc w:val="center"/>
              <w:rPr>
                <w:b/>
                <w:sz w:val="22"/>
                <w:szCs w:val="22"/>
              </w:rPr>
            </w:pPr>
            <w:r w:rsidRPr="008573C5">
              <w:rPr>
                <w:b/>
                <w:sz w:val="22"/>
                <w:szCs w:val="22"/>
              </w:rPr>
              <w:t>D</w:t>
            </w:r>
          </w:p>
          <w:p w:rsidR="00B051EB" w:rsidRPr="008573C5" w:rsidRDefault="00B051EB" w:rsidP="00A23403">
            <w:pPr>
              <w:spacing w:before="100" w:beforeAutospacing="1" w:after="100" w:afterAutospacing="1"/>
              <w:jc w:val="center"/>
              <w:rPr>
                <w:b/>
                <w:sz w:val="22"/>
                <w:szCs w:val="22"/>
              </w:rPr>
            </w:pPr>
          </w:p>
        </w:tc>
        <w:tc>
          <w:tcPr>
            <w:tcW w:w="810" w:type="dxa"/>
          </w:tcPr>
          <w:p w:rsidR="00B051EB" w:rsidRPr="008573C5" w:rsidRDefault="00B051EB" w:rsidP="00A23403">
            <w:pPr>
              <w:spacing w:before="100" w:beforeAutospacing="1" w:after="100" w:afterAutospacing="1"/>
              <w:jc w:val="center"/>
              <w:rPr>
                <w:b/>
                <w:sz w:val="22"/>
                <w:szCs w:val="22"/>
              </w:rPr>
            </w:pPr>
            <w:r w:rsidRPr="008573C5">
              <w:rPr>
                <w:b/>
                <w:sz w:val="22"/>
                <w:szCs w:val="22"/>
              </w:rPr>
              <w:t>SD</w:t>
            </w:r>
          </w:p>
          <w:p w:rsidR="00B051EB" w:rsidRPr="008573C5" w:rsidRDefault="00B051EB" w:rsidP="00A23403">
            <w:pPr>
              <w:spacing w:before="100" w:beforeAutospacing="1" w:after="100" w:afterAutospacing="1"/>
              <w:jc w:val="center"/>
              <w:rPr>
                <w:b/>
                <w:sz w:val="22"/>
                <w:szCs w:val="22"/>
              </w:rPr>
            </w:pPr>
          </w:p>
        </w:tc>
        <w:tc>
          <w:tcPr>
            <w:tcW w:w="1170" w:type="dxa"/>
          </w:tcPr>
          <w:p w:rsidR="00B051EB" w:rsidRPr="008573C5" w:rsidRDefault="00B051EB" w:rsidP="00A23403">
            <w:pPr>
              <w:spacing w:before="100" w:beforeAutospacing="1" w:after="100" w:afterAutospacing="1"/>
              <w:jc w:val="center"/>
              <w:rPr>
                <w:b/>
                <w:sz w:val="22"/>
                <w:szCs w:val="22"/>
              </w:rPr>
            </w:pPr>
            <w:r w:rsidRPr="008573C5">
              <w:rPr>
                <w:b/>
                <w:sz w:val="22"/>
                <w:szCs w:val="22"/>
              </w:rPr>
              <w:t>Weighted</w:t>
            </w:r>
          </w:p>
          <w:p w:rsidR="00B051EB" w:rsidRPr="008573C5" w:rsidRDefault="00B051EB" w:rsidP="00A23403">
            <w:pPr>
              <w:spacing w:before="100" w:beforeAutospacing="1" w:after="100" w:afterAutospacing="1"/>
              <w:jc w:val="center"/>
              <w:rPr>
                <w:b/>
                <w:sz w:val="22"/>
                <w:szCs w:val="22"/>
              </w:rPr>
            </w:pPr>
            <w:r w:rsidRPr="008573C5">
              <w:rPr>
                <w:b/>
                <w:sz w:val="22"/>
                <w:szCs w:val="22"/>
              </w:rPr>
              <w:t>Sample</w:t>
            </w:r>
          </w:p>
          <w:p w:rsidR="00B051EB" w:rsidRPr="008573C5" w:rsidRDefault="00B051EB" w:rsidP="00A23403">
            <w:pPr>
              <w:spacing w:before="100" w:beforeAutospacing="1" w:after="100" w:afterAutospacing="1"/>
              <w:jc w:val="center"/>
              <w:rPr>
                <w:b/>
                <w:sz w:val="22"/>
                <w:szCs w:val="22"/>
              </w:rPr>
            </w:pPr>
          </w:p>
        </w:tc>
        <w:tc>
          <w:tcPr>
            <w:tcW w:w="990" w:type="dxa"/>
          </w:tcPr>
          <w:p w:rsidR="00B051EB" w:rsidRPr="008573C5" w:rsidRDefault="00B051EB" w:rsidP="00A23403">
            <w:pPr>
              <w:spacing w:before="100" w:beforeAutospacing="1" w:after="100" w:afterAutospacing="1"/>
              <w:jc w:val="center"/>
              <w:rPr>
                <w:b/>
                <w:sz w:val="22"/>
                <w:szCs w:val="22"/>
              </w:rPr>
            </w:pPr>
            <w:r w:rsidRPr="008573C5">
              <w:rPr>
                <w:b/>
                <w:sz w:val="22"/>
                <w:szCs w:val="22"/>
              </w:rPr>
              <w:t>M</w:t>
            </w:r>
          </w:p>
          <w:p w:rsidR="00B051EB" w:rsidRPr="008573C5" w:rsidRDefault="00B051EB" w:rsidP="00A23403">
            <w:pPr>
              <w:spacing w:before="100" w:beforeAutospacing="1" w:after="100" w:afterAutospacing="1"/>
              <w:jc w:val="center"/>
              <w:rPr>
                <w:b/>
                <w:sz w:val="22"/>
                <w:szCs w:val="22"/>
              </w:rPr>
            </w:pPr>
          </w:p>
        </w:tc>
        <w:tc>
          <w:tcPr>
            <w:tcW w:w="810" w:type="dxa"/>
          </w:tcPr>
          <w:p w:rsidR="00B051EB" w:rsidRPr="008573C5" w:rsidRDefault="00B051EB" w:rsidP="00A23403">
            <w:pPr>
              <w:spacing w:before="100" w:beforeAutospacing="1" w:after="100" w:afterAutospacing="1"/>
              <w:jc w:val="center"/>
              <w:rPr>
                <w:b/>
                <w:sz w:val="22"/>
                <w:szCs w:val="22"/>
              </w:rPr>
            </w:pPr>
            <w:r w:rsidRPr="008573C5">
              <w:rPr>
                <w:b/>
                <w:sz w:val="22"/>
                <w:szCs w:val="22"/>
              </w:rPr>
              <w:t>SDev</w:t>
            </w:r>
          </w:p>
        </w:tc>
      </w:tr>
      <w:tr w:rsidR="00B051EB" w:rsidRPr="008573C5" w:rsidTr="00A23403">
        <w:trPr>
          <w:trHeight w:val="278"/>
        </w:trPr>
        <w:tc>
          <w:tcPr>
            <w:tcW w:w="3348" w:type="dxa"/>
            <w:vAlign w:val="bottom"/>
          </w:tcPr>
          <w:p w:rsidR="00B051EB" w:rsidRPr="008573C5" w:rsidRDefault="00B051EB" w:rsidP="00A23403">
            <w:r w:rsidRPr="008573C5">
              <w:t>Company Size</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133</w:t>
            </w:r>
          </w:p>
          <w:p w:rsidR="00B051EB" w:rsidRPr="008573C5" w:rsidRDefault="00B051EB" w:rsidP="00A23403">
            <w:pPr>
              <w:spacing w:before="100" w:beforeAutospacing="1" w:after="100" w:afterAutospacing="1"/>
              <w:jc w:val="center"/>
              <w:rPr>
                <w:sz w:val="22"/>
                <w:szCs w:val="22"/>
              </w:rPr>
            </w:pPr>
            <w:r w:rsidRPr="008573C5">
              <w:rPr>
                <w:sz w:val="22"/>
                <w:szCs w:val="22"/>
              </w:rPr>
              <w:t>27.5%</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239</w:t>
            </w:r>
          </w:p>
          <w:p w:rsidR="00B051EB" w:rsidRPr="008573C5" w:rsidRDefault="00B051EB" w:rsidP="00A23403">
            <w:pPr>
              <w:spacing w:before="100" w:beforeAutospacing="1" w:after="100" w:afterAutospacing="1"/>
              <w:jc w:val="center"/>
              <w:rPr>
                <w:sz w:val="22"/>
                <w:szCs w:val="22"/>
              </w:rPr>
            </w:pPr>
            <w:r w:rsidRPr="008573C5">
              <w:rPr>
                <w:sz w:val="22"/>
                <w:szCs w:val="22"/>
              </w:rPr>
              <w:t>49.5%</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73</w:t>
            </w:r>
          </w:p>
          <w:p w:rsidR="00B051EB" w:rsidRPr="008573C5" w:rsidRDefault="00B051EB" w:rsidP="00A23403">
            <w:pPr>
              <w:spacing w:before="100" w:beforeAutospacing="1" w:after="100" w:afterAutospacing="1"/>
              <w:jc w:val="center"/>
              <w:rPr>
                <w:sz w:val="22"/>
                <w:szCs w:val="22"/>
              </w:rPr>
            </w:pPr>
            <w:r w:rsidRPr="008573C5">
              <w:rPr>
                <w:sz w:val="22"/>
                <w:szCs w:val="22"/>
              </w:rPr>
              <w:t>15.1%</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20</w:t>
            </w:r>
          </w:p>
          <w:p w:rsidR="00B051EB" w:rsidRPr="008573C5" w:rsidRDefault="00B051EB" w:rsidP="00A23403">
            <w:pPr>
              <w:spacing w:before="100" w:beforeAutospacing="1" w:after="100" w:afterAutospacing="1"/>
              <w:jc w:val="center"/>
              <w:rPr>
                <w:sz w:val="22"/>
                <w:szCs w:val="22"/>
              </w:rPr>
            </w:pPr>
            <w:r w:rsidRPr="008573C5">
              <w:rPr>
                <w:sz w:val="22"/>
                <w:szCs w:val="22"/>
              </w:rPr>
              <w:t>4.1%</w:t>
            </w:r>
          </w:p>
        </w:tc>
        <w:tc>
          <w:tcPr>
            <w:tcW w:w="1170" w:type="dxa"/>
          </w:tcPr>
          <w:p w:rsidR="00B051EB" w:rsidRPr="008573C5" w:rsidRDefault="00B051EB" w:rsidP="00A23403">
            <w:pPr>
              <w:spacing w:before="100" w:beforeAutospacing="1" w:after="100" w:afterAutospacing="1"/>
              <w:rPr>
                <w:sz w:val="22"/>
                <w:szCs w:val="22"/>
              </w:rPr>
            </w:pPr>
            <w:r w:rsidRPr="008573C5">
              <w:rPr>
                <w:sz w:val="22"/>
                <w:szCs w:val="22"/>
              </w:rPr>
              <w:t>465</w:t>
            </w:r>
          </w:p>
          <w:p w:rsidR="00B051EB" w:rsidRPr="008573C5" w:rsidRDefault="00B051EB" w:rsidP="00A23403">
            <w:pPr>
              <w:spacing w:before="100" w:beforeAutospacing="1" w:after="100" w:afterAutospacing="1"/>
              <w:rPr>
                <w:sz w:val="22"/>
                <w:szCs w:val="22"/>
              </w:rPr>
            </w:pPr>
            <w:r w:rsidRPr="008573C5">
              <w:rPr>
                <w:sz w:val="22"/>
                <w:szCs w:val="22"/>
              </w:rPr>
              <w:t>96.3%</w:t>
            </w:r>
          </w:p>
        </w:tc>
        <w:tc>
          <w:tcPr>
            <w:tcW w:w="990" w:type="dxa"/>
          </w:tcPr>
          <w:p w:rsidR="00B051EB" w:rsidRPr="008573C5" w:rsidRDefault="00B051EB" w:rsidP="00A23403">
            <w:r w:rsidRPr="008573C5">
              <w:t>3.04</w:t>
            </w:r>
          </w:p>
        </w:tc>
        <w:tc>
          <w:tcPr>
            <w:tcW w:w="810" w:type="dxa"/>
          </w:tcPr>
          <w:p w:rsidR="00B051EB" w:rsidRPr="008573C5" w:rsidRDefault="00B051EB" w:rsidP="00A23403">
            <w:pPr>
              <w:rPr>
                <w:sz w:val="22"/>
                <w:szCs w:val="22"/>
              </w:rPr>
            </w:pPr>
            <w:r w:rsidRPr="008573C5">
              <w:rPr>
                <w:sz w:val="22"/>
                <w:szCs w:val="22"/>
              </w:rPr>
              <w:t>.784</w:t>
            </w:r>
          </w:p>
        </w:tc>
      </w:tr>
      <w:tr w:rsidR="00B051EB" w:rsidRPr="008573C5" w:rsidTr="00A23403">
        <w:tc>
          <w:tcPr>
            <w:tcW w:w="3348" w:type="dxa"/>
            <w:vAlign w:val="bottom"/>
          </w:tcPr>
          <w:p w:rsidR="00B051EB" w:rsidRPr="008573C5" w:rsidRDefault="00B051EB" w:rsidP="00A23403">
            <w:r w:rsidRPr="008573C5">
              <w:t>Profitability</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114</w:t>
            </w:r>
          </w:p>
          <w:p w:rsidR="00B051EB" w:rsidRPr="008573C5" w:rsidRDefault="00B051EB" w:rsidP="00A23403">
            <w:pPr>
              <w:spacing w:before="100" w:beforeAutospacing="1" w:after="100" w:afterAutospacing="1"/>
              <w:jc w:val="center"/>
              <w:rPr>
                <w:sz w:val="22"/>
                <w:szCs w:val="22"/>
              </w:rPr>
            </w:pPr>
            <w:r w:rsidRPr="008573C5">
              <w:rPr>
                <w:sz w:val="22"/>
                <w:szCs w:val="22"/>
              </w:rPr>
              <w:t>23.6%</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255</w:t>
            </w:r>
          </w:p>
          <w:p w:rsidR="00B051EB" w:rsidRPr="008573C5" w:rsidRDefault="00B051EB" w:rsidP="00A23403">
            <w:pPr>
              <w:spacing w:before="100" w:beforeAutospacing="1" w:after="100" w:afterAutospacing="1"/>
              <w:jc w:val="center"/>
              <w:rPr>
                <w:sz w:val="22"/>
                <w:szCs w:val="22"/>
              </w:rPr>
            </w:pPr>
            <w:r w:rsidRPr="008573C5">
              <w:rPr>
                <w:sz w:val="22"/>
                <w:szCs w:val="22"/>
              </w:rPr>
              <w:t>52.8%</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86</w:t>
            </w:r>
          </w:p>
          <w:p w:rsidR="00B051EB" w:rsidRPr="008573C5" w:rsidRDefault="00B051EB" w:rsidP="00A23403">
            <w:pPr>
              <w:spacing w:before="100" w:beforeAutospacing="1" w:after="100" w:afterAutospacing="1"/>
              <w:jc w:val="center"/>
              <w:rPr>
                <w:sz w:val="22"/>
                <w:szCs w:val="22"/>
              </w:rPr>
            </w:pPr>
            <w:r w:rsidRPr="008573C5">
              <w:rPr>
                <w:sz w:val="22"/>
                <w:szCs w:val="22"/>
              </w:rPr>
              <w:t>17.8%</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13</w:t>
            </w:r>
          </w:p>
          <w:p w:rsidR="00B051EB" w:rsidRPr="008573C5" w:rsidRDefault="00B051EB" w:rsidP="00A23403">
            <w:pPr>
              <w:spacing w:before="100" w:beforeAutospacing="1" w:after="100" w:afterAutospacing="1"/>
              <w:jc w:val="center"/>
              <w:rPr>
                <w:sz w:val="22"/>
                <w:szCs w:val="22"/>
              </w:rPr>
            </w:pPr>
            <w:r w:rsidRPr="008573C5">
              <w:rPr>
                <w:sz w:val="22"/>
                <w:szCs w:val="22"/>
              </w:rPr>
              <w:t>2.7%</w:t>
            </w:r>
          </w:p>
        </w:tc>
        <w:tc>
          <w:tcPr>
            <w:tcW w:w="1170" w:type="dxa"/>
          </w:tcPr>
          <w:p w:rsidR="00B051EB" w:rsidRPr="008573C5" w:rsidRDefault="00B051EB" w:rsidP="00A23403">
            <w:pPr>
              <w:rPr>
                <w:sz w:val="22"/>
                <w:szCs w:val="22"/>
              </w:rPr>
            </w:pPr>
            <w:r w:rsidRPr="008573C5">
              <w:rPr>
                <w:sz w:val="22"/>
                <w:szCs w:val="22"/>
              </w:rPr>
              <w:t>468</w:t>
            </w:r>
          </w:p>
          <w:p w:rsidR="00B051EB" w:rsidRPr="008573C5" w:rsidRDefault="00B051EB" w:rsidP="00A23403">
            <w:pPr>
              <w:rPr>
                <w:sz w:val="22"/>
                <w:szCs w:val="22"/>
              </w:rPr>
            </w:pPr>
          </w:p>
          <w:p w:rsidR="00B051EB" w:rsidRPr="008573C5" w:rsidRDefault="00B051EB" w:rsidP="00A23403">
            <w:r w:rsidRPr="008573C5">
              <w:rPr>
                <w:sz w:val="22"/>
                <w:szCs w:val="22"/>
              </w:rPr>
              <w:t>96.9%</w:t>
            </w:r>
          </w:p>
        </w:tc>
        <w:tc>
          <w:tcPr>
            <w:tcW w:w="990" w:type="dxa"/>
          </w:tcPr>
          <w:p w:rsidR="00B051EB" w:rsidRPr="008573C5" w:rsidRDefault="00B051EB" w:rsidP="00A23403">
            <w:r w:rsidRPr="008573C5">
              <w:t>3.00</w:t>
            </w:r>
          </w:p>
        </w:tc>
        <w:tc>
          <w:tcPr>
            <w:tcW w:w="810" w:type="dxa"/>
          </w:tcPr>
          <w:p w:rsidR="00B051EB" w:rsidRPr="008573C5" w:rsidRDefault="00B051EB" w:rsidP="00A23403">
            <w:pPr>
              <w:rPr>
                <w:sz w:val="22"/>
                <w:szCs w:val="22"/>
              </w:rPr>
            </w:pPr>
            <w:r w:rsidRPr="008573C5">
              <w:rPr>
                <w:sz w:val="22"/>
                <w:szCs w:val="22"/>
              </w:rPr>
              <w:t>.785</w:t>
            </w:r>
          </w:p>
        </w:tc>
      </w:tr>
      <w:tr w:rsidR="00B051EB" w:rsidRPr="008573C5" w:rsidTr="00A23403">
        <w:tc>
          <w:tcPr>
            <w:tcW w:w="3348" w:type="dxa"/>
          </w:tcPr>
          <w:p w:rsidR="00B051EB" w:rsidRPr="008573C5" w:rsidRDefault="00B051EB" w:rsidP="00A23403">
            <w:pPr>
              <w:rPr>
                <w:sz w:val="22"/>
                <w:szCs w:val="22"/>
              </w:rPr>
            </w:pPr>
            <w:r w:rsidRPr="008573C5">
              <w:t>Leverage</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65</w:t>
            </w:r>
          </w:p>
          <w:p w:rsidR="00B051EB" w:rsidRPr="008573C5" w:rsidRDefault="00B051EB" w:rsidP="00A23403">
            <w:pPr>
              <w:spacing w:before="100" w:beforeAutospacing="1" w:after="100" w:afterAutospacing="1"/>
              <w:jc w:val="center"/>
              <w:rPr>
                <w:sz w:val="22"/>
                <w:szCs w:val="22"/>
              </w:rPr>
            </w:pPr>
            <w:r w:rsidRPr="008573C5">
              <w:rPr>
                <w:sz w:val="22"/>
                <w:szCs w:val="22"/>
              </w:rPr>
              <w:t>13.5%</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250</w:t>
            </w:r>
          </w:p>
          <w:p w:rsidR="00B051EB" w:rsidRPr="008573C5" w:rsidRDefault="00B051EB" w:rsidP="00A23403">
            <w:pPr>
              <w:spacing w:before="100" w:beforeAutospacing="1" w:after="100" w:afterAutospacing="1"/>
              <w:jc w:val="center"/>
              <w:rPr>
                <w:sz w:val="22"/>
                <w:szCs w:val="22"/>
              </w:rPr>
            </w:pPr>
            <w:r w:rsidRPr="008573C5">
              <w:rPr>
                <w:sz w:val="22"/>
                <w:szCs w:val="22"/>
              </w:rPr>
              <w:t>51.8%</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126</w:t>
            </w:r>
          </w:p>
          <w:p w:rsidR="00B051EB" w:rsidRPr="008573C5" w:rsidRDefault="00B051EB" w:rsidP="00A23403">
            <w:pPr>
              <w:spacing w:before="100" w:beforeAutospacing="1" w:after="100" w:afterAutospacing="1"/>
              <w:jc w:val="center"/>
              <w:rPr>
                <w:sz w:val="22"/>
                <w:szCs w:val="22"/>
              </w:rPr>
            </w:pPr>
            <w:r w:rsidRPr="008573C5">
              <w:rPr>
                <w:sz w:val="22"/>
                <w:szCs w:val="22"/>
              </w:rPr>
              <w:t>26.1%</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11</w:t>
            </w:r>
          </w:p>
          <w:p w:rsidR="00B051EB" w:rsidRPr="008573C5" w:rsidRDefault="00B051EB" w:rsidP="00A23403">
            <w:pPr>
              <w:spacing w:before="100" w:beforeAutospacing="1" w:after="100" w:afterAutospacing="1"/>
              <w:jc w:val="center"/>
              <w:rPr>
                <w:sz w:val="22"/>
                <w:szCs w:val="22"/>
              </w:rPr>
            </w:pPr>
            <w:r w:rsidRPr="008573C5">
              <w:rPr>
                <w:sz w:val="22"/>
                <w:szCs w:val="22"/>
              </w:rPr>
              <w:t>2.3%</w:t>
            </w:r>
          </w:p>
        </w:tc>
        <w:tc>
          <w:tcPr>
            <w:tcW w:w="1170" w:type="dxa"/>
          </w:tcPr>
          <w:p w:rsidR="00B051EB" w:rsidRPr="008573C5" w:rsidRDefault="00B051EB" w:rsidP="00A23403">
            <w:pPr>
              <w:rPr>
                <w:sz w:val="22"/>
                <w:szCs w:val="22"/>
              </w:rPr>
            </w:pPr>
            <w:r w:rsidRPr="008573C5">
              <w:rPr>
                <w:sz w:val="22"/>
                <w:szCs w:val="22"/>
              </w:rPr>
              <w:t>452</w:t>
            </w:r>
          </w:p>
          <w:p w:rsidR="00B051EB" w:rsidRPr="008573C5" w:rsidRDefault="00B051EB" w:rsidP="00A23403">
            <w:pPr>
              <w:rPr>
                <w:sz w:val="22"/>
                <w:szCs w:val="22"/>
              </w:rPr>
            </w:pPr>
          </w:p>
          <w:p w:rsidR="00B051EB" w:rsidRPr="008573C5" w:rsidRDefault="00B051EB" w:rsidP="00A23403">
            <w:r w:rsidRPr="008573C5">
              <w:rPr>
                <w:sz w:val="22"/>
                <w:szCs w:val="22"/>
              </w:rPr>
              <w:t>93.6%</w:t>
            </w:r>
          </w:p>
        </w:tc>
        <w:tc>
          <w:tcPr>
            <w:tcW w:w="990" w:type="dxa"/>
          </w:tcPr>
          <w:p w:rsidR="00B051EB" w:rsidRPr="008573C5" w:rsidRDefault="00B051EB" w:rsidP="00A23403">
            <w:r w:rsidRPr="008573C5">
              <w:t>2.82</w:t>
            </w:r>
          </w:p>
        </w:tc>
        <w:tc>
          <w:tcPr>
            <w:tcW w:w="810" w:type="dxa"/>
          </w:tcPr>
          <w:p w:rsidR="00B051EB" w:rsidRPr="008573C5" w:rsidRDefault="00B051EB" w:rsidP="00A23403">
            <w:pPr>
              <w:rPr>
                <w:sz w:val="22"/>
                <w:szCs w:val="22"/>
              </w:rPr>
            </w:pPr>
            <w:r w:rsidRPr="008573C5">
              <w:rPr>
                <w:sz w:val="22"/>
                <w:szCs w:val="22"/>
              </w:rPr>
              <w:t>.698</w:t>
            </w:r>
          </w:p>
        </w:tc>
      </w:tr>
      <w:tr w:rsidR="00B051EB" w:rsidRPr="008573C5" w:rsidTr="00A23403">
        <w:tc>
          <w:tcPr>
            <w:tcW w:w="3348" w:type="dxa"/>
          </w:tcPr>
          <w:p w:rsidR="00B051EB" w:rsidRPr="008573C5" w:rsidRDefault="00B051EB" w:rsidP="00A23403">
            <w:r w:rsidRPr="008573C5">
              <w:t>Company Age.</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70</w:t>
            </w:r>
          </w:p>
          <w:p w:rsidR="00B051EB" w:rsidRPr="008573C5" w:rsidRDefault="00B051EB" w:rsidP="00A23403">
            <w:pPr>
              <w:spacing w:before="100" w:beforeAutospacing="1" w:after="100" w:afterAutospacing="1"/>
              <w:jc w:val="center"/>
              <w:rPr>
                <w:sz w:val="22"/>
                <w:szCs w:val="22"/>
              </w:rPr>
            </w:pPr>
            <w:r w:rsidRPr="008573C5">
              <w:rPr>
                <w:sz w:val="22"/>
                <w:szCs w:val="22"/>
              </w:rPr>
              <w:t>14.5%</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190</w:t>
            </w:r>
          </w:p>
          <w:p w:rsidR="00B051EB" w:rsidRPr="008573C5" w:rsidRDefault="00B051EB" w:rsidP="00A23403">
            <w:pPr>
              <w:spacing w:before="100" w:beforeAutospacing="1" w:after="100" w:afterAutospacing="1"/>
              <w:jc w:val="center"/>
              <w:rPr>
                <w:sz w:val="22"/>
                <w:szCs w:val="22"/>
              </w:rPr>
            </w:pPr>
            <w:r w:rsidRPr="008573C5">
              <w:rPr>
                <w:sz w:val="22"/>
                <w:szCs w:val="22"/>
              </w:rPr>
              <w:t>39.3%</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148</w:t>
            </w:r>
          </w:p>
          <w:p w:rsidR="00B051EB" w:rsidRPr="008573C5" w:rsidRDefault="00B051EB" w:rsidP="00A23403">
            <w:pPr>
              <w:spacing w:before="100" w:beforeAutospacing="1" w:after="100" w:afterAutospacing="1"/>
              <w:jc w:val="center"/>
              <w:rPr>
                <w:sz w:val="22"/>
                <w:szCs w:val="22"/>
              </w:rPr>
            </w:pPr>
            <w:r w:rsidRPr="008573C5">
              <w:rPr>
                <w:sz w:val="22"/>
                <w:szCs w:val="22"/>
              </w:rPr>
              <w:t>30.6%</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19</w:t>
            </w:r>
          </w:p>
          <w:p w:rsidR="00B051EB" w:rsidRPr="008573C5" w:rsidRDefault="00B051EB" w:rsidP="00A23403">
            <w:pPr>
              <w:spacing w:before="100" w:beforeAutospacing="1" w:after="100" w:afterAutospacing="1"/>
              <w:jc w:val="center"/>
              <w:rPr>
                <w:sz w:val="22"/>
                <w:szCs w:val="22"/>
              </w:rPr>
            </w:pPr>
            <w:r w:rsidRPr="008573C5">
              <w:rPr>
                <w:sz w:val="22"/>
                <w:szCs w:val="22"/>
              </w:rPr>
              <w:t>3.9%</w:t>
            </w:r>
          </w:p>
        </w:tc>
        <w:tc>
          <w:tcPr>
            <w:tcW w:w="1170" w:type="dxa"/>
          </w:tcPr>
          <w:p w:rsidR="00B051EB" w:rsidRPr="008573C5" w:rsidRDefault="00B051EB" w:rsidP="00A23403">
            <w:pPr>
              <w:rPr>
                <w:sz w:val="22"/>
                <w:szCs w:val="22"/>
              </w:rPr>
            </w:pPr>
            <w:r w:rsidRPr="008573C5">
              <w:rPr>
                <w:sz w:val="22"/>
                <w:szCs w:val="22"/>
              </w:rPr>
              <w:t>427</w:t>
            </w:r>
          </w:p>
          <w:p w:rsidR="00B051EB" w:rsidRPr="008573C5" w:rsidRDefault="00B051EB" w:rsidP="00A23403">
            <w:pPr>
              <w:rPr>
                <w:sz w:val="22"/>
                <w:szCs w:val="22"/>
              </w:rPr>
            </w:pPr>
          </w:p>
          <w:p w:rsidR="00B051EB" w:rsidRPr="008573C5" w:rsidRDefault="00B051EB" w:rsidP="00A23403">
            <w:r w:rsidRPr="008573C5">
              <w:rPr>
                <w:sz w:val="22"/>
                <w:szCs w:val="22"/>
              </w:rPr>
              <w:t>88.4%</w:t>
            </w:r>
          </w:p>
        </w:tc>
        <w:tc>
          <w:tcPr>
            <w:tcW w:w="990" w:type="dxa"/>
          </w:tcPr>
          <w:p w:rsidR="00B051EB" w:rsidRPr="008573C5" w:rsidRDefault="00B051EB" w:rsidP="00A23403">
            <w:r w:rsidRPr="008573C5">
              <w:t>2.73</w:t>
            </w:r>
          </w:p>
        </w:tc>
        <w:tc>
          <w:tcPr>
            <w:tcW w:w="810" w:type="dxa"/>
          </w:tcPr>
          <w:p w:rsidR="00B051EB" w:rsidRPr="008573C5" w:rsidRDefault="00B051EB" w:rsidP="00A23403">
            <w:pPr>
              <w:rPr>
                <w:sz w:val="22"/>
                <w:szCs w:val="22"/>
              </w:rPr>
            </w:pPr>
            <w:r w:rsidRPr="008573C5">
              <w:rPr>
                <w:sz w:val="22"/>
                <w:szCs w:val="22"/>
              </w:rPr>
              <w:t>.785</w:t>
            </w:r>
          </w:p>
        </w:tc>
      </w:tr>
      <w:tr w:rsidR="00B051EB" w:rsidRPr="008573C5" w:rsidTr="00A23403">
        <w:tc>
          <w:tcPr>
            <w:tcW w:w="3348" w:type="dxa"/>
          </w:tcPr>
          <w:p w:rsidR="00B051EB" w:rsidRPr="008573C5" w:rsidRDefault="00B051EB" w:rsidP="00A23403">
            <w:pPr>
              <w:tabs>
                <w:tab w:val="left" w:pos="2694"/>
              </w:tabs>
              <w:rPr>
                <w:sz w:val="22"/>
                <w:szCs w:val="22"/>
              </w:rPr>
            </w:pPr>
            <w:r w:rsidRPr="008573C5">
              <w:t>Industry Type</w:t>
            </w:r>
            <w:r w:rsidRPr="008573C5">
              <w:tab/>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110</w:t>
            </w:r>
          </w:p>
          <w:p w:rsidR="00B051EB" w:rsidRPr="008573C5" w:rsidRDefault="00B051EB" w:rsidP="00A23403">
            <w:pPr>
              <w:spacing w:before="100" w:beforeAutospacing="1" w:after="100" w:afterAutospacing="1"/>
              <w:jc w:val="center"/>
              <w:rPr>
                <w:sz w:val="22"/>
                <w:szCs w:val="22"/>
              </w:rPr>
            </w:pPr>
            <w:r w:rsidRPr="008573C5">
              <w:rPr>
                <w:sz w:val="22"/>
                <w:szCs w:val="22"/>
              </w:rPr>
              <w:t>22.8%</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243</w:t>
            </w:r>
          </w:p>
          <w:p w:rsidR="00B051EB" w:rsidRPr="008573C5" w:rsidRDefault="00B051EB" w:rsidP="00A23403">
            <w:pPr>
              <w:spacing w:before="100" w:beforeAutospacing="1" w:after="100" w:afterAutospacing="1"/>
              <w:jc w:val="center"/>
              <w:rPr>
                <w:sz w:val="22"/>
                <w:szCs w:val="22"/>
              </w:rPr>
            </w:pPr>
            <w:r w:rsidRPr="008573C5">
              <w:rPr>
                <w:sz w:val="22"/>
                <w:szCs w:val="22"/>
              </w:rPr>
              <w:t>50.3%</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90</w:t>
            </w:r>
          </w:p>
          <w:p w:rsidR="00B051EB" w:rsidRPr="008573C5" w:rsidRDefault="00B051EB" w:rsidP="00A23403">
            <w:pPr>
              <w:spacing w:before="100" w:beforeAutospacing="1" w:after="100" w:afterAutospacing="1"/>
              <w:jc w:val="center"/>
              <w:rPr>
                <w:sz w:val="22"/>
                <w:szCs w:val="22"/>
              </w:rPr>
            </w:pPr>
            <w:r w:rsidRPr="008573C5">
              <w:rPr>
                <w:sz w:val="22"/>
                <w:szCs w:val="22"/>
              </w:rPr>
              <w:t>18.6%</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18</w:t>
            </w:r>
          </w:p>
          <w:p w:rsidR="00B051EB" w:rsidRPr="008573C5" w:rsidRDefault="00B051EB" w:rsidP="00A23403">
            <w:pPr>
              <w:spacing w:before="100" w:beforeAutospacing="1" w:after="100" w:afterAutospacing="1"/>
              <w:jc w:val="center"/>
              <w:rPr>
                <w:sz w:val="22"/>
                <w:szCs w:val="22"/>
              </w:rPr>
            </w:pPr>
            <w:r w:rsidRPr="008573C5">
              <w:rPr>
                <w:sz w:val="22"/>
                <w:szCs w:val="22"/>
              </w:rPr>
              <w:t>3.7%</w:t>
            </w:r>
          </w:p>
        </w:tc>
        <w:tc>
          <w:tcPr>
            <w:tcW w:w="1170" w:type="dxa"/>
          </w:tcPr>
          <w:p w:rsidR="00B051EB" w:rsidRPr="008573C5" w:rsidRDefault="00B051EB" w:rsidP="00A23403">
            <w:pPr>
              <w:rPr>
                <w:sz w:val="22"/>
                <w:szCs w:val="22"/>
              </w:rPr>
            </w:pPr>
            <w:r w:rsidRPr="008573C5">
              <w:rPr>
                <w:sz w:val="22"/>
                <w:szCs w:val="22"/>
              </w:rPr>
              <w:t>461</w:t>
            </w:r>
          </w:p>
          <w:p w:rsidR="00B051EB" w:rsidRPr="008573C5" w:rsidRDefault="00B051EB" w:rsidP="00A23403">
            <w:pPr>
              <w:rPr>
                <w:sz w:val="22"/>
                <w:szCs w:val="22"/>
              </w:rPr>
            </w:pPr>
          </w:p>
          <w:p w:rsidR="00B051EB" w:rsidRPr="008573C5" w:rsidRDefault="00B051EB" w:rsidP="00A23403">
            <w:r w:rsidRPr="008573C5">
              <w:rPr>
                <w:sz w:val="22"/>
                <w:szCs w:val="22"/>
              </w:rPr>
              <w:t>95.4%</w:t>
            </w:r>
          </w:p>
        </w:tc>
        <w:tc>
          <w:tcPr>
            <w:tcW w:w="990" w:type="dxa"/>
          </w:tcPr>
          <w:p w:rsidR="00B051EB" w:rsidRPr="008573C5" w:rsidRDefault="00B051EB" w:rsidP="00A23403">
            <w:r w:rsidRPr="008573C5">
              <w:t>2.97</w:t>
            </w:r>
          </w:p>
        </w:tc>
        <w:tc>
          <w:tcPr>
            <w:tcW w:w="810" w:type="dxa"/>
          </w:tcPr>
          <w:p w:rsidR="00B051EB" w:rsidRPr="008573C5" w:rsidRDefault="00B051EB" w:rsidP="00A23403">
            <w:pPr>
              <w:rPr>
                <w:sz w:val="22"/>
                <w:szCs w:val="22"/>
              </w:rPr>
            </w:pPr>
            <w:r w:rsidRPr="008573C5">
              <w:rPr>
                <w:sz w:val="22"/>
                <w:szCs w:val="22"/>
              </w:rPr>
              <w:t>.768</w:t>
            </w:r>
          </w:p>
        </w:tc>
      </w:tr>
      <w:tr w:rsidR="00B051EB" w:rsidRPr="008573C5" w:rsidTr="00A23403">
        <w:tc>
          <w:tcPr>
            <w:tcW w:w="3348" w:type="dxa"/>
          </w:tcPr>
          <w:p w:rsidR="00B051EB" w:rsidRPr="008573C5" w:rsidRDefault="00B051EB" w:rsidP="00A23403">
            <w:pPr>
              <w:tabs>
                <w:tab w:val="left" w:pos="2694"/>
              </w:tabs>
            </w:pPr>
            <w:r w:rsidRPr="008573C5">
              <w:t>Size of Audit firm</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94</w:t>
            </w:r>
          </w:p>
          <w:p w:rsidR="00B051EB" w:rsidRPr="008573C5" w:rsidRDefault="00B051EB" w:rsidP="00A23403">
            <w:pPr>
              <w:spacing w:before="100" w:beforeAutospacing="1" w:after="100" w:afterAutospacing="1"/>
              <w:jc w:val="center"/>
              <w:rPr>
                <w:sz w:val="22"/>
                <w:szCs w:val="22"/>
              </w:rPr>
            </w:pPr>
            <w:r w:rsidRPr="008573C5">
              <w:rPr>
                <w:sz w:val="22"/>
                <w:szCs w:val="22"/>
              </w:rPr>
              <w:t>19.5%</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204</w:t>
            </w:r>
          </w:p>
          <w:p w:rsidR="00B051EB" w:rsidRPr="008573C5" w:rsidRDefault="00B051EB" w:rsidP="00A23403">
            <w:pPr>
              <w:spacing w:before="100" w:beforeAutospacing="1" w:after="100" w:afterAutospacing="1"/>
              <w:jc w:val="center"/>
              <w:rPr>
                <w:sz w:val="22"/>
                <w:szCs w:val="22"/>
              </w:rPr>
            </w:pPr>
            <w:r w:rsidRPr="008573C5">
              <w:rPr>
                <w:sz w:val="22"/>
                <w:szCs w:val="22"/>
              </w:rPr>
              <w:t>42.2%</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137</w:t>
            </w:r>
          </w:p>
          <w:p w:rsidR="00B051EB" w:rsidRPr="008573C5" w:rsidRDefault="00B051EB" w:rsidP="00A23403">
            <w:pPr>
              <w:spacing w:before="100" w:beforeAutospacing="1" w:after="100" w:afterAutospacing="1"/>
              <w:jc w:val="center"/>
              <w:rPr>
                <w:sz w:val="22"/>
                <w:szCs w:val="22"/>
              </w:rPr>
            </w:pPr>
            <w:r w:rsidRPr="008573C5">
              <w:rPr>
                <w:sz w:val="22"/>
                <w:szCs w:val="22"/>
              </w:rPr>
              <w:t>28.4%</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28</w:t>
            </w:r>
          </w:p>
          <w:p w:rsidR="00B051EB" w:rsidRPr="008573C5" w:rsidRDefault="00B051EB" w:rsidP="00A23403">
            <w:pPr>
              <w:spacing w:before="100" w:beforeAutospacing="1" w:after="100" w:afterAutospacing="1"/>
              <w:jc w:val="center"/>
              <w:rPr>
                <w:sz w:val="22"/>
                <w:szCs w:val="22"/>
              </w:rPr>
            </w:pPr>
            <w:r w:rsidRPr="008573C5">
              <w:rPr>
                <w:sz w:val="22"/>
                <w:szCs w:val="22"/>
              </w:rPr>
              <w:t>5.8%</w:t>
            </w:r>
          </w:p>
        </w:tc>
        <w:tc>
          <w:tcPr>
            <w:tcW w:w="1170" w:type="dxa"/>
          </w:tcPr>
          <w:p w:rsidR="00B051EB" w:rsidRPr="008573C5" w:rsidRDefault="00B051EB" w:rsidP="00A23403">
            <w:pPr>
              <w:rPr>
                <w:sz w:val="22"/>
                <w:szCs w:val="22"/>
              </w:rPr>
            </w:pPr>
            <w:r w:rsidRPr="008573C5">
              <w:rPr>
                <w:sz w:val="22"/>
                <w:szCs w:val="22"/>
              </w:rPr>
              <w:t>463</w:t>
            </w:r>
          </w:p>
          <w:p w:rsidR="00B051EB" w:rsidRPr="008573C5" w:rsidRDefault="00B051EB" w:rsidP="00A23403">
            <w:pPr>
              <w:rPr>
                <w:sz w:val="22"/>
                <w:szCs w:val="22"/>
              </w:rPr>
            </w:pPr>
          </w:p>
          <w:p w:rsidR="00B051EB" w:rsidRPr="008573C5" w:rsidRDefault="00B051EB" w:rsidP="00A23403">
            <w:r w:rsidRPr="008573C5">
              <w:rPr>
                <w:sz w:val="22"/>
                <w:szCs w:val="22"/>
              </w:rPr>
              <w:t>95.9%</w:t>
            </w:r>
          </w:p>
        </w:tc>
        <w:tc>
          <w:tcPr>
            <w:tcW w:w="990" w:type="dxa"/>
          </w:tcPr>
          <w:p w:rsidR="00B051EB" w:rsidRPr="008573C5" w:rsidRDefault="00B051EB" w:rsidP="00A23403">
            <w:r w:rsidRPr="008573C5">
              <w:t>2.79</w:t>
            </w:r>
          </w:p>
        </w:tc>
        <w:tc>
          <w:tcPr>
            <w:tcW w:w="810" w:type="dxa"/>
          </w:tcPr>
          <w:p w:rsidR="00B051EB" w:rsidRPr="008573C5" w:rsidRDefault="00B051EB" w:rsidP="00A23403">
            <w:pPr>
              <w:rPr>
                <w:sz w:val="22"/>
                <w:szCs w:val="22"/>
              </w:rPr>
            </w:pPr>
            <w:r w:rsidRPr="008573C5">
              <w:rPr>
                <w:sz w:val="22"/>
                <w:szCs w:val="22"/>
              </w:rPr>
              <w:t>.835</w:t>
            </w:r>
          </w:p>
        </w:tc>
      </w:tr>
      <w:tr w:rsidR="00B051EB" w:rsidRPr="008573C5" w:rsidTr="00A23403">
        <w:tc>
          <w:tcPr>
            <w:tcW w:w="3348" w:type="dxa"/>
          </w:tcPr>
          <w:p w:rsidR="00B051EB" w:rsidRPr="008573C5" w:rsidRDefault="00B051EB" w:rsidP="00A23403">
            <w:pPr>
              <w:tabs>
                <w:tab w:val="left" w:pos="2694"/>
              </w:tabs>
            </w:pPr>
            <w:r w:rsidRPr="008573C5">
              <w:t>Multinational Affiliation</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123</w:t>
            </w:r>
          </w:p>
          <w:p w:rsidR="00B051EB" w:rsidRPr="008573C5" w:rsidRDefault="00B051EB" w:rsidP="00A23403">
            <w:pPr>
              <w:spacing w:before="100" w:beforeAutospacing="1" w:after="100" w:afterAutospacing="1"/>
              <w:jc w:val="center"/>
              <w:rPr>
                <w:sz w:val="22"/>
                <w:szCs w:val="22"/>
              </w:rPr>
            </w:pPr>
            <w:r w:rsidRPr="008573C5">
              <w:rPr>
                <w:sz w:val="22"/>
                <w:szCs w:val="22"/>
              </w:rPr>
              <w:t>25.5%</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224</w:t>
            </w:r>
          </w:p>
          <w:p w:rsidR="00B051EB" w:rsidRPr="008573C5" w:rsidRDefault="00B051EB" w:rsidP="00A23403">
            <w:pPr>
              <w:spacing w:before="100" w:beforeAutospacing="1" w:after="100" w:afterAutospacing="1"/>
              <w:jc w:val="center"/>
              <w:rPr>
                <w:sz w:val="22"/>
                <w:szCs w:val="22"/>
              </w:rPr>
            </w:pPr>
            <w:r w:rsidRPr="008573C5">
              <w:rPr>
                <w:sz w:val="22"/>
                <w:szCs w:val="22"/>
              </w:rPr>
              <w:t>46.4%</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97</w:t>
            </w:r>
          </w:p>
          <w:p w:rsidR="00B051EB" w:rsidRPr="008573C5" w:rsidRDefault="00B051EB" w:rsidP="00A23403">
            <w:pPr>
              <w:spacing w:before="100" w:beforeAutospacing="1" w:after="100" w:afterAutospacing="1"/>
              <w:jc w:val="center"/>
              <w:rPr>
                <w:sz w:val="22"/>
                <w:szCs w:val="22"/>
              </w:rPr>
            </w:pPr>
            <w:r w:rsidRPr="008573C5">
              <w:rPr>
                <w:sz w:val="22"/>
                <w:szCs w:val="22"/>
              </w:rPr>
              <w:t>20.1%</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22</w:t>
            </w:r>
          </w:p>
          <w:p w:rsidR="00B051EB" w:rsidRPr="008573C5" w:rsidRDefault="00B051EB" w:rsidP="00A23403">
            <w:pPr>
              <w:spacing w:before="100" w:beforeAutospacing="1" w:after="100" w:afterAutospacing="1"/>
              <w:jc w:val="center"/>
              <w:rPr>
                <w:sz w:val="22"/>
                <w:szCs w:val="22"/>
              </w:rPr>
            </w:pPr>
            <w:r w:rsidRPr="008573C5">
              <w:rPr>
                <w:sz w:val="22"/>
                <w:szCs w:val="22"/>
              </w:rPr>
              <w:t>4.65%</w:t>
            </w:r>
          </w:p>
        </w:tc>
        <w:tc>
          <w:tcPr>
            <w:tcW w:w="1170" w:type="dxa"/>
          </w:tcPr>
          <w:p w:rsidR="00B051EB" w:rsidRPr="008573C5" w:rsidRDefault="00B051EB" w:rsidP="00A23403">
            <w:pPr>
              <w:rPr>
                <w:sz w:val="22"/>
                <w:szCs w:val="22"/>
              </w:rPr>
            </w:pPr>
            <w:r w:rsidRPr="008573C5">
              <w:rPr>
                <w:sz w:val="22"/>
                <w:szCs w:val="22"/>
              </w:rPr>
              <w:t>466</w:t>
            </w:r>
          </w:p>
          <w:p w:rsidR="00B051EB" w:rsidRPr="008573C5" w:rsidRDefault="00B051EB" w:rsidP="00A23403">
            <w:pPr>
              <w:rPr>
                <w:sz w:val="22"/>
                <w:szCs w:val="22"/>
              </w:rPr>
            </w:pPr>
          </w:p>
          <w:p w:rsidR="00B051EB" w:rsidRPr="008573C5" w:rsidRDefault="00B051EB" w:rsidP="00A23403">
            <w:r w:rsidRPr="008573C5">
              <w:rPr>
                <w:sz w:val="22"/>
                <w:szCs w:val="22"/>
              </w:rPr>
              <w:t>96.5%</w:t>
            </w:r>
          </w:p>
        </w:tc>
        <w:tc>
          <w:tcPr>
            <w:tcW w:w="990" w:type="dxa"/>
          </w:tcPr>
          <w:p w:rsidR="00B051EB" w:rsidRPr="008573C5" w:rsidRDefault="00B051EB" w:rsidP="00A23403">
            <w:r w:rsidRPr="008573C5">
              <w:t>2.96</w:t>
            </w:r>
          </w:p>
        </w:tc>
        <w:tc>
          <w:tcPr>
            <w:tcW w:w="810" w:type="dxa"/>
          </w:tcPr>
          <w:p w:rsidR="00B051EB" w:rsidRPr="008573C5" w:rsidRDefault="00B051EB" w:rsidP="00A23403">
            <w:pPr>
              <w:rPr>
                <w:sz w:val="22"/>
                <w:szCs w:val="22"/>
              </w:rPr>
            </w:pPr>
            <w:r w:rsidRPr="008573C5">
              <w:rPr>
                <w:sz w:val="22"/>
                <w:szCs w:val="22"/>
              </w:rPr>
              <w:t>.813</w:t>
            </w:r>
          </w:p>
        </w:tc>
      </w:tr>
      <w:tr w:rsidR="00B051EB" w:rsidRPr="008573C5" w:rsidTr="00A23403">
        <w:tc>
          <w:tcPr>
            <w:tcW w:w="3348" w:type="dxa"/>
          </w:tcPr>
          <w:p w:rsidR="00B051EB" w:rsidRPr="008573C5" w:rsidRDefault="00B051EB" w:rsidP="00A23403">
            <w:pPr>
              <w:tabs>
                <w:tab w:val="left" w:pos="2694"/>
              </w:tabs>
            </w:pPr>
            <w:r w:rsidRPr="008573C5">
              <w:t>Inadequate training of preparers</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77</w:t>
            </w:r>
          </w:p>
          <w:p w:rsidR="00B051EB" w:rsidRPr="008573C5" w:rsidRDefault="00B051EB" w:rsidP="00A23403">
            <w:pPr>
              <w:spacing w:before="100" w:beforeAutospacing="1" w:after="100" w:afterAutospacing="1"/>
              <w:jc w:val="center"/>
              <w:rPr>
                <w:sz w:val="22"/>
                <w:szCs w:val="22"/>
              </w:rPr>
            </w:pPr>
            <w:r w:rsidRPr="008573C5">
              <w:rPr>
                <w:sz w:val="22"/>
                <w:szCs w:val="22"/>
              </w:rPr>
              <w:t>15.9%</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181</w:t>
            </w:r>
          </w:p>
          <w:p w:rsidR="00B051EB" w:rsidRPr="008573C5" w:rsidRDefault="00B051EB" w:rsidP="00A23403">
            <w:pPr>
              <w:spacing w:before="100" w:beforeAutospacing="1" w:after="100" w:afterAutospacing="1"/>
              <w:jc w:val="center"/>
              <w:rPr>
                <w:sz w:val="22"/>
                <w:szCs w:val="22"/>
              </w:rPr>
            </w:pPr>
            <w:r w:rsidRPr="008573C5">
              <w:rPr>
                <w:sz w:val="22"/>
                <w:szCs w:val="22"/>
              </w:rPr>
              <w:t>37.5%</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130</w:t>
            </w:r>
          </w:p>
          <w:p w:rsidR="00B051EB" w:rsidRPr="008573C5" w:rsidRDefault="00B051EB" w:rsidP="00A23403">
            <w:pPr>
              <w:spacing w:before="100" w:beforeAutospacing="1" w:after="100" w:afterAutospacing="1"/>
              <w:jc w:val="center"/>
              <w:rPr>
                <w:sz w:val="22"/>
                <w:szCs w:val="22"/>
              </w:rPr>
            </w:pPr>
            <w:r w:rsidRPr="008573C5">
              <w:rPr>
                <w:sz w:val="22"/>
                <w:szCs w:val="22"/>
              </w:rPr>
              <w:t>26.9%</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37</w:t>
            </w:r>
          </w:p>
          <w:p w:rsidR="00B051EB" w:rsidRPr="008573C5" w:rsidRDefault="00B051EB" w:rsidP="00A23403">
            <w:pPr>
              <w:spacing w:before="100" w:beforeAutospacing="1" w:after="100" w:afterAutospacing="1"/>
              <w:jc w:val="center"/>
              <w:rPr>
                <w:sz w:val="22"/>
                <w:szCs w:val="22"/>
              </w:rPr>
            </w:pPr>
            <w:r w:rsidRPr="008573C5">
              <w:rPr>
                <w:sz w:val="22"/>
                <w:szCs w:val="22"/>
              </w:rPr>
              <w:t>7.7%</w:t>
            </w:r>
          </w:p>
        </w:tc>
        <w:tc>
          <w:tcPr>
            <w:tcW w:w="1170" w:type="dxa"/>
          </w:tcPr>
          <w:p w:rsidR="00B051EB" w:rsidRPr="008573C5" w:rsidRDefault="00B051EB" w:rsidP="00A23403">
            <w:pPr>
              <w:rPr>
                <w:sz w:val="22"/>
                <w:szCs w:val="22"/>
              </w:rPr>
            </w:pPr>
            <w:r w:rsidRPr="008573C5">
              <w:rPr>
                <w:sz w:val="22"/>
                <w:szCs w:val="22"/>
              </w:rPr>
              <w:t>425</w:t>
            </w:r>
          </w:p>
          <w:p w:rsidR="00B051EB" w:rsidRPr="008573C5" w:rsidRDefault="00B051EB" w:rsidP="00A23403">
            <w:pPr>
              <w:rPr>
                <w:sz w:val="22"/>
                <w:szCs w:val="22"/>
              </w:rPr>
            </w:pPr>
          </w:p>
          <w:p w:rsidR="00B051EB" w:rsidRPr="008573C5" w:rsidRDefault="00B051EB" w:rsidP="00A23403">
            <w:r w:rsidRPr="008573C5">
              <w:rPr>
                <w:sz w:val="22"/>
                <w:szCs w:val="22"/>
              </w:rPr>
              <w:t>88.0%</w:t>
            </w:r>
          </w:p>
        </w:tc>
        <w:tc>
          <w:tcPr>
            <w:tcW w:w="990" w:type="dxa"/>
          </w:tcPr>
          <w:p w:rsidR="00B051EB" w:rsidRPr="008573C5" w:rsidRDefault="00B051EB" w:rsidP="00A23403">
            <w:r w:rsidRPr="008573C5">
              <w:t>2.70</w:t>
            </w:r>
          </w:p>
        </w:tc>
        <w:tc>
          <w:tcPr>
            <w:tcW w:w="810" w:type="dxa"/>
          </w:tcPr>
          <w:p w:rsidR="00B051EB" w:rsidRPr="008573C5" w:rsidRDefault="00B051EB" w:rsidP="00A23403">
            <w:pPr>
              <w:rPr>
                <w:sz w:val="22"/>
                <w:szCs w:val="22"/>
              </w:rPr>
            </w:pPr>
            <w:r w:rsidRPr="008573C5">
              <w:rPr>
                <w:sz w:val="22"/>
                <w:szCs w:val="22"/>
              </w:rPr>
              <w:t>.865</w:t>
            </w:r>
          </w:p>
        </w:tc>
      </w:tr>
      <w:tr w:rsidR="00B051EB" w:rsidRPr="008573C5" w:rsidTr="00A23403">
        <w:tc>
          <w:tcPr>
            <w:tcW w:w="3348" w:type="dxa"/>
          </w:tcPr>
          <w:p w:rsidR="00B051EB" w:rsidRPr="008573C5" w:rsidRDefault="00B051EB" w:rsidP="00A23403">
            <w:r w:rsidRPr="008573C5">
              <w:t>Poor audit quality by external auditors</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66</w:t>
            </w:r>
          </w:p>
          <w:p w:rsidR="00B051EB" w:rsidRPr="008573C5" w:rsidRDefault="00B051EB" w:rsidP="00A23403">
            <w:pPr>
              <w:spacing w:before="100" w:beforeAutospacing="1" w:after="100" w:afterAutospacing="1"/>
              <w:jc w:val="center"/>
              <w:rPr>
                <w:sz w:val="22"/>
                <w:szCs w:val="22"/>
              </w:rPr>
            </w:pPr>
            <w:r w:rsidRPr="008573C5">
              <w:rPr>
                <w:sz w:val="22"/>
                <w:szCs w:val="22"/>
              </w:rPr>
              <w:t>13.7%</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196</w:t>
            </w:r>
          </w:p>
          <w:p w:rsidR="00B051EB" w:rsidRPr="008573C5" w:rsidRDefault="00B051EB" w:rsidP="00A23403">
            <w:pPr>
              <w:spacing w:before="100" w:beforeAutospacing="1" w:after="100" w:afterAutospacing="1"/>
              <w:jc w:val="center"/>
              <w:rPr>
                <w:sz w:val="22"/>
                <w:szCs w:val="22"/>
              </w:rPr>
            </w:pPr>
            <w:r w:rsidRPr="008573C5">
              <w:rPr>
                <w:sz w:val="22"/>
                <w:szCs w:val="22"/>
              </w:rPr>
              <w:t>40.6%</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128</w:t>
            </w:r>
          </w:p>
          <w:p w:rsidR="00B051EB" w:rsidRPr="008573C5" w:rsidRDefault="00B051EB" w:rsidP="00A23403">
            <w:pPr>
              <w:spacing w:before="100" w:beforeAutospacing="1" w:after="100" w:afterAutospacing="1"/>
              <w:jc w:val="center"/>
              <w:rPr>
                <w:sz w:val="22"/>
                <w:szCs w:val="22"/>
              </w:rPr>
            </w:pPr>
            <w:r w:rsidRPr="008573C5">
              <w:rPr>
                <w:sz w:val="22"/>
                <w:szCs w:val="22"/>
              </w:rPr>
              <w:t>26.5%</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41</w:t>
            </w:r>
          </w:p>
          <w:p w:rsidR="00B051EB" w:rsidRPr="008573C5" w:rsidRDefault="00B051EB" w:rsidP="00A23403">
            <w:pPr>
              <w:spacing w:before="100" w:beforeAutospacing="1" w:after="100" w:afterAutospacing="1"/>
              <w:jc w:val="center"/>
              <w:rPr>
                <w:sz w:val="22"/>
                <w:szCs w:val="22"/>
              </w:rPr>
            </w:pPr>
            <w:r w:rsidRPr="008573C5">
              <w:rPr>
                <w:sz w:val="22"/>
                <w:szCs w:val="22"/>
              </w:rPr>
              <w:t>8.5%</w:t>
            </w:r>
          </w:p>
        </w:tc>
        <w:tc>
          <w:tcPr>
            <w:tcW w:w="1170" w:type="dxa"/>
          </w:tcPr>
          <w:p w:rsidR="00B051EB" w:rsidRPr="008573C5" w:rsidRDefault="00B051EB" w:rsidP="00A23403">
            <w:pPr>
              <w:rPr>
                <w:sz w:val="22"/>
                <w:szCs w:val="22"/>
              </w:rPr>
            </w:pPr>
            <w:r w:rsidRPr="008573C5">
              <w:rPr>
                <w:sz w:val="22"/>
                <w:szCs w:val="22"/>
              </w:rPr>
              <w:t>431</w:t>
            </w:r>
          </w:p>
          <w:p w:rsidR="00B051EB" w:rsidRPr="008573C5" w:rsidRDefault="00B051EB" w:rsidP="00A23403">
            <w:pPr>
              <w:rPr>
                <w:sz w:val="22"/>
                <w:szCs w:val="22"/>
              </w:rPr>
            </w:pPr>
          </w:p>
          <w:p w:rsidR="00B051EB" w:rsidRPr="008573C5" w:rsidRDefault="00B051EB" w:rsidP="00A23403">
            <w:r w:rsidRPr="008573C5">
              <w:rPr>
                <w:sz w:val="22"/>
                <w:szCs w:val="22"/>
              </w:rPr>
              <w:t>89.2%</w:t>
            </w:r>
          </w:p>
        </w:tc>
        <w:tc>
          <w:tcPr>
            <w:tcW w:w="990" w:type="dxa"/>
          </w:tcPr>
          <w:p w:rsidR="00B051EB" w:rsidRPr="008573C5" w:rsidRDefault="00B051EB" w:rsidP="00A23403">
            <w:r w:rsidRPr="008573C5">
              <w:t>2.67</w:t>
            </w:r>
          </w:p>
        </w:tc>
        <w:tc>
          <w:tcPr>
            <w:tcW w:w="810" w:type="dxa"/>
          </w:tcPr>
          <w:p w:rsidR="00B051EB" w:rsidRPr="008573C5" w:rsidRDefault="00B051EB" w:rsidP="00A23403">
            <w:pPr>
              <w:rPr>
                <w:sz w:val="22"/>
                <w:szCs w:val="22"/>
              </w:rPr>
            </w:pPr>
            <w:r w:rsidRPr="008573C5">
              <w:rPr>
                <w:sz w:val="22"/>
                <w:szCs w:val="22"/>
              </w:rPr>
              <w:t>.849</w:t>
            </w:r>
          </w:p>
        </w:tc>
      </w:tr>
      <w:tr w:rsidR="00B051EB" w:rsidRPr="008573C5" w:rsidTr="00A23403">
        <w:tc>
          <w:tcPr>
            <w:tcW w:w="3348" w:type="dxa"/>
          </w:tcPr>
          <w:p w:rsidR="00B051EB" w:rsidRPr="008573C5" w:rsidRDefault="00B051EB" w:rsidP="00A23403">
            <w:r w:rsidRPr="008573C5">
              <w:t>Ine</w:t>
            </w:r>
            <w:r w:rsidRPr="008573C5">
              <w:rPr>
                <w:sz w:val="23"/>
                <w:szCs w:val="23"/>
              </w:rPr>
              <w:t>ffective and inefficient monitoring mechanisms</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75</w:t>
            </w:r>
          </w:p>
          <w:p w:rsidR="00B051EB" w:rsidRPr="008573C5" w:rsidRDefault="00B051EB" w:rsidP="00A23403">
            <w:pPr>
              <w:spacing w:before="100" w:beforeAutospacing="1" w:after="100" w:afterAutospacing="1"/>
              <w:jc w:val="center"/>
              <w:rPr>
                <w:sz w:val="22"/>
                <w:szCs w:val="22"/>
              </w:rPr>
            </w:pPr>
            <w:r w:rsidRPr="008573C5">
              <w:rPr>
                <w:sz w:val="22"/>
                <w:szCs w:val="22"/>
              </w:rPr>
              <w:t>15.5%</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212</w:t>
            </w:r>
          </w:p>
          <w:p w:rsidR="00B051EB" w:rsidRPr="008573C5" w:rsidRDefault="00B051EB" w:rsidP="00A23403">
            <w:pPr>
              <w:spacing w:before="100" w:beforeAutospacing="1" w:after="100" w:afterAutospacing="1"/>
              <w:jc w:val="center"/>
              <w:rPr>
                <w:sz w:val="22"/>
                <w:szCs w:val="22"/>
              </w:rPr>
            </w:pPr>
            <w:r w:rsidRPr="008573C5">
              <w:rPr>
                <w:sz w:val="22"/>
                <w:szCs w:val="22"/>
              </w:rPr>
              <w:t>43.9%</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102</w:t>
            </w:r>
          </w:p>
          <w:p w:rsidR="00B051EB" w:rsidRPr="008573C5" w:rsidRDefault="00B051EB" w:rsidP="00A23403">
            <w:pPr>
              <w:spacing w:before="100" w:beforeAutospacing="1" w:after="100" w:afterAutospacing="1"/>
              <w:jc w:val="center"/>
              <w:rPr>
                <w:sz w:val="22"/>
                <w:szCs w:val="22"/>
              </w:rPr>
            </w:pPr>
            <w:r w:rsidRPr="008573C5">
              <w:rPr>
                <w:sz w:val="22"/>
                <w:szCs w:val="22"/>
              </w:rPr>
              <w:t>21.1%</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41</w:t>
            </w:r>
          </w:p>
          <w:p w:rsidR="00B051EB" w:rsidRPr="008573C5" w:rsidRDefault="00B051EB" w:rsidP="00A23403">
            <w:pPr>
              <w:spacing w:before="100" w:beforeAutospacing="1" w:after="100" w:afterAutospacing="1"/>
              <w:jc w:val="center"/>
              <w:rPr>
                <w:sz w:val="22"/>
                <w:szCs w:val="22"/>
              </w:rPr>
            </w:pPr>
            <w:r w:rsidRPr="008573C5">
              <w:rPr>
                <w:sz w:val="22"/>
                <w:szCs w:val="22"/>
              </w:rPr>
              <w:t>8.5%</w:t>
            </w:r>
          </w:p>
        </w:tc>
        <w:tc>
          <w:tcPr>
            <w:tcW w:w="1170" w:type="dxa"/>
          </w:tcPr>
          <w:p w:rsidR="00B051EB" w:rsidRPr="008573C5" w:rsidRDefault="00B051EB" w:rsidP="00A23403">
            <w:pPr>
              <w:rPr>
                <w:sz w:val="22"/>
                <w:szCs w:val="22"/>
              </w:rPr>
            </w:pPr>
            <w:r w:rsidRPr="008573C5">
              <w:rPr>
                <w:sz w:val="22"/>
                <w:szCs w:val="22"/>
              </w:rPr>
              <w:t>430</w:t>
            </w:r>
          </w:p>
          <w:p w:rsidR="00B051EB" w:rsidRPr="008573C5" w:rsidRDefault="00B051EB" w:rsidP="00A23403">
            <w:pPr>
              <w:rPr>
                <w:sz w:val="22"/>
                <w:szCs w:val="22"/>
              </w:rPr>
            </w:pPr>
          </w:p>
          <w:p w:rsidR="00B051EB" w:rsidRPr="008573C5" w:rsidRDefault="00B051EB" w:rsidP="00A23403">
            <w:r w:rsidRPr="008573C5">
              <w:rPr>
                <w:sz w:val="22"/>
                <w:szCs w:val="22"/>
              </w:rPr>
              <w:t>89.0%</w:t>
            </w:r>
          </w:p>
        </w:tc>
        <w:tc>
          <w:tcPr>
            <w:tcW w:w="990" w:type="dxa"/>
          </w:tcPr>
          <w:p w:rsidR="00B051EB" w:rsidRPr="008573C5" w:rsidRDefault="00B051EB" w:rsidP="00A23403">
            <w:r w:rsidRPr="008573C5">
              <w:t>2.75</w:t>
            </w:r>
          </w:p>
        </w:tc>
        <w:tc>
          <w:tcPr>
            <w:tcW w:w="810" w:type="dxa"/>
          </w:tcPr>
          <w:p w:rsidR="00B051EB" w:rsidRPr="008573C5" w:rsidRDefault="00B051EB" w:rsidP="00A23403">
            <w:pPr>
              <w:rPr>
                <w:sz w:val="22"/>
                <w:szCs w:val="22"/>
              </w:rPr>
            </w:pPr>
            <w:r w:rsidRPr="008573C5">
              <w:rPr>
                <w:sz w:val="22"/>
                <w:szCs w:val="22"/>
              </w:rPr>
              <w:t>.855</w:t>
            </w:r>
          </w:p>
        </w:tc>
      </w:tr>
      <w:tr w:rsidR="00B051EB" w:rsidRPr="008573C5" w:rsidTr="00A23403">
        <w:tc>
          <w:tcPr>
            <w:tcW w:w="3348" w:type="dxa"/>
          </w:tcPr>
          <w:p w:rsidR="00B051EB" w:rsidRPr="008573C5" w:rsidRDefault="00B051EB" w:rsidP="00A23403">
            <w:r w:rsidRPr="008573C5">
              <w:t>Inadequate sanctions to deter non-compliance</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95</w:t>
            </w:r>
          </w:p>
          <w:p w:rsidR="00B051EB" w:rsidRPr="008573C5" w:rsidRDefault="00B051EB" w:rsidP="00A23403">
            <w:pPr>
              <w:spacing w:before="100" w:beforeAutospacing="1" w:after="100" w:afterAutospacing="1"/>
              <w:jc w:val="center"/>
              <w:rPr>
                <w:sz w:val="22"/>
                <w:szCs w:val="22"/>
              </w:rPr>
            </w:pPr>
            <w:r w:rsidRPr="008573C5">
              <w:rPr>
                <w:sz w:val="22"/>
                <w:szCs w:val="22"/>
              </w:rPr>
              <w:t>19.7%</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196</w:t>
            </w:r>
          </w:p>
          <w:p w:rsidR="00B051EB" w:rsidRPr="008573C5" w:rsidRDefault="00B051EB" w:rsidP="00A23403">
            <w:pPr>
              <w:spacing w:before="100" w:beforeAutospacing="1" w:after="100" w:afterAutospacing="1"/>
              <w:jc w:val="center"/>
              <w:rPr>
                <w:sz w:val="22"/>
                <w:szCs w:val="22"/>
              </w:rPr>
            </w:pPr>
            <w:r w:rsidRPr="008573C5">
              <w:rPr>
                <w:sz w:val="22"/>
                <w:szCs w:val="22"/>
              </w:rPr>
              <w:t>40.6%</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107</w:t>
            </w:r>
          </w:p>
          <w:p w:rsidR="00B051EB" w:rsidRPr="008573C5" w:rsidRDefault="00B051EB" w:rsidP="00A23403">
            <w:pPr>
              <w:spacing w:before="100" w:beforeAutospacing="1" w:after="100" w:afterAutospacing="1"/>
              <w:jc w:val="center"/>
              <w:rPr>
                <w:sz w:val="22"/>
                <w:szCs w:val="22"/>
              </w:rPr>
            </w:pPr>
            <w:r w:rsidRPr="008573C5">
              <w:rPr>
                <w:sz w:val="22"/>
                <w:szCs w:val="22"/>
              </w:rPr>
              <w:t>22.2%</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35</w:t>
            </w:r>
          </w:p>
          <w:p w:rsidR="00B051EB" w:rsidRPr="008573C5" w:rsidRDefault="00B051EB" w:rsidP="00A23403">
            <w:pPr>
              <w:spacing w:before="100" w:beforeAutospacing="1" w:after="100" w:afterAutospacing="1"/>
              <w:jc w:val="center"/>
              <w:rPr>
                <w:sz w:val="22"/>
                <w:szCs w:val="22"/>
              </w:rPr>
            </w:pPr>
            <w:r w:rsidRPr="008573C5">
              <w:rPr>
                <w:sz w:val="22"/>
                <w:szCs w:val="22"/>
              </w:rPr>
              <w:t>7.2%</w:t>
            </w:r>
          </w:p>
        </w:tc>
        <w:tc>
          <w:tcPr>
            <w:tcW w:w="1170" w:type="dxa"/>
          </w:tcPr>
          <w:p w:rsidR="00B051EB" w:rsidRPr="008573C5" w:rsidRDefault="00B051EB" w:rsidP="00A23403">
            <w:pPr>
              <w:rPr>
                <w:sz w:val="22"/>
                <w:szCs w:val="22"/>
              </w:rPr>
            </w:pPr>
            <w:r w:rsidRPr="008573C5">
              <w:rPr>
                <w:sz w:val="22"/>
                <w:szCs w:val="22"/>
              </w:rPr>
              <w:t>433</w:t>
            </w:r>
          </w:p>
          <w:p w:rsidR="00B051EB" w:rsidRPr="008573C5" w:rsidRDefault="00B051EB" w:rsidP="00A23403">
            <w:pPr>
              <w:rPr>
                <w:sz w:val="22"/>
                <w:szCs w:val="22"/>
              </w:rPr>
            </w:pPr>
          </w:p>
          <w:p w:rsidR="00B051EB" w:rsidRPr="008573C5" w:rsidRDefault="00B051EB" w:rsidP="00A23403">
            <w:r w:rsidRPr="008573C5">
              <w:rPr>
                <w:sz w:val="22"/>
                <w:szCs w:val="22"/>
              </w:rPr>
              <w:t>89.6%</w:t>
            </w:r>
          </w:p>
        </w:tc>
        <w:tc>
          <w:tcPr>
            <w:tcW w:w="990" w:type="dxa"/>
          </w:tcPr>
          <w:p w:rsidR="00B051EB" w:rsidRPr="008573C5" w:rsidRDefault="00B051EB" w:rsidP="00A23403">
            <w:r w:rsidRPr="008573C5">
              <w:t>2.81</w:t>
            </w:r>
          </w:p>
        </w:tc>
        <w:tc>
          <w:tcPr>
            <w:tcW w:w="810" w:type="dxa"/>
          </w:tcPr>
          <w:p w:rsidR="00B051EB" w:rsidRPr="008573C5" w:rsidRDefault="00B051EB" w:rsidP="00A23403">
            <w:pPr>
              <w:rPr>
                <w:sz w:val="22"/>
                <w:szCs w:val="22"/>
              </w:rPr>
            </w:pPr>
            <w:r w:rsidRPr="008573C5">
              <w:rPr>
                <w:sz w:val="22"/>
                <w:szCs w:val="22"/>
              </w:rPr>
              <w:t>.869</w:t>
            </w:r>
          </w:p>
        </w:tc>
      </w:tr>
      <w:tr w:rsidR="00B051EB" w:rsidRPr="008573C5" w:rsidTr="00A23403">
        <w:tc>
          <w:tcPr>
            <w:tcW w:w="3348" w:type="dxa"/>
          </w:tcPr>
          <w:p w:rsidR="00B051EB" w:rsidRPr="008573C5" w:rsidRDefault="00B051EB" w:rsidP="00A23403">
            <w:r w:rsidRPr="008573C5">
              <w:t>Cumbersome accounting standards</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55</w:t>
            </w:r>
          </w:p>
          <w:p w:rsidR="00B051EB" w:rsidRPr="008573C5" w:rsidRDefault="00B051EB" w:rsidP="00A23403">
            <w:pPr>
              <w:spacing w:before="100" w:beforeAutospacing="1" w:after="100" w:afterAutospacing="1"/>
              <w:jc w:val="center"/>
              <w:rPr>
                <w:sz w:val="22"/>
                <w:szCs w:val="22"/>
              </w:rPr>
            </w:pPr>
            <w:r w:rsidRPr="008573C5">
              <w:rPr>
                <w:sz w:val="22"/>
                <w:szCs w:val="22"/>
              </w:rPr>
              <w:t>11.4%</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197</w:t>
            </w:r>
          </w:p>
          <w:p w:rsidR="00B051EB" w:rsidRPr="008573C5" w:rsidRDefault="00B051EB" w:rsidP="00A23403">
            <w:pPr>
              <w:spacing w:before="100" w:beforeAutospacing="1" w:after="100" w:afterAutospacing="1"/>
              <w:jc w:val="center"/>
              <w:rPr>
                <w:sz w:val="22"/>
                <w:szCs w:val="22"/>
              </w:rPr>
            </w:pPr>
            <w:r w:rsidRPr="008573C5">
              <w:rPr>
                <w:sz w:val="22"/>
                <w:szCs w:val="22"/>
              </w:rPr>
              <w:t>40.8%</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126</w:t>
            </w:r>
          </w:p>
          <w:p w:rsidR="00B051EB" w:rsidRPr="008573C5" w:rsidRDefault="00B051EB" w:rsidP="00A23403">
            <w:pPr>
              <w:spacing w:before="100" w:beforeAutospacing="1" w:after="100" w:afterAutospacing="1"/>
              <w:jc w:val="center"/>
              <w:rPr>
                <w:sz w:val="22"/>
                <w:szCs w:val="22"/>
              </w:rPr>
            </w:pPr>
            <w:r w:rsidRPr="008573C5">
              <w:rPr>
                <w:sz w:val="22"/>
                <w:szCs w:val="22"/>
              </w:rPr>
              <w:t>26.1%</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53</w:t>
            </w:r>
          </w:p>
          <w:p w:rsidR="00B051EB" w:rsidRPr="008573C5" w:rsidRDefault="00B051EB" w:rsidP="00A23403">
            <w:pPr>
              <w:spacing w:before="100" w:beforeAutospacing="1" w:after="100" w:afterAutospacing="1"/>
              <w:jc w:val="center"/>
              <w:rPr>
                <w:sz w:val="22"/>
                <w:szCs w:val="22"/>
              </w:rPr>
            </w:pPr>
            <w:r w:rsidRPr="008573C5">
              <w:rPr>
                <w:sz w:val="22"/>
                <w:szCs w:val="22"/>
              </w:rPr>
              <w:t>11.0%</w:t>
            </w:r>
          </w:p>
        </w:tc>
        <w:tc>
          <w:tcPr>
            <w:tcW w:w="1170" w:type="dxa"/>
          </w:tcPr>
          <w:p w:rsidR="00B051EB" w:rsidRPr="008573C5" w:rsidRDefault="00B051EB" w:rsidP="00A23403">
            <w:pPr>
              <w:rPr>
                <w:sz w:val="22"/>
                <w:szCs w:val="22"/>
              </w:rPr>
            </w:pPr>
            <w:r w:rsidRPr="008573C5">
              <w:rPr>
                <w:sz w:val="22"/>
                <w:szCs w:val="22"/>
              </w:rPr>
              <w:t>431</w:t>
            </w:r>
          </w:p>
          <w:p w:rsidR="00B051EB" w:rsidRPr="008573C5" w:rsidRDefault="00B051EB" w:rsidP="00A23403">
            <w:pPr>
              <w:rPr>
                <w:sz w:val="22"/>
                <w:szCs w:val="22"/>
              </w:rPr>
            </w:pPr>
          </w:p>
          <w:p w:rsidR="00B051EB" w:rsidRPr="008573C5" w:rsidRDefault="00B051EB" w:rsidP="00A23403">
            <w:r w:rsidRPr="008573C5">
              <w:rPr>
                <w:sz w:val="22"/>
                <w:szCs w:val="22"/>
              </w:rPr>
              <w:t>89.2%</w:t>
            </w:r>
          </w:p>
        </w:tc>
        <w:tc>
          <w:tcPr>
            <w:tcW w:w="990" w:type="dxa"/>
          </w:tcPr>
          <w:p w:rsidR="00B051EB" w:rsidRPr="008573C5" w:rsidRDefault="00B051EB" w:rsidP="00A23403">
            <w:r w:rsidRPr="008573C5">
              <w:t>2.59</w:t>
            </w:r>
          </w:p>
        </w:tc>
        <w:tc>
          <w:tcPr>
            <w:tcW w:w="810" w:type="dxa"/>
          </w:tcPr>
          <w:p w:rsidR="00B051EB" w:rsidRPr="008573C5" w:rsidRDefault="00B051EB" w:rsidP="00A23403">
            <w:pPr>
              <w:rPr>
                <w:sz w:val="22"/>
                <w:szCs w:val="22"/>
              </w:rPr>
            </w:pPr>
            <w:r w:rsidRPr="008573C5">
              <w:rPr>
                <w:sz w:val="22"/>
                <w:szCs w:val="22"/>
              </w:rPr>
              <w:t>.863</w:t>
            </w:r>
          </w:p>
        </w:tc>
      </w:tr>
    </w:tbl>
    <w:p w:rsidR="00B85521" w:rsidRPr="008573C5" w:rsidRDefault="00B85521" w:rsidP="00B85521">
      <w:pPr>
        <w:autoSpaceDE w:val="0"/>
        <w:autoSpaceDN w:val="0"/>
        <w:adjustRightInd w:val="0"/>
        <w:jc w:val="center"/>
        <w:rPr>
          <w:rFonts w:eastAsia="Calibri"/>
          <w:b/>
          <w:bCs/>
        </w:rPr>
      </w:pPr>
      <w:r w:rsidRPr="008573C5">
        <w:rPr>
          <w:rFonts w:eastAsia="Calibri"/>
          <w:b/>
          <w:bCs/>
        </w:rPr>
        <w:t>Source: Field Study (2009)</w:t>
      </w:r>
    </w:p>
    <w:p w:rsidR="00B051EB" w:rsidRPr="008573C5" w:rsidRDefault="00B051EB" w:rsidP="00B051EB">
      <w:pPr>
        <w:autoSpaceDE w:val="0"/>
        <w:autoSpaceDN w:val="0"/>
        <w:adjustRightInd w:val="0"/>
        <w:jc w:val="center"/>
        <w:rPr>
          <w:rFonts w:eastAsia="Calibri"/>
          <w:b/>
          <w:bCs/>
        </w:rPr>
      </w:pPr>
    </w:p>
    <w:p w:rsidR="002B4F4C" w:rsidRPr="008573C5" w:rsidRDefault="002B4F4C" w:rsidP="002B4F4C">
      <w:pPr>
        <w:spacing w:line="360" w:lineRule="auto"/>
      </w:pPr>
    </w:p>
    <w:p w:rsidR="002B4F4C" w:rsidRPr="008573C5" w:rsidRDefault="002B4F4C" w:rsidP="002B4F4C">
      <w:pPr>
        <w:spacing w:line="360" w:lineRule="auto"/>
      </w:pPr>
      <w:r w:rsidRPr="008573C5">
        <w:t>This provides answers to Research question 4 and Objective 4.</w:t>
      </w:r>
    </w:p>
    <w:p w:rsidR="00B051EB" w:rsidRPr="008573C5" w:rsidRDefault="00B051EB" w:rsidP="00B051EB">
      <w:pPr>
        <w:spacing w:line="480" w:lineRule="auto"/>
        <w:jc w:val="both"/>
        <w:rPr>
          <w:lang w:val="en-GB"/>
        </w:rPr>
      </w:pPr>
    </w:p>
    <w:p w:rsidR="00B051EB" w:rsidRPr="008573C5" w:rsidRDefault="002C3E99" w:rsidP="00B051EB">
      <w:pPr>
        <w:spacing w:line="360" w:lineRule="auto"/>
        <w:jc w:val="both"/>
        <w:rPr>
          <w:lang w:val="en-GB"/>
        </w:rPr>
      </w:pPr>
      <w:r w:rsidRPr="008573C5">
        <w:t>Item</w:t>
      </w:r>
      <w:r w:rsidR="00B051EB" w:rsidRPr="008573C5">
        <w:t xml:space="preserve"> 19 addresses the Company Size</w:t>
      </w:r>
      <w:r w:rsidR="00D944D1" w:rsidRPr="008573C5">
        <w:t xml:space="preserve"> (Table 4.34)</w:t>
      </w:r>
      <w:r w:rsidR="00B051EB" w:rsidRPr="008573C5">
        <w:t xml:space="preserve">. Three hundred and seventy two respondents (77%) were affirmative that company size influences the extent of disclosure by listed companies </w:t>
      </w:r>
      <w:r w:rsidR="00B051EB" w:rsidRPr="008573C5">
        <w:rPr>
          <w:lang w:val="en-GB"/>
        </w:rPr>
        <w:t xml:space="preserve">which far supersedes the combined percentage of those that </w:t>
      </w:r>
      <w:r w:rsidR="006D2791">
        <w:rPr>
          <w:lang w:val="en-GB"/>
        </w:rPr>
        <w:t>disagree and strongly disagree</w:t>
      </w:r>
      <w:r w:rsidR="00B051EB" w:rsidRPr="008573C5">
        <w:rPr>
          <w:lang w:val="en-GB"/>
        </w:rPr>
        <w:t xml:space="preserve"> (19.2%).The weighted arithmetic mean is observed to be 3.04, while the standard deviation is </w:t>
      </w:r>
      <w:r w:rsidR="00D944D1" w:rsidRPr="008573C5">
        <w:rPr>
          <w:lang w:val="en-GB"/>
        </w:rPr>
        <w:t>0</w:t>
      </w:r>
      <w:r w:rsidR="00B051EB" w:rsidRPr="008573C5">
        <w:rPr>
          <w:lang w:val="en-GB"/>
        </w:rPr>
        <w:t>.784.This shows that company size is highly considered by majority of the respondents to influence the extent of information disclosure by listed companies.</w:t>
      </w:r>
    </w:p>
    <w:p w:rsidR="00B051EB" w:rsidRPr="008573C5" w:rsidRDefault="00B051EB" w:rsidP="00B051EB">
      <w:pPr>
        <w:spacing w:line="360" w:lineRule="auto"/>
        <w:jc w:val="both"/>
        <w:rPr>
          <w:lang w:val="en-GB"/>
        </w:rPr>
      </w:pPr>
    </w:p>
    <w:p w:rsidR="00B051EB" w:rsidRPr="008573C5" w:rsidRDefault="00B051EB" w:rsidP="00B051EB">
      <w:pPr>
        <w:spacing w:line="360" w:lineRule="auto"/>
        <w:jc w:val="both"/>
        <w:rPr>
          <w:lang w:val="en-GB"/>
        </w:rPr>
      </w:pPr>
      <w:r w:rsidRPr="008573C5">
        <w:rPr>
          <w:lang w:val="en-GB"/>
        </w:rPr>
        <w:t>Profita</w:t>
      </w:r>
      <w:r w:rsidR="002C3E99" w:rsidRPr="008573C5">
        <w:rPr>
          <w:lang w:val="en-GB"/>
        </w:rPr>
        <w:t>bility is considered in item</w:t>
      </w:r>
      <w:r w:rsidRPr="008573C5">
        <w:rPr>
          <w:lang w:val="en-GB"/>
        </w:rPr>
        <w:t xml:space="preserve"> 20</w:t>
      </w:r>
      <w:r w:rsidR="00D944D1" w:rsidRPr="008573C5">
        <w:rPr>
          <w:lang w:val="en-GB"/>
        </w:rPr>
        <w:t xml:space="preserve"> (Table 4.34)</w:t>
      </w:r>
      <w:r w:rsidRPr="008573C5">
        <w:rPr>
          <w:lang w:val="en-GB"/>
        </w:rPr>
        <w:t>. There is a considerable agreement to the fact that it influences the extent of disclosure by listed companies. 255 or 52.8% agre</w:t>
      </w:r>
      <w:r w:rsidR="00A34F2B" w:rsidRPr="008573C5">
        <w:rPr>
          <w:lang w:val="en-GB"/>
        </w:rPr>
        <w:t>es, 114 or 23.6% strongly agree, 86 or 17.8% disagree</w:t>
      </w:r>
      <w:r w:rsidRPr="008573C5">
        <w:rPr>
          <w:lang w:val="en-GB"/>
        </w:rPr>
        <w:t xml:space="preserve"> while 13 or 2.7% strongly disagrees. The arithmetic mean is observed to be 3 while the standard deviation is .785. This result confirms that profitability is agreed to be a factor that </w:t>
      </w:r>
      <w:r w:rsidR="00000931" w:rsidRPr="008573C5">
        <w:rPr>
          <w:lang w:val="en-GB"/>
        </w:rPr>
        <w:t>is</w:t>
      </w:r>
      <w:r w:rsidRPr="008573C5">
        <w:rPr>
          <w:lang w:val="en-GB"/>
        </w:rPr>
        <w:t xml:space="preserve"> responsible for the extent of disclosure in listed Nigerian companies.  </w:t>
      </w:r>
    </w:p>
    <w:p w:rsidR="00B051EB" w:rsidRPr="008573C5" w:rsidRDefault="00B051EB" w:rsidP="00B051EB">
      <w:pPr>
        <w:spacing w:line="480" w:lineRule="auto"/>
        <w:jc w:val="both"/>
        <w:rPr>
          <w:lang w:val="en-GB"/>
        </w:rPr>
      </w:pPr>
    </w:p>
    <w:p w:rsidR="00B051EB" w:rsidRPr="008573C5" w:rsidRDefault="00B051EB" w:rsidP="00B051EB">
      <w:pPr>
        <w:spacing w:line="360" w:lineRule="auto"/>
        <w:jc w:val="both"/>
        <w:rPr>
          <w:lang w:val="en-GB"/>
        </w:rPr>
      </w:pPr>
      <w:r w:rsidRPr="008573C5">
        <w:rPr>
          <w:lang w:val="en-GB"/>
        </w:rPr>
        <w:t>Responses o</w:t>
      </w:r>
      <w:r w:rsidR="002C3E99" w:rsidRPr="008573C5">
        <w:rPr>
          <w:lang w:val="en-GB"/>
        </w:rPr>
        <w:t xml:space="preserve">n Leverage (item </w:t>
      </w:r>
      <w:r w:rsidRPr="008573C5">
        <w:rPr>
          <w:lang w:val="en-GB"/>
        </w:rPr>
        <w:t>21)</w:t>
      </w:r>
      <w:r w:rsidR="002C3E99" w:rsidRPr="008573C5">
        <w:rPr>
          <w:lang w:val="en-GB"/>
        </w:rPr>
        <w:t xml:space="preserve"> </w:t>
      </w:r>
      <w:r w:rsidRPr="008573C5">
        <w:rPr>
          <w:lang w:val="en-GB"/>
        </w:rPr>
        <w:t>as shown on the above table reveal that 93.6% responded to this question.  The responses are: strongly agree 65( 13.5%), agree 250 (51.8%), disagree 126 (26.1%) and strongly disagree 11 (2.3%). The weighted arithmetic mean is 2.82 with a standard</w:t>
      </w:r>
      <w:r w:rsidR="00BC239C" w:rsidRPr="008573C5">
        <w:rPr>
          <w:lang w:val="en-GB"/>
        </w:rPr>
        <w:t xml:space="preserve"> deviation of .698. Th</w:t>
      </w:r>
      <w:r w:rsidR="002C3E99" w:rsidRPr="008573C5">
        <w:rPr>
          <w:lang w:val="en-GB"/>
        </w:rPr>
        <w:t>is</w:t>
      </w:r>
      <w:r w:rsidR="00BC239C" w:rsidRPr="008573C5">
        <w:rPr>
          <w:lang w:val="en-GB"/>
        </w:rPr>
        <w:t xml:space="preserve"> result</w:t>
      </w:r>
      <w:r w:rsidRPr="008573C5">
        <w:rPr>
          <w:lang w:val="en-GB"/>
        </w:rPr>
        <w:t xml:space="preserve"> confirm</w:t>
      </w:r>
      <w:r w:rsidR="00A34F2B" w:rsidRPr="008573C5">
        <w:rPr>
          <w:lang w:val="en-GB"/>
        </w:rPr>
        <w:t>s</w:t>
      </w:r>
      <w:r w:rsidRPr="008573C5">
        <w:rPr>
          <w:lang w:val="en-GB"/>
        </w:rPr>
        <w:t xml:space="preserve"> that the respondents moderately agree that leverage is a factor that influences the extent of disclosure in listed companies.</w:t>
      </w:r>
    </w:p>
    <w:p w:rsidR="00B051EB" w:rsidRPr="008573C5" w:rsidRDefault="00B051EB" w:rsidP="00B051EB">
      <w:pPr>
        <w:spacing w:line="360" w:lineRule="auto"/>
        <w:jc w:val="both"/>
        <w:rPr>
          <w:lang w:val="en-GB"/>
        </w:rPr>
      </w:pPr>
    </w:p>
    <w:p w:rsidR="00B051EB" w:rsidRPr="008573C5" w:rsidRDefault="002C3E99" w:rsidP="00B051EB">
      <w:pPr>
        <w:spacing w:line="360" w:lineRule="auto"/>
        <w:jc w:val="both"/>
        <w:rPr>
          <w:lang w:val="en-GB"/>
        </w:rPr>
      </w:pPr>
      <w:r w:rsidRPr="008573C5">
        <w:rPr>
          <w:lang w:val="en-GB"/>
        </w:rPr>
        <w:t>Item</w:t>
      </w:r>
      <w:r w:rsidR="00B051EB" w:rsidRPr="008573C5">
        <w:rPr>
          <w:lang w:val="en-GB"/>
        </w:rPr>
        <w:t xml:space="preserve"> 22 addresses company age</w:t>
      </w:r>
      <w:r w:rsidR="00D944D1" w:rsidRPr="008573C5">
        <w:rPr>
          <w:lang w:val="en-GB"/>
        </w:rPr>
        <w:t xml:space="preserve"> (Table 4.34)</w:t>
      </w:r>
      <w:r w:rsidR="00B051EB" w:rsidRPr="008573C5">
        <w:rPr>
          <w:lang w:val="en-GB"/>
        </w:rPr>
        <w:t>. Although the results are varied</w:t>
      </w:r>
      <w:r w:rsidR="00000931" w:rsidRPr="008573C5">
        <w:rPr>
          <w:lang w:val="en-GB"/>
        </w:rPr>
        <w:t>,</w:t>
      </w:r>
      <w:r w:rsidR="00B051EB" w:rsidRPr="008573C5">
        <w:rPr>
          <w:lang w:val="en-GB"/>
        </w:rPr>
        <w:t xml:space="preserve"> it can b</w:t>
      </w:r>
      <w:r w:rsidR="006D2791">
        <w:rPr>
          <w:lang w:val="en-GB"/>
        </w:rPr>
        <w:t>e seen that only 88.4% respond</w:t>
      </w:r>
      <w:r w:rsidR="00B051EB" w:rsidRPr="008573C5">
        <w:rPr>
          <w:lang w:val="en-GB"/>
        </w:rPr>
        <w:t xml:space="preserve"> to this question. 39.3% of the respondents agree to the fact that company age is a determining factor for compliance, almost the same percentage 30.6% disagreed to this fact. 14.5% and 3.9% strongly agree and disagree to this fact. The arithmetic mean is 2.73 while the standard deviation is .785. With this result, it is suggested that there is a mixed opinion about company age having to influence the level of disclosure of listed companies. </w:t>
      </w:r>
    </w:p>
    <w:p w:rsidR="00B051EB" w:rsidRPr="008573C5" w:rsidRDefault="00B051EB" w:rsidP="00B051EB">
      <w:pPr>
        <w:spacing w:line="360" w:lineRule="auto"/>
        <w:jc w:val="both"/>
        <w:rPr>
          <w:lang w:val="en-GB"/>
        </w:rPr>
      </w:pPr>
    </w:p>
    <w:p w:rsidR="00B051EB" w:rsidRPr="008573C5" w:rsidRDefault="00B051EB" w:rsidP="00B051EB">
      <w:pPr>
        <w:spacing w:line="360" w:lineRule="auto"/>
        <w:jc w:val="both"/>
        <w:rPr>
          <w:lang w:val="en-GB"/>
        </w:rPr>
      </w:pPr>
      <w:r w:rsidRPr="008573C5">
        <w:rPr>
          <w:lang w:val="en-GB"/>
        </w:rPr>
        <w:t>The results from Table 4.</w:t>
      </w:r>
      <w:r w:rsidR="00BC239C" w:rsidRPr="008573C5">
        <w:rPr>
          <w:lang w:val="en-GB"/>
        </w:rPr>
        <w:t>3</w:t>
      </w:r>
      <w:r w:rsidR="001B2A6B" w:rsidRPr="008573C5">
        <w:rPr>
          <w:lang w:val="en-GB"/>
        </w:rPr>
        <w:t>4</w:t>
      </w:r>
      <w:r w:rsidRPr="008573C5">
        <w:rPr>
          <w:lang w:val="en-GB"/>
        </w:rPr>
        <w:t xml:space="preserve"> above show that 50.3% of the respondents agree that industry type influence</w:t>
      </w:r>
      <w:r w:rsidR="00000931" w:rsidRPr="008573C5">
        <w:rPr>
          <w:lang w:val="en-GB"/>
        </w:rPr>
        <w:t>s</w:t>
      </w:r>
      <w:r w:rsidRPr="008573C5">
        <w:rPr>
          <w:lang w:val="en-GB"/>
        </w:rPr>
        <w:t xml:space="preserve"> the extent of information disclosure by listed companies, 22.8% strongly agree, 18.6% disagree, 3.7% strongly disagree and 4.6% </w:t>
      </w:r>
      <w:r w:rsidR="006D2791">
        <w:rPr>
          <w:lang w:val="en-GB"/>
        </w:rPr>
        <w:t>give no response</w:t>
      </w:r>
      <w:r w:rsidRPr="008573C5">
        <w:rPr>
          <w:lang w:val="en-GB"/>
        </w:rPr>
        <w:t>. With a weighted arithmetic mean of 2.97 and a standard deviation of .768, it confirms the agreement that industry type is an influencing factor.</w:t>
      </w:r>
    </w:p>
    <w:p w:rsidR="00B051EB" w:rsidRPr="008573C5" w:rsidRDefault="00B051EB" w:rsidP="00B051EB">
      <w:pPr>
        <w:spacing w:line="360" w:lineRule="auto"/>
        <w:jc w:val="both"/>
        <w:rPr>
          <w:lang w:val="en-GB"/>
        </w:rPr>
      </w:pPr>
    </w:p>
    <w:p w:rsidR="00B051EB" w:rsidRPr="008573C5" w:rsidRDefault="00B051EB" w:rsidP="00B051EB">
      <w:pPr>
        <w:spacing w:line="360" w:lineRule="auto"/>
        <w:jc w:val="both"/>
        <w:rPr>
          <w:lang w:val="en-GB"/>
        </w:rPr>
      </w:pPr>
      <w:r w:rsidRPr="008573C5">
        <w:rPr>
          <w:lang w:val="en-GB"/>
        </w:rPr>
        <w:t>The size of aud</w:t>
      </w:r>
      <w:r w:rsidR="002C3E99" w:rsidRPr="008573C5">
        <w:rPr>
          <w:lang w:val="en-GB"/>
        </w:rPr>
        <w:t>it firm is addressed by item</w:t>
      </w:r>
      <w:r w:rsidRPr="008573C5">
        <w:rPr>
          <w:lang w:val="en-GB"/>
        </w:rPr>
        <w:t xml:space="preserve"> 24</w:t>
      </w:r>
      <w:r w:rsidR="00D944D1" w:rsidRPr="008573C5">
        <w:rPr>
          <w:lang w:val="en-GB"/>
        </w:rPr>
        <w:t xml:space="preserve"> (Table 4.34)</w:t>
      </w:r>
      <w:r w:rsidRPr="008573C5">
        <w:rPr>
          <w:lang w:val="en-GB"/>
        </w:rPr>
        <w:t>. The analysis of the result as stated on the table above indicates that out of the total sample of 483, 95.9% responded to the question while 4.1% did not signify their opinion. The results show that 42.26.3% of the respondents agree with the notion that size of audit firm influence</w:t>
      </w:r>
      <w:r w:rsidR="00A34F2B" w:rsidRPr="008573C5">
        <w:rPr>
          <w:lang w:val="en-GB"/>
        </w:rPr>
        <w:t>s</w:t>
      </w:r>
      <w:r w:rsidRPr="008573C5">
        <w:rPr>
          <w:lang w:val="en-GB"/>
        </w:rPr>
        <w:t xml:space="preserve"> the extent of information disclosed by Nigerian listed companies, 19.5% strongly agree with this, 28.4% disagree with this , and 5.8% strongly disagree. This emphasi</w:t>
      </w:r>
      <w:r w:rsidR="00000931" w:rsidRPr="008573C5">
        <w:rPr>
          <w:lang w:val="en-GB"/>
        </w:rPr>
        <w:t>ses</w:t>
      </w:r>
      <w:r w:rsidRPr="008573C5">
        <w:rPr>
          <w:lang w:val="en-GB"/>
        </w:rPr>
        <w:t xml:space="preserve"> that a cumulative percentage of those that concur is higher, that is 61.7%. With a  computed arithmetic mean of 2.79 and standard deviation of </w:t>
      </w:r>
      <w:r w:rsidR="0099149F" w:rsidRPr="008573C5">
        <w:rPr>
          <w:lang w:val="en-GB"/>
        </w:rPr>
        <w:t>0</w:t>
      </w:r>
      <w:r w:rsidRPr="008573C5">
        <w:rPr>
          <w:lang w:val="en-GB"/>
        </w:rPr>
        <w:t>.835, the result further suggests that there is a moderate</w:t>
      </w:r>
      <w:r w:rsidR="005E233C" w:rsidRPr="008573C5">
        <w:rPr>
          <w:lang w:val="en-GB"/>
        </w:rPr>
        <w:t xml:space="preserve"> agreement to the opinion that </w:t>
      </w:r>
      <w:r w:rsidRPr="008573C5">
        <w:rPr>
          <w:lang w:val="en-GB"/>
        </w:rPr>
        <w:t xml:space="preserve">size of audit firm is an influencing factor. </w:t>
      </w:r>
    </w:p>
    <w:p w:rsidR="00B051EB" w:rsidRPr="008573C5" w:rsidRDefault="00B051EB" w:rsidP="00B051EB">
      <w:pPr>
        <w:spacing w:line="360" w:lineRule="auto"/>
        <w:jc w:val="both"/>
        <w:rPr>
          <w:lang w:val="en-GB"/>
        </w:rPr>
      </w:pPr>
    </w:p>
    <w:p w:rsidR="00B051EB" w:rsidRPr="008573C5" w:rsidRDefault="002C3E99" w:rsidP="00B051EB">
      <w:pPr>
        <w:spacing w:line="360" w:lineRule="auto"/>
        <w:jc w:val="both"/>
        <w:rPr>
          <w:lang w:val="en-GB"/>
        </w:rPr>
      </w:pPr>
      <w:r w:rsidRPr="008573C5">
        <w:rPr>
          <w:lang w:val="en-GB"/>
        </w:rPr>
        <w:t>Item</w:t>
      </w:r>
      <w:r w:rsidR="00B051EB" w:rsidRPr="008573C5">
        <w:rPr>
          <w:lang w:val="en-GB"/>
        </w:rPr>
        <w:t xml:space="preserve"> 25 addresses multinational affiliation</w:t>
      </w:r>
      <w:r w:rsidR="00D944D1" w:rsidRPr="008573C5">
        <w:rPr>
          <w:lang w:val="en-GB"/>
        </w:rPr>
        <w:t xml:space="preserve"> (Table 4.34)</w:t>
      </w:r>
      <w:r w:rsidR="00B051EB" w:rsidRPr="008573C5">
        <w:rPr>
          <w:lang w:val="en-GB"/>
        </w:rPr>
        <w:t>. The data presented above shows th</w:t>
      </w:r>
      <w:r w:rsidR="003D3FA9">
        <w:rPr>
          <w:lang w:val="en-GB"/>
        </w:rPr>
        <w:t>at</w:t>
      </w:r>
      <w:r w:rsidR="00B051EB" w:rsidRPr="008573C5">
        <w:rPr>
          <w:lang w:val="en-GB"/>
        </w:rPr>
        <w:t xml:space="preserve"> response rate </w:t>
      </w:r>
      <w:r w:rsidR="003D3FA9">
        <w:rPr>
          <w:lang w:val="en-GB"/>
        </w:rPr>
        <w:t>is</w:t>
      </w:r>
      <w:r w:rsidR="00B051EB" w:rsidRPr="008573C5">
        <w:rPr>
          <w:lang w:val="en-GB"/>
        </w:rPr>
        <w:t xml:space="preserve"> 96.5%.  71.9% assent to the fact that multinational affiliation influences the extent of disclosure by li</w:t>
      </w:r>
      <w:r w:rsidR="005E233C" w:rsidRPr="008573C5">
        <w:rPr>
          <w:lang w:val="en-GB"/>
        </w:rPr>
        <w:t>sted companies, while 24.75% do</w:t>
      </w:r>
      <w:r w:rsidR="00B051EB" w:rsidRPr="008573C5">
        <w:rPr>
          <w:lang w:val="en-GB"/>
        </w:rPr>
        <w:t xml:space="preserve"> not. The distribution is strongly agree 25.5%, agree 46.4%, disagree 20.1% and strongly disagree is 4.65%. The arithmetic mean is computed to be 2.96 while the standard deviation is .8</w:t>
      </w:r>
      <w:r w:rsidR="005E233C" w:rsidRPr="008573C5">
        <w:rPr>
          <w:lang w:val="en-GB"/>
        </w:rPr>
        <w:t>13. This result shows that</w:t>
      </w:r>
      <w:r w:rsidR="00B051EB" w:rsidRPr="008573C5">
        <w:rPr>
          <w:lang w:val="en-GB"/>
        </w:rPr>
        <w:t xml:space="preserve"> majority of the respondents agree that multinational affiliation influences the extent of disclosure by listed companies.</w:t>
      </w:r>
    </w:p>
    <w:p w:rsidR="00B051EB" w:rsidRPr="008573C5" w:rsidRDefault="00B051EB" w:rsidP="00B051EB">
      <w:pPr>
        <w:spacing w:line="360" w:lineRule="auto"/>
        <w:jc w:val="both"/>
        <w:rPr>
          <w:lang w:val="en-GB"/>
        </w:rPr>
      </w:pPr>
    </w:p>
    <w:p w:rsidR="00B051EB" w:rsidRPr="008573C5" w:rsidRDefault="00B051EB" w:rsidP="00B051EB">
      <w:pPr>
        <w:spacing w:line="360" w:lineRule="auto"/>
        <w:jc w:val="both"/>
        <w:rPr>
          <w:lang w:val="en-GB"/>
        </w:rPr>
      </w:pPr>
      <w:r w:rsidRPr="008573C5">
        <w:rPr>
          <w:lang w:val="en-GB"/>
        </w:rPr>
        <w:t>Distribution of responses on training of preparers as observed above indicate that 37.5% of the respondents agree that inadequate training of preparers influences the extent of information disclosure by listed Nigerian companies, 15.9% (77) strongly agree, 26.9% (130) disagree while 7.7%</w:t>
      </w:r>
      <w:r w:rsidR="00762068" w:rsidRPr="008573C5">
        <w:rPr>
          <w:lang w:val="en-GB"/>
        </w:rPr>
        <w:t xml:space="preserve"> </w:t>
      </w:r>
      <w:r w:rsidRPr="008573C5">
        <w:rPr>
          <w:lang w:val="en-GB"/>
        </w:rPr>
        <w:t xml:space="preserve">(37) strongly disagree. Those that are affirmative </w:t>
      </w:r>
      <w:r w:rsidR="00762068" w:rsidRPr="008573C5">
        <w:rPr>
          <w:lang w:val="en-GB"/>
        </w:rPr>
        <w:t>outweigh</w:t>
      </w:r>
      <w:r w:rsidRPr="008573C5">
        <w:rPr>
          <w:lang w:val="en-GB"/>
        </w:rPr>
        <w:t xml:space="preserve"> others that are not affirmative. With weighted arithmetic mean of 2.70 and standard deviation of .865, the result suggests that there is a modest agreement by respondents that inadequate training of preparers influences the extent of information disclosure by listed Nigerian companies. </w:t>
      </w:r>
    </w:p>
    <w:p w:rsidR="00B051EB" w:rsidRPr="008573C5" w:rsidRDefault="00B051EB" w:rsidP="00B051EB">
      <w:pPr>
        <w:autoSpaceDE w:val="0"/>
        <w:autoSpaceDN w:val="0"/>
        <w:adjustRightInd w:val="0"/>
        <w:jc w:val="center"/>
        <w:rPr>
          <w:b/>
          <w:bCs/>
          <w:lang w:val="en-GB"/>
        </w:rPr>
      </w:pPr>
    </w:p>
    <w:p w:rsidR="00B051EB" w:rsidRPr="008573C5" w:rsidRDefault="00B051EB" w:rsidP="00B051EB">
      <w:pPr>
        <w:autoSpaceDE w:val="0"/>
        <w:autoSpaceDN w:val="0"/>
        <w:adjustRightInd w:val="0"/>
        <w:jc w:val="center"/>
        <w:rPr>
          <w:b/>
          <w:bCs/>
          <w:lang w:val="en-GB"/>
        </w:rPr>
      </w:pPr>
    </w:p>
    <w:p w:rsidR="00B051EB" w:rsidRPr="008573C5" w:rsidRDefault="00B051EB" w:rsidP="00B051EB">
      <w:pPr>
        <w:spacing w:line="360" w:lineRule="auto"/>
        <w:jc w:val="both"/>
        <w:rPr>
          <w:b/>
          <w:bCs/>
          <w:lang w:val="en-GB"/>
        </w:rPr>
      </w:pPr>
      <w:r w:rsidRPr="008573C5">
        <w:rPr>
          <w:lang w:val="en-GB"/>
        </w:rPr>
        <w:t>The results from Table 4.</w:t>
      </w:r>
      <w:r w:rsidR="00BC239C" w:rsidRPr="008573C5">
        <w:rPr>
          <w:lang w:val="en-GB"/>
        </w:rPr>
        <w:t>3</w:t>
      </w:r>
      <w:r w:rsidR="001B2A6B" w:rsidRPr="008573C5">
        <w:rPr>
          <w:lang w:val="en-GB"/>
        </w:rPr>
        <w:t>4</w:t>
      </w:r>
      <w:r w:rsidRPr="008573C5">
        <w:rPr>
          <w:lang w:val="en-GB"/>
        </w:rPr>
        <w:t xml:space="preserve"> relating to </w:t>
      </w:r>
      <w:r w:rsidR="002C3E99" w:rsidRPr="008573C5">
        <w:rPr>
          <w:lang w:val="en-GB"/>
        </w:rPr>
        <w:t>item</w:t>
      </w:r>
      <w:r w:rsidRPr="008573C5">
        <w:rPr>
          <w:lang w:val="en-GB"/>
        </w:rPr>
        <w:t xml:space="preserve"> 27 show that 46.3% of the respondents agree that p</w:t>
      </w:r>
      <w:r w:rsidRPr="008573C5">
        <w:t>oor audit quality by external auditors</w:t>
      </w:r>
      <w:r w:rsidRPr="008573C5">
        <w:rPr>
          <w:lang w:val="en-GB"/>
        </w:rPr>
        <w:t xml:space="preserve"> by influences the extent of information by disclosure by Nigerian listed companies,  13.7% strongly agree, disagree, 26.5% disagree, 8.5% strongly disagree and 10.8% did not signify their response. The arithmetic mean is 2.67 and standard deviation is .849. This shows that poor audit quality is a moderate contributory factor to inadequate disclosure by listed companies.</w:t>
      </w:r>
      <w:r w:rsidRPr="008573C5">
        <w:rPr>
          <w:b/>
          <w:bCs/>
          <w:lang w:val="en-GB"/>
        </w:rPr>
        <w:t xml:space="preserve"> </w:t>
      </w:r>
    </w:p>
    <w:p w:rsidR="00B051EB" w:rsidRPr="008573C5" w:rsidRDefault="00B051EB" w:rsidP="00B051EB">
      <w:pPr>
        <w:spacing w:line="360" w:lineRule="auto"/>
        <w:jc w:val="both"/>
        <w:rPr>
          <w:b/>
          <w:bCs/>
          <w:lang w:val="en-GB"/>
        </w:rPr>
      </w:pPr>
    </w:p>
    <w:p w:rsidR="00B051EB" w:rsidRPr="008573C5" w:rsidRDefault="00B051EB" w:rsidP="00B051EB">
      <w:pPr>
        <w:spacing w:line="360" w:lineRule="auto"/>
        <w:jc w:val="both"/>
        <w:rPr>
          <w:sz w:val="23"/>
          <w:szCs w:val="23"/>
        </w:rPr>
      </w:pPr>
      <w:r w:rsidRPr="008573C5">
        <w:t xml:space="preserve">With the data presented above, it is observed that 89% (430) responded to </w:t>
      </w:r>
      <w:r w:rsidR="002C3E99" w:rsidRPr="008573C5">
        <w:t>item</w:t>
      </w:r>
      <w:r w:rsidRPr="008573C5">
        <w:t xml:space="preserve"> 28. 15.5% strongly agree to the opinion that ine</w:t>
      </w:r>
      <w:r w:rsidRPr="008573C5">
        <w:rPr>
          <w:sz w:val="23"/>
          <w:szCs w:val="23"/>
        </w:rPr>
        <w:t>ffective and inefficient monitoring mechanisms influences the extent of disclosure by listed Nigerian companies, 43.9% agree, 21.1% disagree, 8.5% strongly disagree and 11% did not signify any answer. M</w:t>
      </w:r>
      <w:r w:rsidRPr="008573C5">
        <w:rPr>
          <w:lang w:val="en-GB"/>
        </w:rPr>
        <w:t xml:space="preserve">ore than half of the respondents constituting 59.4% are affirmative. This concurs with </w:t>
      </w:r>
      <w:r w:rsidR="00A34F2B" w:rsidRPr="008573C5">
        <w:rPr>
          <w:lang w:val="en-GB"/>
        </w:rPr>
        <w:t>the weighted</w:t>
      </w:r>
      <w:r w:rsidRPr="008573C5">
        <w:rPr>
          <w:lang w:val="en-GB"/>
        </w:rPr>
        <w:t xml:space="preserve"> average mean of 2.75. This shows that there i</w:t>
      </w:r>
      <w:r w:rsidR="00A34F2B" w:rsidRPr="008573C5">
        <w:rPr>
          <w:lang w:val="en-GB"/>
        </w:rPr>
        <w:t xml:space="preserve">s </w:t>
      </w:r>
      <w:r w:rsidRPr="008573C5">
        <w:rPr>
          <w:lang w:val="en-GB"/>
        </w:rPr>
        <w:t xml:space="preserve">moderate agreement to the fact that </w:t>
      </w:r>
      <w:r w:rsidRPr="008573C5">
        <w:t>ine</w:t>
      </w:r>
      <w:r w:rsidRPr="008573C5">
        <w:rPr>
          <w:sz w:val="23"/>
          <w:szCs w:val="23"/>
        </w:rPr>
        <w:t>ffective and inefficient monitoring mechanisms</w:t>
      </w:r>
      <w:r w:rsidR="000B6924" w:rsidRPr="008573C5">
        <w:rPr>
          <w:sz w:val="23"/>
          <w:szCs w:val="23"/>
        </w:rPr>
        <w:t xml:space="preserve"> influence</w:t>
      </w:r>
      <w:r w:rsidRPr="008573C5">
        <w:rPr>
          <w:sz w:val="23"/>
          <w:szCs w:val="23"/>
        </w:rPr>
        <w:t xml:space="preserve"> the extent of disclosure by listed Nigerian companies.</w:t>
      </w:r>
    </w:p>
    <w:p w:rsidR="00B051EB" w:rsidRPr="008573C5" w:rsidRDefault="00B051EB" w:rsidP="00B051EB">
      <w:pPr>
        <w:spacing w:line="480" w:lineRule="auto"/>
        <w:jc w:val="both"/>
        <w:rPr>
          <w:lang w:val="en-GB"/>
        </w:rPr>
      </w:pPr>
    </w:p>
    <w:p w:rsidR="00B051EB" w:rsidRPr="008573C5" w:rsidRDefault="00B051EB" w:rsidP="00B051EB">
      <w:pPr>
        <w:spacing w:line="360" w:lineRule="auto"/>
        <w:jc w:val="both"/>
        <w:rPr>
          <w:sz w:val="23"/>
          <w:szCs w:val="23"/>
        </w:rPr>
      </w:pPr>
      <w:r w:rsidRPr="008573C5">
        <w:rPr>
          <w:lang w:val="en-GB"/>
        </w:rPr>
        <w:t>The results as presented in Table 4.</w:t>
      </w:r>
      <w:r w:rsidR="00BC239C" w:rsidRPr="008573C5">
        <w:rPr>
          <w:lang w:val="en-GB"/>
        </w:rPr>
        <w:t>3</w:t>
      </w:r>
      <w:r w:rsidR="001B2A6B" w:rsidRPr="008573C5">
        <w:rPr>
          <w:lang w:val="en-GB"/>
        </w:rPr>
        <w:t>4</w:t>
      </w:r>
      <w:r w:rsidRPr="008573C5">
        <w:rPr>
          <w:lang w:val="en-GB"/>
        </w:rPr>
        <w:t xml:space="preserve"> above relating to </w:t>
      </w:r>
      <w:r w:rsidR="002C3E99" w:rsidRPr="008573C5">
        <w:rPr>
          <w:lang w:val="en-GB"/>
        </w:rPr>
        <w:t>item</w:t>
      </w:r>
      <w:r w:rsidRPr="008573C5">
        <w:rPr>
          <w:lang w:val="en-GB"/>
        </w:rPr>
        <w:t xml:space="preserve"> 29, show that </w:t>
      </w:r>
      <w:r w:rsidR="00A34F2B" w:rsidRPr="008573C5">
        <w:rPr>
          <w:lang w:val="en-GB"/>
        </w:rPr>
        <w:t xml:space="preserve">a </w:t>
      </w:r>
      <w:r w:rsidRPr="008573C5">
        <w:rPr>
          <w:lang w:val="en-GB"/>
        </w:rPr>
        <w:t xml:space="preserve">greater proportion of the respondents (60.3%), agree (40.6%) and strongly agree (19.7%) to the fact that </w:t>
      </w:r>
      <w:r w:rsidRPr="008573C5">
        <w:t xml:space="preserve">inadequate sanctions to deter non-compliance is a factor that influences the extent of disclosure. </w:t>
      </w:r>
      <w:r w:rsidRPr="008573C5">
        <w:rPr>
          <w:lang w:val="en-GB"/>
        </w:rPr>
        <w:t xml:space="preserve"> Others (39.7</w:t>
      </w:r>
      <w:r w:rsidR="00D944D1" w:rsidRPr="008573C5">
        <w:rPr>
          <w:lang w:val="en-GB"/>
        </w:rPr>
        <w:t>%) are not convinced</w:t>
      </w:r>
      <w:r w:rsidR="003D3FA9">
        <w:rPr>
          <w:lang w:val="en-GB"/>
        </w:rPr>
        <w:t xml:space="preserve">. </w:t>
      </w:r>
      <w:r w:rsidRPr="008573C5">
        <w:rPr>
          <w:lang w:val="en-GB"/>
        </w:rPr>
        <w:t>22.2% disagree, 7.2% strong</w:t>
      </w:r>
      <w:r w:rsidR="003D3FA9">
        <w:rPr>
          <w:lang w:val="en-GB"/>
        </w:rPr>
        <w:t>ly disagree and 10.3% are undecided</w:t>
      </w:r>
      <w:r w:rsidRPr="008573C5">
        <w:rPr>
          <w:lang w:val="en-GB"/>
        </w:rPr>
        <w:t xml:space="preserve">.  It is evident from this that majority of the respondents consider that </w:t>
      </w:r>
      <w:r w:rsidRPr="008573C5">
        <w:t xml:space="preserve">inadequate sanctions to deter non-compliance is a factor that influences the extent of disclosure. </w:t>
      </w:r>
      <w:r w:rsidRPr="008573C5">
        <w:rPr>
          <w:lang w:val="en-GB"/>
        </w:rPr>
        <w:t xml:space="preserve"> This is also confirmed by the arithmetic mean of 2.81 and standard deviation of .869.</w:t>
      </w:r>
      <w:r w:rsidRPr="008573C5">
        <w:rPr>
          <w:sz w:val="23"/>
          <w:szCs w:val="23"/>
        </w:rPr>
        <w:t xml:space="preserve"> </w:t>
      </w:r>
    </w:p>
    <w:p w:rsidR="00B051EB" w:rsidRPr="008573C5" w:rsidRDefault="00B051EB" w:rsidP="00B051EB">
      <w:pPr>
        <w:spacing w:line="480" w:lineRule="auto"/>
        <w:jc w:val="both"/>
        <w:rPr>
          <w:sz w:val="23"/>
          <w:szCs w:val="23"/>
        </w:rPr>
      </w:pPr>
    </w:p>
    <w:p w:rsidR="00B051EB" w:rsidRPr="008573C5" w:rsidRDefault="002C3E99" w:rsidP="00B051EB">
      <w:pPr>
        <w:spacing w:line="360" w:lineRule="auto"/>
        <w:jc w:val="both"/>
      </w:pPr>
      <w:r w:rsidRPr="008573C5">
        <w:t>Item</w:t>
      </w:r>
      <w:r w:rsidR="00B051EB" w:rsidRPr="008573C5">
        <w:t xml:space="preserve"> 30 as analysed on the above table reveals that 40.8% (197) of the respondents agree that cumbersome</w:t>
      </w:r>
      <w:r w:rsidR="00A34F2B" w:rsidRPr="008573C5">
        <w:t xml:space="preserve"> accounting standards influence</w:t>
      </w:r>
      <w:r w:rsidR="00B051EB" w:rsidRPr="008573C5">
        <w:t xml:space="preserve"> the extent of disclosure by Nigerian listed companies. 11.4% (55)of the respondents strongly agree to this fact, but the others wh</w:t>
      </w:r>
      <w:r w:rsidR="00856F77">
        <w:t>ich constitute (47.8%) disagree</w:t>
      </w:r>
      <w:r w:rsidR="00B051EB" w:rsidRPr="008573C5">
        <w:t xml:space="preserve"> or are unsure about this fact. A mean of 2.59 show</w:t>
      </w:r>
      <w:r w:rsidR="00856F77">
        <w:t>s</w:t>
      </w:r>
      <w:r w:rsidR="00B051EB" w:rsidRPr="008573C5">
        <w:t xml:space="preserve"> a slight agreement. The result suggests that cumbersome accounting standards might not be an influencing factor.</w:t>
      </w:r>
    </w:p>
    <w:p w:rsidR="00B051EB" w:rsidRPr="008573C5" w:rsidRDefault="00A13B1A" w:rsidP="00762068">
      <w:pPr>
        <w:jc w:val="both"/>
        <w:rPr>
          <w:rFonts w:eastAsia="Calibri"/>
          <w:b/>
          <w:bCs/>
          <w:sz w:val="28"/>
          <w:szCs w:val="28"/>
        </w:rPr>
      </w:pPr>
      <w:r w:rsidRPr="008573C5">
        <w:rPr>
          <w:b/>
          <w:sz w:val="28"/>
          <w:szCs w:val="28"/>
        </w:rPr>
        <w:t>4.</w:t>
      </w:r>
      <w:r w:rsidR="004D206D" w:rsidRPr="008573C5">
        <w:rPr>
          <w:b/>
          <w:sz w:val="28"/>
          <w:szCs w:val="28"/>
        </w:rPr>
        <w:t>3</w:t>
      </w:r>
      <w:r w:rsidR="00B051EB" w:rsidRPr="008573C5">
        <w:rPr>
          <w:b/>
          <w:sz w:val="28"/>
          <w:szCs w:val="28"/>
        </w:rPr>
        <w:t>.5</w:t>
      </w:r>
      <w:r w:rsidR="00B051EB" w:rsidRPr="008573C5">
        <w:rPr>
          <w:sz w:val="28"/>
          <w:szCs w:val="28"/>
        </w:rPr>
        <w:t xml:space="preserve"> </w:t>
      </w:r>
      <w:r w:rsidR="00B051EB" w:rsidRPr="008573C5">
        <w:rPr>
          <w:b/>
          <w:sz w:val="28"/>
          <w:szCs w:val="28"/>
        </w:rPr>
        <w:t>Consequences of Non-compliance with Disclosure Requirements of the Accounting Standards</w:t>
      </w:r>
    </w:p>
    <w:p w:rsidR="00B051EB" w:rsidRPr="008573C5" w:rsidRDefault="00B051EB" w:rsidP="00B051EB">
      <w:pPr>
        <w:spacing w:line="360" w:lineRule="auto"/>
      </w:pPr>
    </w:p>
    <w:p w:rsidR="00B051EB" w:rsidRPr="008573C5" w:rsidRDefault="00B051EB" w:rsidP="00B051EB">
      <w:pPr>
        <w:spacing w:line="360" w:lineRule="auto"/>
      </w:pPr>
      <w:r w:rsidRPr="008573C5">
        <w:t>Table 4.</w:t>
      </w:r>
      <w:r w:rsidR="00BC239C" w:rsidRPr="008573C5">
        <w:t>3</w:t>
      </w:r>
      <w:r w:rsidR="001B2A6B" w:rsidRPr="008573C5">
        <w:t>5</w:t>
      </w:r>
      <w:r w:rsidRPr="008573C5">
        <w:t xml:space="preserve"> feature</w:t>
      </w:r>
      <w:r w:rsidR="00856F77">
        <w:t>s</w:t>
      </w:r>
      <w:r w:rsidRPr="008573C5">
        <w:t xml:space="preserve"> the distribution of responses to </w:t>
      </w:r>
      <w:r w:rsidR="002C3E99" w:rsidRPr="008573C5">
        <w:t>items</w:t>
      </w:r>
      <w:r w:rsidRPr="008573C5">
        <w:t xml:space="preserve"> 31 to 35 in a serial manner.  This provides answers to Research question 5 and Objective 5.</w:t>
      </w:r>
    </w:p>
    <w:p w:rsidR="00B051EB" w:rsidRPr="008573C5" w:rsidRDefault="00B051EB" w:rsidP="00B051EB">
      <w:pPr>
        <w:autoSpaceDE w:val="0"/>
        <w:autoSpaceDN w:val="0"/>
        <w:adjustRightInd w:val="0"/>
        <w:rPr>
          <w:rFonts w:eastAsia="Calibri"/>
          <w:b/>
          <w:bCs/>
        </w:rPr>
      </w:pPr>
    </w:p>
    <w:p w:rsidR="00B051EB" w:rsidRPr="008573C5" w:rsidRDefault="00B051EB" w:rsidP="00B051EB">
      <w:pPr>
        <w:autoSpaceDE w:val="0"/>
        <w:autoSpaceDN w:val="0"/>
        <w:adjustRightInd w:val="0"/>
        <w:rPr>
          <w:rFonts w:eastAsia="Calibri"/>
          <w:b/>
          <w:bCs/>
        </w:rPr>
      </w:pPr>
    </w:p>
    <w:p w:rsidR="00B051EB" w:rsidRPr="008573C5" w:rsidRDefault="00B051EB" w:rsidP="00B051EB">
      <w:pPr>
        <w:autoSpaceDE w:val="0"/>
        <w:autoSpaceDN w:val="0"/>
        <w:adjustRightInd w:val="0"/>
        <w:jc w:val="center"/>
        <w:rPr>
          <w:b/>
          <w:bCs/>
          <w:lang w:val="en-GB"/>
        </w:rPr>
      </w:pPr>
    </w:p>
    <w:p w:rsidR="00B051EB" w:rsidRPr="008573C5" w:rsidRDefault="00B051EB" w:rsidP="00B051EB">
      <w:pPr>
        <w:autoSpaceDE w:val="0"/>
        <w:autoSpaceDN w:val="0"/>
        <w:adjustRightInd w:val="0"/>
        <w:jc w:val="center"/>
        <w:rPr>
          <w:b/>
          <w:bCs/>
          <w:lang w:val="en-GB"/>
        </w:rPr>
      </w:pPr>
    </w:p>
    <w:p w:rsidR="00B051EB" w:rsidRPr="008573C5" w:rsidRDefault="001A651F" w:rsidP="00B051EB">
      <w:pPr>
        <w:autoSpaceDE w:val="0"/>
        <w:autoSpaceDN w:val="0"/>
        <w:adjustRightInd w:val="0"/>
        <w:jc w:val="center"/>
        <w:rPr>
          <w:b/>
          <w:bCs/>
          <w:sz w:val="28"/>
          <w:szCs w:val="28"/>
          <w:lang w:val="en-GB"/>
        </w:rPr>
      </w:pPr>
      <w:r w:rsidRPr="008573C5">
        <w:rPr>
          <w:b/>
          <w:bCs/>
          <w:sz w:val="28"/>
          <w:szCs w:val="28"/>
          <w:lang w:val="en-GB"/>
        </w:rPr>
        <w:t>Table 4.3</w:t>
      </w:r>
      <w:r w:rsidR="002E5C79" w:rsidRPr="008573C5">
        <w:rPr>
          <w:b/>
          <w:bCs/>
          <w:sz w:val="28"/>
          <w:szCs w:val="28"/>
          <w:lang w:val="en-GB"/>
        </w:rPr>
        <w:t>5</w:t>
      </w:r>
      <w:r w:rsidR="00B051EB" w:rsidRPr="008573C5">
        <w:rPr>
          <w:b/>
          <w:bCs/>
          <w:sz w:val="28"/>
          <w:szCs w:val="28"/>
          <w:lang w:val="en-GB"/>
        </w:rPr>
        <w:t xml:space="preserve">: Distribution of Responses on </w:t>
      </w:r>
      <w:r w:rsidR="00B051EB" w:rsidRPr="008573C5">
        <w:rPr>
          <w:b/>
          <w:sz w:val="28"/>
          <w:szCs w:val="28"/>
        </w:rPr>
        <w:t>Consequences of Non-compliance with Disclosure Requirements of the Accounting Standards</w:t>
      </w:r>
      <w:r w:rsidR="00B051EB" w:rsidRPr="008573C5">
        <w:rPr>
          <w:b/>
          <w:bCs/>
          <w:sz w:val="28"/>
          <w:szCs w:val="28"/>
          <w:lang w:val="en-GB"/>
        </w:rPr>
        <w:t xml:space="preserve"> </w:t>
      </w:r>
    </w:p>
    <w:p w:rsidR="00B051EB" w:rsidRPr="008573C5" w:rsidRDefault="00B051EB" w:rsidP="00B051EB">
      <w:pPr>
        <w:autoSpaceDE w:val="0"/>
        <w:autoSpaceDN w:val="0"/>
        <w:adjustRightInd w:val="0"/>
        <w:jc w:val="center"/>
        <w:rPr>
          <w:rFonts w:ascii="System" w:hAnsi="System" w:cs="System"/>
          <w:b/>
          <w:bCs/>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8"/>
        <w:gridCol w:w="990"/>
        <w:gridCol w:w="900"/>
        <w:gridCol w:w="900"/>
        <w:gridCol w:w="810"/>
        <w:gridCol w:w="1170"/>
        <w:gridCol w:w="900"/>
        <w:gridCol w:w="900"/>
      </w:tblGrid>
      <w:tr w:rsidR="00B051EB" w:rsidRPr="008573C5" w:rsidTr="00A23403">
        <w:tc>
          <w:tcPr>
            <w:tcW w:w="3348" w:type="dxa"/>
          </w:tcPr>
          <w:p w:rsidR="00B051EB" w:rsidRPr="008573C5" w:rsidRDefault="00B051EB" w:rsidP="00A23403">
            <w:pPr>
              <w:spacing w:before="100" w:beforeAutospacing="1" w:after="100" w:afterAutospacing="1"/>
              <w:jc w:val="center"/>
              <w:rPr>
                <w:b/>
                <w:sz w:val="22"/>
                <w:szCs w:val="22"/>
              </w:rPr>
            </w:pPr>
          </w:p>
        </w:tc>
        <w:tc>
          <w:tcPr>
            <w:tcW w:w="990" w:type="dxa"/>
          </w:tcPr>
          <w:p w:rsidR="00B051EB" w:rsidRPr="008573C5" w:rsidRDefault="00B051EB" w:rsidP="00A23403">
            <w:pPr>
              <w:spacing w:before="100" w:beforeAutospacing="1" w:after="100" w:afterAutospacing="1"/>
              <w:jc w:val="center"/>
              <w:rPr>
                <w:b/>
                <w:sz w:val="22"/>
                <w:szCs w:val="22"/>
              </w:rPr>
            </w:pPr>
            <w:r w:rsidRPr="008573C5">
              <w:rPr>
                <w:b/>
                <w:sz w:val="22"/>
                <w:szCs w:val="22"/>
              </w:rPr>
              <w:t xml:space="preserve">SA </w:t>
            </w:r>
          </w:p>
          <w:p w:rsidR="00B051EB" w:rsidRPr="008573C5" w:rsidRDefault="00B051EB" w:rsidP="00A23403">
            <w:pPr>
              <w:spacing w:before="100" w:beforeAutospacing="1" w:after="100" w:afterAutospacing="1"/>
              <w:jc w:val="center"/>
              <w:rPr>
                <w:b/>
                <w:sz w:val="22"/>
                <w:szCs w:val="22"/>
              </w:rPr>
            </w:pPr>
          </w:p>
        </w:tc>
        <w:tc>
          <w:tcPr>
            <w:tcW w:w="900" w:type="dxa"/>
          </w:tcPr>
          <w:p w:rsidR="00B051EB" w:rsidRPr="008573C5" w:rsidRDefault="00B051EB" w:rsidP="00A23403">
            <w:pPr>
              <w:spacing w:before="100" w:beforeAutospacing="1" w:after="100" w:afterAutospacing="1"/>
              <w:jc w:val="center"/>
              <w:rPr>
                <w:b/>
                <w:sz w:val="22"/>
                <w:szCs w:val="22"/>
              </w:rPr>
            </w:pPr>
            <w:r w:rsidRPr="008573C5">
              <w:rPr>
                <w:b/>
                <w:sz w:val="22"/>
                <w:szCs w:val="22"/>
              </w:rPr>
              <w:t xml:space="preserve">A </w:t>
            </w:r>
          </w:p>
          <w:p w:rsidR="00B051EB" w:rsidRPr="008573C5" w:rsidRDefault="00B051EB" w:rsidP="00A23403">
            <w:pPr>
              <w:spacing w:before="100" w:beforeAutospacing="1" w:after="100" w:afterAutospacing="1"/>
              <w:rPr>
                <w:b/>
                <w:sz w:val="22"/>
                <w:szCs w:val="22"/>
              </w:rPr>
            </w:pPr>
          </w:p>
        </w:tc>
        <w:tc>
          <w:tcPr>
            <w:tcW w:w="900" w:type="dxa"/>
          </w:tcPr>
          <w:p w:rsidR="00B051EB" w:rsidRPr="008573C5" w:rsidRDefault="00B051EB" w:rsidP="00A23403">
            <w:pPr>
              <w:spacing w:before="100" w:beforeAutospacing="1" w:after="100" w:afterAutospacing="1"/>
              <w:jc w:val="center"/>
              <w:rPr>
                <w:b/>
                <w:sz w:val="22"/>
                <w:szCs w:val="22"/>
              </w:rPr>
            </w:pPr>
            <w:r w:rsidRPr="008573C5">
              <w:rPr>
                <w:b/>
                <w:sz w:val="22"/>
                <w:szCs w:val="22"/>
              </w:rPr>
              <w:t>D</w:t>
            </w:r>
          </w:p>
          <w:p w:rsidR="00B051EB" w:rsidRPr="008573C5" w:rsidRDefault="00B051EB" w:rsidP="00A23403">
            <w:pPr>
              <w:spacing w:before="100" w:beforeAutospacing="1" w:after="100" w:afterAutospacing="1"/>
              <w:jc w:val="center"/>
              <w:rPr>
                <w:b/>
                <w:sz w:val="22"/>
                <w:szCs w:val="22"/>
              </w:rPr>
            </w:pPr>
          </w:p>
        </w:tc>
        <w:tc>
          <w:tcPr>
            <w:tcW w:w="810" w:type="dxa"/>
          </w:tcPr>
          <w:p w:rsidR="00B051EB" w:rsidRPr="008573C5" w:rsidRDefault="00B051EB" w:rsidP="00A23403">
            <w:pPr>
              <w:spacing w:before="100" w:beforeAutospacing="1" w:after="100" w:afterAutospacing="1"/>
              <w:jc w:val="center"/>
              <w:rPr>
                <w:b/>
                <w:sz w:val="22"/>
                <w:szCs w:val="22"/>
              </w:rPr>
            </w:pPr>
            <w:r w:rsidRPr="008573C5">
              <w:rPr>
                <w:b/>
                <w:sz w:val="22"/>
                <w:szCs w:val="22"/>
              </w:rPr>
              <w:t>SD</w:t>
            </w:r>
          </w:p>
          <w:p w:rsidR="00B051EB" w:rsidRPr="008573C5" w:rsidRDefault="00B051EB" w:rsidP="00A23403">
            <w:pPr>
              <w:spacing w:before="100" w:beforeAutospacing="1" w:after="100" w:afterAutospacing="1"/>
              <w:jc w:val="center"/>
              <w:rPr>
                <w:b/>
                <w:sz w:val="22"/>
                <w:szCs w:val="22"/>
              </w:rPr>
            </w:pPr>
          </w:p>
        </w:tc>
        <w:tc>
          <w:tcPr>
            <w:tcW w:w="1170" w:type="dxa"/>
          </w:tcPr>
          <w:p w:rsidR="00B051EB" w:rsidRPr="008573C5" w:rsidRDefault="00B051EB" w:rsidP="00A23403">
            <w:pPr>
              <w:spacing w:before="100" w:beforeAutospacing="1" w:after="100" w:afterAutospacing="1"/>
              <w:jc w:val="center"/>
              <w:rPr>
                <w:b/>
                <w:sz w:val="22"/>
                <w:szCs w:val="22"/>
              </w:rPr>
            </w:pPr>
            <w:r w:rsidRPr="008573C5">
              <w:rPr>
                <w:b/>
                <w:sz w:val="22"/>
                <w:szCs w:val="22"/>
              </w:rPr>
              <w:t>Weighted</w:t>
            </w:r>
          </w:p>
          <w:p w:rsidR="00B051EB" w:rsidRPr="008573C5" w:rsidRDefault="00B051EB" w:rsidP="00A23403">
            <w:pPr>
              <w:spacing w:before="100" w:beforeAutospacing="1" w:after="100" w:afterAutospacing="1"/>
              <w:jc w:val="center"/>
              <w:rPr>
                <w:b/>
                <w:sz w:val="22"/>
                <w:szCs w:val="22"/>
              </w:rPr>
            </w:pPr>
            <w:r w:rsidRPr="008573C5">
              <w:rPr>
                <w:b/>
                <w:sz w:val="22"/>
                <w:szCs w:val="22"/>
              </w:rPr>
              <w:t>Sample</w:t>
            </w:r>
          </w:p>
          <w:p w:rsidR="00B051EB" w:rsidRPr="008573C5" w:rsidRDefault="00B051EB" w:rsidP="00A23403">
            <w:pPr>
              <w:spacing w:before="100" w:beforeAutospacing="1" w:after="100" w:afterAutospacing="1"/>
              <w:jc w:val="center"/>
              <w:rPr>
                <w:b/>
                <w:sz w:val="22"/>
                <w:szCs w:val="22"/>
              </w:rPr>
            </w:pPr>
          </w:p>
        </w:tc>
        <w:tc>
          <w:tcPr>
            <w:tcW w:w="900" w:type="dxa"/>
          </w:tcPr>
          <w:p w:rsidR="00B051EB" w:rsidRPr="008573C5" w:rsidRDefault="00B051EB" w:rsidP="00A23403">
            <w:pPr>
              <w:spacing w:before="100" w:beforeAutospacing="1" w:after="100" w:afterAutospacing="1"/>
              <w:jc w:val="center"/>
              <w:rPr>
                <w:b/>
                <w:sz w:val="22"/>
                <w:szCs w:val="22"/>
              </w:rPr>
            </w:pPr>
            <w:r w:rsidRPr="008573C5">
              <w:rPr>
                <w:b/>
                <w:sz w:val="22"/>
                <w:szCs w:val="22"/>
              </w:rPr>
              <w:t>Mean</w:t>
            </w:r>
          </w:p>
          <w:p w:rsidR="00B051EB" w:rsidRPr="008573C5" w:rsidRDefault="00B051EB" w:rsidP="00A23403">
            <w:pPr>
              <w:spacing w:before="100" w:beforeAutospacing="1" w:after="100" w:afterAutospacing="1"/>
              <w:jc w:val="center"/>
              <w:rPr>
                <w:b/>
                <w:sz w:val="22"/>
                <w:szCs w:val="22"/>
              </w:rPr>
            </w:pPr>
          </w:p>
        </w:tc>
        <w:tc>
          <w:tcPr>
            <w:tcW w:w="900" w:type="dxa"/>
          </w:tcPr>
          <w:p w:rsidR="00B051EB" w:rsidRPr="008573C5" w:rsidRDefault="00B051EB" w:rsidP="00A23403">
            <w:pPr>
              <w:spacing w:before="100" w:beforeAutospacing="1" w:after="100" w:afterAutospacing="1"/>
              <w:jc w:val="center"/>
              <w:rPr>
                <w:b/>
                <w:sz w:val="22"/>
                <w:szCs w:val="22"/>
              </w:rPr>
            </w:pPr>
            <w:r w:rsidRPr="008573C5">
              <w:rPr>
                <w:b/>
                <w:sz w:val="22"/>
                <w:szCs w:val="22"/>
              </w:rPr>
              <w:t>SD</w:t>
            </w:r>
          </w:p>
        </w:tc>
      </w:tr>
      <w:tr w:rsidR="00B051EB" w:rsidRPr="008573C5" w:rsidTr="00A23403">
        <w:trPr>
          <w:trHeight w:val="701"/>
        </w:trPr>
        <w:tc>
          <w:tcPr>
            <w:tcW w:w="3348" w:type="dxa"/>
            <w:vAlign w:val="bottom"/>
          </w:tcPr>
          <w:p w:rsidR="00B051EB" w:rsidRPr="008573C5" w:rsidRDefault="00B051EB" w:rsidP="00A23403">
            <w:r w:rsidRPr="008573C5">
              <w:t>Failure of some Nigerian listed companies is due to partial or non-disclosure of relevant accounting information.</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118</w:t>
            </w:r>
          </w:p>
          <w:p w:rsidR="00B051EB" w:rsidRPr="008573C5" w:rsidRDefault="00B051EB" w:rsidP="00A23403">
            <w:pPr>
              <w:spacing w:before="100" w:beforeAutospacing="1" w:after="100" w:afterAutospacing="1"/>
              <w:jc w:val="center"/>
              <w:rPr>
                <w:sz w:val="22"/>
                <w:szCs w:val="22"/>
              </w:rPr>
            </w:pPr>
            <w:r w:rsidRPr="008573C5">
              <w:rPr>
                <w:sz w:val="22"/>
                <w:szCs w:val="22"/>
              </w:rPr>
              <w:t>24.4%</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205</w:t>
            </w:r>
          </w:p>
          <w:p w:rsidR="00B051EB" w:rsidRPr="008573C5" w:rsidRDefault="00B051EB" w:rsidP="00A23403">
            <w:pPr>
              <w:spacing w:before="100" w:beforeAutospacing="1" w:after="100" w:afterAutospacing="1"/>
              <w:jc w:val="center"/>
              <w:rPr>
                <w:sz w:val="22"/>
                <w:szCs w:val="22"/>
              </w:rPr>
            </w:pPr>
            <w:r w:rsidRPr="008573C5">
              <w:rPr>
                <w:sz w:val="22"/>
                <w:szCs w:val="22"/>
              </w:rPr>
              <w:t>42.4%</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80</w:t>
            </w:r>
          </w:p>
          <w:p w:rsidR="00B051EB" w:rsidRPr="008573C5" w:rsidRDefault="00B051EB" w:rsidP="00A23403">
            <w:pPr>
              <w:spacing w:before="100" w:beforeAutospacing="1" w:after="100" w:afterAutospacing="1"/>
              <w:jc w:val="center"/>
              <w:rPr>
                <w:sz w:val="22"/>
                <w:szCs w:val="22"/>
              </w:rPr>
            </w:pPr>
            <w:r w:rsidRPr="008573C5">
              <w:rPr>
                <w:sz w:val="22"/>
                <w:szCs w:val="22"/>
              </w:rPr>
              <w:t>16.6%</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33</w:t>
            </w:r>
          </w:p>
          <w:p w:rsidR="00B051EB" w:rsidRPr="008573C5" w:rsidRDefault="00B051EB" w:rsidP="00A23403">
            <w:pPr>
              <w:spacing w:before="100" w:beforeAutospacing="1" w:after="100" w:afterAutospacing="1"/>
              <w:jc w:val="center"/>
              <w:rPr>
                <w:sz w:val="22"/>
                <w:szCs w:val="22"/>
              </w:rPr>
            </w:pPr>
            <w:r w:rsidRPr="008573C5">
              <w:rPr>
                <w:sz w:val="22"/>
                <w:szCs w:val="22"/>
              </w:rPr>
              <w:t>6.8%</w:t>
            </w:r>
          </w:p>
        </w:tc>
        <w:tc>
          <w:tcPr>
            <w:tcW w:w="1170" w:type="dxa"/>
          </w:tcPr>
          <w:p w:rsidR="00B051EB" w:rsidRPr="008573C5" w:rsidRDefault="00B051EB" w:rsidP="00A23403">
            <w:pPr>
              <w:spacing w:before="100" w:beforeAutospacing="1" w:after="100" w:afterAutospacing="1"/>
              <w:jc w:val="center"/>
              <w:rPr>
                <w:sz w:val="22"/>
                <w:szCs w:val="22"/>
              </w:rPr>
            </w:pPr>
            <w:r w:rsidRPr="008573C5">
              <w:rPr>
                <w:sz w:val="22"/>
                <w:szCs w:val="22"/>
              </w:rPr>
              <w:t>436</w:t>
            </w:r>
          </w:p>
          <w:p w:rsidR="00B051EB" w:rsidRPr="008573C5" w:rsidRDefault="00B051EB" w:rsidP="00A23403">
            <w:pPr>
              <w:spacing w:before="100" w:beforeAutospacing="1" w:after="100" w:afterAutospacing="1"/>
              <w:jc w:val="center"/>
              <w:rPr>
                <w:sz w:val="22"/>
                <w:szCs w:val="22"/>
              </w:rPr>
            </w:pPr>
            <w:r w:rsidRPr="008573C5">
              <w:rPr>
                <w:sz w:val="22"/>
                <w:szCs w:val="22"/>
              </w:rPr>
              <w:t>90.3%</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2.94</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.869</w:t>
            </w:r>
          </w:p>
        </w:tc>
      </w:tr>
      <w:tr w:rsidR="00B051EB" w:rsidRPr="008573C5" w:rsidTr="00A23403">
        <w:tc>
          <w:tcPr>
            <w:tcW w:w="3348" w:type="dxa"/>
            <w:vAlign w:val="bottom"/>
          </w:tcPr>
          <w:p w:rsidR="00B051EB" w:rsidRPr="008573C5" w:rsidRDefault="00B051EB" w:rsidP="00A23403">
            <w:r w:rsidRPr="008573C5">
              <w:t>Partial or non-disclosure of relevant accounting information impedes investors’ decisions.</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175</w:t>
            </w:r>
          </w:p>
          <w:p w:rsidR="00B051EB" w:rsidRPr="008573C5" w:rsidRDefault="00B051EB" w:rsidP="00A23403">
            <w:pPr>
              <w:spacing w:before="100" w:beforeAutospacing="1" w:after="100" w:afterAutospacing="1"/>
              <w:jc w:val="center"/>
              <w:rPr>
                <w:sz w:val="22"/>
                <w:szCs w:val="22"/>
              </w:rPr>
            </w:pPr>
            <w:r w:rsidRPr="008573C5">
              <w:rPr>
                <w:sz w:val="22"/>
                <w:szCs w:val="22"/>
              </w:rPr>
              <w:t>36.2%</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206</w:t>
            </w:r>
          </w:p>
          <w:p w:rsidR="00B051EB" w:rsidRPr="008573C5" w:rsidRDefault="00B051EB" w:rsidP="00A23403">
            <w:pPr>
              <w:spacing w:before="100" w:beforeAutospacing="1" w:after="100" w:afterAutospacing="1"/>
              <w:jc w:val="center"/>
              <w:rPr>
                <w:sz w:val="22"/>
                <w:szCs w:val="22"/>
              </w:rPr>
            </w:pPr>
            <w:r w:rsidRPr="008573C5">
              <w:rPr>
                <w:sz w:val="22"/>
                <w:szCs w:val="22"/>
              </w:rPr>
              <w:t>42.7%</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34</w:t>
            </w:r>
          </w:p>
          <w:p w:rsidR="00B051EB" w:rsidRPr="008573C5" w:rsidRDefault="00B051EB" w:rsidP="00A23403">
            <w:pPr>
              <w:spacing w:before="100" w:beforeAutospacing="1" w:after="100" w:afterAutospacing="1"/>
              <w:jc w:val="center"/>
              <w:rPr>
                <w:sz w:val="22"/>
                <w:szCs w:val="22"/>
              </w:rPr>
            </w:pPr>
            <w:r w:rsidRPr="008573C5">
              <w:rPr>
                <w:sz w:val="22"/>
                <w:szCs w:val="22"/>
              </w:rPr>
              <w:t>7.0%</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21</w:t>
            </w:r>
          </w:p>
          <w:p w:rsidR="00B051EB" w:rsidRPr="008573C5" w:rsidRDefault="00B051EB" w:rsidP="00A23403">
            <w:pPr>
              <w:spacing w:before="100" w:beforeAutospacing="1" w:after="100" w:afterAutospacing="1"/>
              <w:jc w:val="center"/>
              <w:rPr>
                <w:sz w:val="22"/>
                <w:szCs w:val="22"/>
              </w:rPr>
            </w:pPr>
            <w:r w:rsidRPr="008573C5">
              <w:rPr>
                <w:sz w:val="22"/>
                <w:szCs w:val="22"/>
              </w:rPr>
              <w:t>4.3%</w:t>
            </w:r>
          </w:p>
        </w:tc>
        <w:tc>
          <w:tcPr>
            <w:tcW w:w="1170" w:type="dxa"/>
          </w:tcPr>
          <w:p w:rsidR="00B051EB" w:rsidRPr="008573C5" w:rsidRDefault="00B051EB" w:rsidP="00A23403">
            <w:pPr>
              <w:spacing w:before="100" w:beforeAutospacing="1" w:after="100" w:afterAutospacing="1"/>
              <w:jc w:val="center"/>
              <w:rPr>
                <w:sz w:val="22"/>
                <w:szCs w:val="22"/>
              </w:rPr>
            </w:pPr>
            <w:r w:rsidRPr="008573C5">
              <w:rPr>
                <w:sz w:val="22"/>
                <w:szCs w:val="22"/>
              </w:rPr>
              <w:t>436</w:t>
            </w:r>
          </w:p>
          <w:p w:rsidR="00B051EB" w:rsidRPr="008573C5" w:rsidRDefault="00B051EB" w:rsidP="00A23403">
            <w:pPr>
              <w:spacing w:before="100" w:beforeAutospacing="1" w:after="100" w:afterAutospacing="1"/>
              <w:jc w:val="center"/>
              <w:rPr>
                <w:sz w:val="22"/>
                <w:szCs w:val="22"/>
              </w:rPr>
            </w:pPr>
            <w:r w:rsidRPr="008573C5">
              <w:rPr>
                <w:sz w:val="22"/>
                <w:szCs w:val="22"/>
              </w:rPr>
              <w:t>90.3%</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3.23</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.789</w:t>
            </w:r>
          </w:p>
        </w:tc>
      </w:tr>
      <w:tr w:rsidR="00B051EB" w:rsidRPr="008573C5" w:rsidTr="00A23403">
        <w:tc>
          <w:tcPr>
            <w:tcW w:w="3348" w:type="dxa"/>
          </w:tcPr>
          <w:p w:rsidR="00B051EB" w:rsidRPr="008573C5" w:rsidRDefault="00B051EB" w:rsidP="00A23403">
            <w:pPr>
              <w:rPr>
                <w:sz w:val="22"/>
                <w:szCs w:val="22"/>
              </w:rPr>
            </w:pPr>
            <w:r w:rsidRPr="008573C5">
              <w:t>Ensuring full disclosure of relevant accounting standards circumvents fraud.</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120</w:t>
            </w:r>
          </w:p>
          <w:p w:rsidR="00B051EB" w:rsidRPr="008573C5" w:rsidRDefault="00B051EB" w:rsidP="00A23403">
            <w:pPr>
              <w:spacing w:before="100" w:beforeAutospacing="1" w:after="100" w:afterAutospacing="1"/>
              <w:jc w:val="center"/>
              <w:rPr>
                <w:sz w:val="22"/>
                <w:szCs w:val="22"/>
              </w:rPr>
            </w:pPr>
            <w:r w:rsidRPr="008573C5">
              <w:rPr>
                <w:sz w:val="22"/>
                <w:szCs w:val="22"/>
              </w:rPr>
              <w:t>24.8%</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187</w:t>
            </w:r>
          </w:p>
          <w:p w:rsidR="00B051EB" w:rsidRPr="008573C5" w:rsidRDefault="00B051EB" w:rsidP="00A23403">
            <w:pPr>
              <w:spacing w:before="100" w:beforeAutospacing="1" w:after="100" w:afterAutospacing="1"/>
              <w:jc w:val="center"/>
              <w:rPr>
                <w:sz w:val="22"/>
                <w:szCs w:val="22"/>
              </w:rPr>
            </w:pPr>
            <w:r w:rsidRPr="008573C5">
              <w:rPr>
                <w:sz w:val="22"/>
                <w:szCs w:val="22"/>
              </w:rPr>
              <w:t>38.7%</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87</w:t>
            </w:r>
          </w:p>
          <w:p w:rsidR="00B051EB" w:rsidRPr="008573C5" w:rsidRDefault="00B051EB" w:rsidP="00A23403">
            <w:pPr>
              <w:spacing w:before="100" w:beforeAutospacing="1" w:after="100" w:afterAutospacing="1"/>
              <w:jc w:val="center"/>
              <w:rPr>
                <w:sz w:val="22"/>
                <w:szCs w:val="22"/>
              </w:rPr>
            </w:pPr>
            <w:r w:rsidRPr="008573C5">
              <w:rPr>
                <w:sz w:val="22"/>
                <w:szCs w:val="22"/>
              </w:rPr>
              <w:t>18.0%</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41</w:t>
            </w:r>
          </w:p>
          <w:p w:rsidR="00B051EB" w:rsidRPr="008573C5" w:rsidRDefault="00B051EB" w:rsidP="00A23403">
            <w:pPr>
              <w:spacing w:before="100" w:beforeAutospacing="1" w:after="100" w:afterAutospacing="1"/>
              <w:jc w:val="center"/>
              <w:rPr>
                <w:sz w:val="22"/>
                <w:szCs w:val="22"/>
              </w:rPr>
            </w:pPr>
            <w:r w:rsidRPr="008573C5">
              <w:rPr>
                <w:sz w:val="22"/>
                <w:szCs w:val="22"/>
              </w:rPr>
              <w:t>8.5%</w:t>
            </w:r>
          </w:p>
        </w:tc>
        <w:tc>
          <w:tcPr>
            <w:tcW w:w="1170" w:type="dxa"/>
          </w:tcPr>
          <w:p w:rsidR="00B051EB" w:rsidRPr="008573C5" w:rsidRDefault="00B051EB" w:rsidP="00A23403">
            <w:pPr>
              <w:spacing w:before="100" w:beforeAutospacing="1" w:after="100" w:afterAutospacing="1"/>
              <w:jc w:val="center"/>
              <w:rPr>
                <w:sz w:val="22"/>
                <w:szCs w:val="22"/>
              </w:rPr>
            </w:pPr>
            <w:r w:rsidRPr="008573C5">
              <w:rPr>
                <w:sz w:val="22"/>
                <w:szCs w:val="22"/>
              </w:rPr>
              <w:t>435</w:t>
            </w:r>
          </w:p>
          <w:p w:rsidR="00B051EB" w:rsidRPr="008573C5" w:rsidRDefault="00B051EB" w:rsidP="00A23403">
            <w:pPr>
              <w:spacing w:before="100" w:beforeAutospacing="1" w:after="100" w:afterAutospacing="1"/>
              <w:jc w:val="center"/>
              <w:rPr>
                <w:sz w:val="22"/>
                <w:szCs w:val="22"/>
              </w:rPr>
            </w:pPr>
            <w:r w:rsidRPr="008573C5">
              <w:rPr>
                <w:sz w:val="22"/>
                <w:szCs w:val="22"/>
              </w:rPr>
              <w:t>90.1%</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2.89</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.918</w:t>
            </w:r>
          </w:p>
        </w:tc>
      </w:tr>
      <w:tr w:rsidR="00B051EB" w:rsidRPr="008573C5" w:rsidTr="00A23403">
        <w:tc>
          <w:tcPr>
            <w:tcW w:w="3348" w:type="dxa"/>
          </w:tcPr>
          <w:p w:rsidR="00B051EB" w:rsidRPr="008573C5" w:rsidRDefault="00B051EB" w:rsidP="00A23403">
            <w:r w:rsidRPr="008573C5">
              <w:t>Partial or non-disclosure of relevant accounting information limits prudent allocation of resources.</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101</w:t>
            </w:r>
          </w:p>
          <w:p w:rsidR="00B051EB" w:rsidRPr="008573C5" w:rsidRDefault="00B051EB" w:rsidP="00A23403">
            <w:pPr>
              <w:spacing w:before="100" w:beforeAutospacing="1" w:after="100" w:afterAutospacing="1"/>
              <w:jc w:val="center"/>
              <w:rPr>
                <w:sz w:val="22"/>
                <w:szCs w:val="22"/>
              </w:rPr>
            </w:pPr>
            <w:r w:rsidRPr="008573C5">
              <w:rPr>
                <w:sz w:val="22"/>
                <w:szCs w:val="22"/>
              </w:rPr>
              <w:t>20.9%</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199</w:t>
            </w:r>
          </w:p>
          <w:p w:rsidR="00B051EB" w:rsidRPr="008573C5" w:rsidRDefault="00B051EB" w:rsidP="00A23403">
            <w:pPr>
              <w:spacing w:before="100" w:beforeAutospacing="1" w:after="100" w:afterAutospacing="1"/>
              <w:jc w:val="center"/>
              <w:rPr>
                <w:sz w:val="22"/>
                <w:szCs w:val="22"/>
              </w:rPr>
            </w:pPr>
            <w:r w:rsidRPr="008573C5">
              <w:rPr>
                <w:sz w:val="22"/>
                <w:szCs w:val="22"/>
              </w:rPr>
              <w:t>41.2%</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102</w:t>
            </w:r>
          </w:p>
          <w:p w:rsidR="00B051EB" w:rsidRPr="008573C5" w:rsidRDefault="00B051EB" w:rsidP="00A23403">
            <w:pPr>
              <w:spacing w:before="100" w:beforeAutospacing="1" w:after="100" w:afterAutospacing="1"/>
              <w:jc w:val="center"/>
              <w:rPr>
                <w:sz w:val="22"/>
                <w:szCs w:val="22"/>
              </w:rPr>
            </w:pPr>
            <w:r w:rsidRPr="008573C5">
              <w:rPr>
                <w:sz w:val="22"/>
                <w:szCs w:val="22"/>
              </w:rPr>
              <w:t>21.1%</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34</w:t>
            </w:r>
          </w:p>
          <w:p w:rsidR="00B051EB" w:rsidRPr="008573C5" w:rsidRDefault="00B051EB" w:rsidP="00A23403">
            <w:pPr>
              <w:spacing w:before="100" w:beforeAutospacing="1" w:after="100" w:afterAutospacing="1"/>
              <w:jc w:val="center"/>
              <w:rPr>
                <w:sz w:val="22"/>
                <w:szCs w:val="22"/>
              </w:rPr>
            </w:pPr>
            <w:r w:rsidRPr="008573C5">
              <w:rPr>
                <w:sz w:val="22"/>
                <w:szCs w:val="22"/>
              </w:rPr>
              <w:t>7.0%</w:t>
            </w:r>
          </w:p>
        </w:tc>
        <w:tc>
          <w:tcPr>
            <w:tcW w:w="1170" w:type="dxa"/>
          </w:tcPr>
          <w:p w:rsidR="00B051EB" w:rsidRPr="008573C5" w:rsidRDefault="00B051EB" w:rsidP="00A23403">
            <w:pPr>
              <w:spacing w:before="100" w:beforeAutospacing="1" w:after="100" w:afterAutospacing="1"/>
              <w:jc w:val="center"/>
              <w:rPr>
                <w:sz w:val="22"/>
                <w:szCs w:val="22"/>
              </w:rPr>
            </w:pPr>
            <w:r w:rsidRPr="008573C5">
              <w:rPr>
                <w:sz w:val="22"/>
                <w:szCs w:val="22"/>
              </w:rPr>
              <w:t>436</w:t>
            </w:r>
          </w:p>
          <w:p w:rsidR="00B051EB" w:rsidRPr="008573C5" w:rsidRDefault="00B051EB" w:rsidP="00A23403">
            <w:pPr>
              <w:spacing w:before="100" w:beforeAutospacing="1" w:after="100" w:afterAutospacing="1"/>
              <w:jc w:val="center"/>
              <w:rPr>
                <w:sz w:val="22"/>
                <w:szCs w:val="22"/>
              </w:rPr>
            </w:pPr>
            <w:r w:rsidRPr="008573C5">
              <w:rPr>
                <w:sz w:val="22"/>
                <w:szCs w:val="22"/>
              </w:rPr>
              <w:t>90.3%</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2.84</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.868</w:t>
            </w:r>
          </w:p>
        </w:tc>
      </w:tr>
      <w:tr w:rsidR="00B051EB" w:rsidRPr="008573C5" w:rsidTr="00A23403">
        <w:tc>
          <w:tcPr>
            <w:tcW w:w="3348" w:type="dxa"/>
          </w:tcPr>
          <w:p w:rsidR="00B051EB" w:rsidRPr="008573C5" w:rsidRDefault="00B051EB" w:rsidP="00A23403">
            <w:pPr>
              <w:rPr>
                <w:sz w:val="22"/>
                <w:szCs w:val="22"/>
              </w:rPr>
            </w:pPr>
            <w:r w:rsidRPr="008573C5">
              <w:t>Partial or non-disclosure of relevant accounting information erodes investors' confidence.</w:t>
            </w:r>
          </w:p>
        </w:tc>
        <w:tc>
          <w:tcPr>
            <w:tcW w:w="990" w:type="dxa"/>
          </w:tcPr>
          <w:p w:rsidR="00B051EB" w:rsidRPr="008573C5" w:rsidRDefault="00B051EB" w:rsidP="00A23403">
            <w:pPr>
              <w:spacing w:before="100" w:beforeAutospacing="1" w:after="100" w:afterAutospacing="1"/>
              <w:jc w:val="center"/>
              <w:rPr>
                <w:sz w:val="22"/>
                <w:szCs w:val="22"/>
              </w:rPr>
            </w:pPr>
            <w:r w:rsidRPr="008573C5">
              <w:rPr>
                <w:sz w:val="22"/>
                <w:szCs w:val="22"/>
              </w:rPr>
              <w:t>200</w:t>
            </w:r>
          </w:p>
          <w:p w:rsidR="00B051EB" w:rsidRPr="008573C5" w:rsidRDefault="00B051EB" w:rsidP="00A23403">
            <w:pPr>
              <w:spacing w:before="100" w:beforeAutospacing="1" w:after="100" w:afterAutospacing="1"/>
              <w:jc w:val="center"/>
              <w:rPr>
                <w:sz w:val="22"/>
                <w:szCs w:val="22"/>
              </w:rPr>
            </w:pPr>
            <w:r w:rsidRPr="008573C5">
              <w:rPr>
                <w:sz w:val="22"/>
                <w:szCs w:val="22"/>
              </w:rPr>
              <w:t>41.4%</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171</w:t>
            </w:r>
          </w:p>
          <w:p w:rsidR="00B051EB" w:rsidRPr="008573C5" w:rsidRDefault="00B051EB" w:rsidP="00A23403">
            <w:pPr>
              <w:spacing w:before="100" w:beforeAutospacing="1" w:after="100" w:afterAutospacing="1"/>
              <w:jc w:val="center"/>
              <w:rPr>
                <w:sz w:val="22"/>
                <w:szCs w:val="22"/>
              </w:rPr>
            </w:pPr>
            <w:r w:rsidRPr="008573C5">
              <w:rPr>
                <w:sz w:val="22"/>
                <w:szCs w:val="22"/>
              </w:rPr>
              <w:t>35.4%</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39</w:t>
            </w:r>
          </w:p>
          <w:p w:rsidR="00B051EB" w:rsidRPr="008573C5" w:rsidRDefault="00B051EB" w:rsidP="00A23403">
            <w:pPr>
              <w:spacing w:before="100" w:beforeAutospacing="1" w:after="100" w:afterAutospacing="1"/>
              <w:jc w:val="center"/>
              <w:rPr>
                <w:sz w:val="22"/>
                <w:szCs w:val="22"/>
              </w:rPr>
            </w:pPr>
            <w:r w:rsidRPr="008573C5">
              <w:rPr>
                <w:sz w:val="22"/>
                <w:szCs w:val="22"/>
              </w:rPr>
              <w:t>8.1%</w:t>
            </w:r>
          </w:p>
        </w:tc>
        <w:tc>
          <w:tcPr>
            <w:tcW w:w="810" w:type="dxa"/>
          </w:tcPr>
          <w:p w:rsidR="00B051EB" w:rsidRPr="008573C5" w:rsidRDefault="00B051EB" w:rsidP="00A23403">
            <w:pPr>
              <w:spacing w:before="100" w:beforeAutospacing="1" w:after="100" w:afterAutospacing="1"/>
              <w:jc w:val="center"/>
              <w:rPr>
                <w:sz w:val="22"/>
                <w:szCs w:val="22"/>
              </w:rPr>
            </w:pPr>
            <w:r w:rsidRPr="008573C5">
              <w:rPr>
                <w:sz w:val="22"/>
                <w:szCs w:val="22"/>
              </w:rPr>
              <w:t>25</w:t>
            </w:r>
          </w:p>
          <w:p w:rsidR="00B051EB" w:rsidRPr="008573C5" w:rsidRDefault="00B051EB" w:rsidP="00A23403">
            <w:pPr>
              <w:spacing w:before="100" w:beforeAutospacing="1" w:after="100" w:afterAutospacing="1"/>
              <w:jc w:val="center"/>
              <w:rPr>
                <w:sz w:val="22"/>
                <w:szCs w:val="22"/>
              </w:rPr>
            </w:pPr>
            <w:r w:rsidRPr="008573C5">
              <w:rPr>
                <w:sz w:val="22"/>
                <w:szCs w:val="22"/>
              </w:rPr>
              <w:t>5.2%</w:t>
            </w:r>
          </w:p>
        </w:tc>
        <w:tc>
          <w:tcPr>
            <w:tcW w:w="1170" w:type="dxa"/>
          </w:tcPr>
          <w:p w:rsidR="00B051EB" w:rsidRPr="008573C5" w:rsidRDefault="00B051EB" w:rsidP="00A23403">
            <w:pPr>
              <w:spacing w:before="100" w:beforeAutospacing="1" w:after="100" w:afterAutospacing="1"/>
              <w:jc w:val="center"/>
              <w:rPr>
                <w:sz w:val="22"/>
                <w:szCs w:val="22"/>
              </w:rPr>
            </w:pPr>
            <w:r w:rsidRPr="008573C5">
              <w:rPr>
                <w:sz w:val="22"/>
                <w:szCs w:val="22"/>
              </w:rPr>
              <w:t>435</w:t>
            </w:r>
          </w:p>
          <w:p w:rsidR="00B051EB" w:rsidRPr="008573C5" w:rsidRDefault="00B051EB" w:rsidP="00A23403">
            <w:pPr>
              <w:spacing w:before="100" w:beforeAutospacing="1" w:after="100" w:afterAutospacing="1"/>
              <w:jc w:val="center"/>
              <w:rPr>
                <w:sz w:val="22"/>
                <w:szCs w:val="22"/>
              </w:rPr>
            </w:pPr>
            <w:r w:rsidRPr="008573C5">
              <w:rPr>
                <w:sz w:val="22"/>
                <w:szCs w:val="22"/>
              </w:rPr>
              <w:t>90.1%</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3.26</w:t>
            </w:r>
          </w:p>
        </w:tc>
        <w:tc>
          <w:tcPr>
            <w:tcW w:w="900" w:type="dxa"/>
          </w:tcPr>
          <w:p w:rsidR="00B051EB" w:rsidRPr="008573C5" w:rsidRDefault="00B051EB" w:rsidP="00A23403">
            <w:pPr>
              <w:spacing w:before="100" w:beforeAutospacing="1" w:after="100" w:afterAutospacing="1"/>
              <w:jc w:val="center"/>
              <w:rPr>
                <w:sz w:val="22"/>
                <w:szCs w:val="22"/>
              </w:rPr>
            </w:pPr>
            <w:r w:rsidRPr="008573C5">
              <w:rPr>
                <w:sz w:val="22"/>
                <w:szCs w:val="22"/>
              </w:rPr>
              <w:t>.846</w:t>
            </w:r>
          </w:p>
        </w:tc>
      </w:tr>
    </w:tbl>
    <w:p w:rsidR="00B85521" w:rsidRPr="008573C5" w:rsidRDefault="00B85521" w:rsidP="00B85521">
      <w:pPr>
        <w:autoSpaceDE w:val="0"/>
        <w:autoSpaceDN w:val="0"/>
        <w:adjustRightInd w:val="0"/>
        <w:jc w:val="center"/>
        <w:rPr>
          <w:rFonts w:eastAsia="Calibri"/>
          <w:bCs/>
        </w:rPr>
      </w:pPr>
      <w:r w:rsidRPr="008573C5">
        <w:rPr>
          <w:rFonts w:eastAsia="Calibri"/>
          <w:bCs/>
        </w:rPr>
        <w:t>Source: Field Study (2009)</w:t>
      </w:r>
    </w:p>
    <w:p w:rsidR="00B051EB" w:rsidRPr="008573C5" w:rsidRDefault="00B051EB" w:rsidP="00B051EB">
      <w:pPr>
        <w:autoSpaceDE w:val="0"/>
        <w:autoSpaceDN w:val="0"/>
        <w:adjustRightInd w:val="0"/>
        <w:jc w:val="center"/>
        <w:rPr>
          <w:rFonts w:eastAsia="Calibri"/>
          <w:b/>
          <w:bCs/>
        </w:rPr>
      </w:pPr>
    </w:p>
    <w:p w:rsidR="00B051EB" w:rsidRPr="008573C5" w:rsidRDefault="00B051EB" w:rsidP="00B051EB">
      <w:pPr>
        <w:spacing w:line="480" w:lineRule="auto"/>
        <w:jc w:val="both"/>
        <w:rPr>
          <w:lang w:val="en-GB"/>
        </w:rPr>
      </w:pPr>
    </w:p>
    <w:p w:rsidR="00B051EB" w:rsidRPr="008573C5" w:rsidRDefault="00B051EB" w:rsidP="00B051EB">
      <w:pPr>
        <w:spacing w:line="360" w:lineRule="auto"/>
        <w:jc w:val="both"/>
      </w:pPr>
      <w:r w:rsidRPr="008573C5">
        <w:rPr>
          <w:lang w:val="en-GB"/>
        </w:rPr>
        <w:t xml:space="preserve">The data collected in respect of </w:t>
      </w:r>
      <w:r w:rsidR="002C3E99" w:rsidRPr="008573C5">
        <w:rPr>
          <w:lang w:val="en-GB"/>
        </w:rPr>
        <w:t>item</w:t>
      </w:r>
      <w:r w:rsidRPr="008573C5">
        <w:rPr>
          <w:lang w:val="en-GB"/>
        </w:rPr>
        <w:t xml:space="preserve"> 31 as narrated in Table 4.</w:t>
      </w:r>
      <w:r w:rsidR="00BC239C" w:rsidRPr="008573C5">
        <w:rPr>
          <w:lang w:val="en-GB"/>
        </w:rPr>
        <w:t>3</w:t>
      </w:r>
      <w:r w:rsidR="003D60D5" w:rsidRPr="008573C5">
        <w:rPr>
          <w:lang w:val="en-GB"/>
        </w:rPr>
        <w:t>5 above</w:t>
      </w:r>
      <w:r w:rsidRPr="008573C5">
        <w:rPr>
          <w:lang w:val="en-GB"/>
        </w:rPr>
        <w:t xml:space="preserve"> depicts that 66.8% of the respondents are affirmative that the </w:t>
      </w:r>
      <w:r w:rsidRPr="008573C5">
        <w:t>failure of some Nigerian listed companies is due to partial or non-disclosure of relevant accounting informati</w:t>
      </w:r>
      <w:r w:rsidR="00856F77">
        <w:t>on. The remaining respondents a</w:t>
      </w:r>
      <w:r w:rsidRPr="008573C5">
        <w:t>re of a contrary view, 16.6% disa</w:t>
      </w:r>
      <w:r w:rsidRPr="008573C5">
        <w:rPr>
          <w:lang w:val="en-GB"/>
        </w:rPr>
        <w:t>gree, 6.8%</w:t>
      </w:r>
      <w:r w:rsidR="00856F77">
        <w:rPr>
          <w:lang w:val="en-GB"/>
        </w:rPr>
        <w:t xml:space="preserve"> strongly disagree while 9.8% a</w:t>
      </w:r>
      <w:r w:rsidRPr="008573C5">
        <w:rPr>
          <w:lang w:val="en-GB"/>
        </w:rPr>
        <w:t xml:space="preserve">re adamant. With a standard deviation of 2.94 and a standard deviation of </w:t>
      </w:r>
      <w:r w:rsidR="00762068" w:rsidRPr="008573C5">
        <w:rPr>
          <w:lang w:val="en-GB"/>
        </w:rPr>
        <w:t>0</w:t>
      </w:r>
      <w:r w:rsidRPr="008573C5">
        <w:rPr>
          <w:lang w:val="en-GB"/>
        </w:rPr>
        <w:t>.869</w:t>
      </w:r>
      <w:r w:rsidR="000B6924" w:rsidRPr="008573C5">
        <w:rPr>
          <w:lang w:val="en-GB"/>
        </w:rPr>
        <w:t>,</w:t>
      </w:r>
      <w:r w:rsidRPr="008573C5">
        <w:rPr>
          <w:lang w:val="en-GB"/>
        </w:rPr>
        <w:t xml:space="preserve"> it confirms that there is a general agreement that </w:t>
      </w:r>
      <w:r w:rsidRPr="008573C5">
        <w:t>failure of some Nigerian listed companies in the time past is due to partial or non-disclosure of relevant accounting information.</w:t>
      </w:r>
    </w:p>
    <w:p w:rsidR="00B051EB" w:rsidRPr="008573C5" w:rsidRDefault="00B051EB" w:rsidP="00B051EB">
      <w:pPr>
        <w:spacing w:line="360" w:lineRule="auto"/>
        <w:jc w:val="both"/>
        <w:rPr>
          <w:lang w:val="en-GB"/>
        </w:rPr>
      </w:pPr>
    </w:p>
    <w:p w:rsidR="00B051EB" w:rsidRPr="008573C5" w:rsidRDefault="002C3E99" w:rsidP="00B051EB">
      <w:pPr>
        <w:spacing w:line="360" w:lineRule="auto"/>
        <w:jc w:val="both"/>
      </w:pPr>
      <w:r w:rsidRPr="008573C5">
        <w:rPr>
          <w:lang w:val="en-GB"/>
        </w:rPr>
        <w:t>Item</w:t>
      </w:r>
      <w:r w:rsidR="00B051EB" w:rsidRPr="008573C5">
        <w:rPr>
          <w:lang w:val="en-GB"/>
        </w:rPr>
        <w:t xml:space="preserve"> 32 as analysed in the table above confirms that a predominant percentage (</w:t>
      </w:r>
      <w:r w:rsidR="00856F77">
        <w:rPr>
          <w:lang w:val="en-GB"/>
        </w:rPr>
        <w:t>78.9%) strongly agree and agree</w:t>
      </w:r>
      <w:r w:rsidR="00B051EB" w:rsidRPr="008573C5">
        <w:rPr>
          <w:lang w:val="en-GB"/>
        </w:rPr>
        <w:t xml:space="preserve"> </w:t>
      </w:r>
      <w:r w:rsidR="000B6924" w:rsidRPr="008573C5">
        <w:rPr>
          <w:lang w:val="en-GB"/>
        </w:rPr>
        <w:t>with</w:t>
      </w:r>
      <w:r w:rsidR="00B051EB" w:rsidRPr="008573C5">
        <w:rPr>
          <w:lang w:val="en-GB"/>
        </w:rPr>
        <w:t xml:space="preserve"> the fact that  p</w:t>
      </w:r>
      <w:r w:rsidR="00B051EB" w:rsidRPr="008573C5">
        <w:t>artial or non-disclosure of relevant accounting information impedes investors’ decisions.</w:t>
      </w:r>
      <w:r w:rsidR="00B051EB" w:rsidRPr="008573C5">
        <w:rPr>
          <w:lang w:val="en-GB"/>
        </w:rPr>
        <w:t xml:space="preserve"> 7.0% disagree while 4.3% strongly disagree. The weighted arithmetic mean is 3.23 and the standard deviation is </w:t>
      </w:r>
      <w:r w:rsidR="00856F77">
        <w:rPr>
          <w:lang w:val="en-GB"/>
        </w:rPr>
        <w:t>0</w:t>
      </w:r>
      <w:r w:rsidR="00B051EB" w:rsidRPr="008573C5">
        <w:rPr>
          <w:lang w:val="en-GB"/>
        </w:rPr>
        <w:t>.789</w:t>
      </w:r>
      <w:r w:rsidR="00856F77">
        <w:rPr>
          <w:lang w:val="en-GB"/>
        </w:rPr>
        <w:t>. These confirm</w:t>
      </w:r>
      <w:r w:rsidR="00B051EB" w:rsidRPr="008573C5">
        <w:rPr>
          <w:lang w:val="en-GB"/>
        </w:rPr>
        <w:t xml:space="preserve"> that </w:t>
      </w:r>
      <w:r w:rsidRPr="008573C5">
        <w:rPr>
          <w:lang w:val="en-GB"/>
        </w:rPr>
        <w:t>p</w:t>
      </w:r>
      <w:r w:rsidR="00B051EB" w:rsidRPr="008573C5">
        <w:t>artial or non-disclosure of relevant accounting information impedes investors’ decisions.</w:t>
      </w:r>
    </w:p>
    <w:p w:rsidR="00B051EB" w:rsidRPr="008573C5" w:rsidRDefault="00B051EB" w:rsidP="00B051EB">
      <w:pPr>
        <w:spacing w:line="360" w:lineRule="auto"/>
        <w:jc w:val="both"/>
      </w:pPr>
    </w:p>
    <w:p w:rsidR="00B051EB" w:rsidRPr="008573C5" w:rsidRDefault="00B051EB" w:rsidP="00B051EB">
      <w:pPr>
        <w:spacing w:line="360" w:lineRule="auto"/>
        <w:jc w:val="both"/>
      </w:pPr>
      <w:r w:rsidRPr="008573C5">
        <w:rPr>
          <w:lang w:val="en-GB"/>
        </w:rPr>
        <w:t>The result from Table 4.</w:t>
      </w:r>
      <w:r w:rsidR="00BC239C" w:rsidRPr="008573C5">
        <w:rPr>
          <w:lang w:val="en-GB"/>
        </w:rPr>
        <w:t>3</w:t>
      </w:r>
      <w:r w:rsidR="003D60D5" w:rsidRPr="008573C5">
        <w:rPr>
          <w:lang w:val="en-GB"/>
        </w:rPr>
        <w:t>5</w:t>
      </w:r>
      <w:r w:rsidRPr="008573C5">
        <w:rPr>
          <w:lang w:val="en-GB"/>
        </w:rPr>
        <w:t xml:space="preserve"> on </w:t>
      </w:r>
      <w:r w:rsidR="002C3E99" w:rsidRPr="008573C5">
        <w:rPr>
          <w:lang w:val="en-GB"/>
        </w:rPr>
        <w:t>item</w:t>
      </w:r>
      <w:r w:rsidRPr="008573C5">
        <w:rPr>
          <w:lang w:val="en-GB"/>
        </w:rPr>
        <w:t xml:space="preserve"> 33 shows that 24.8% strongly agree that e</w:t>
      </w:r>
      <w:r w:rsidRPr="008573C5">
        <w:t>nsuring full disclosure of relevant accounting standards circumvents fraud, 38.7%</w:t>
      </w:r>
      <w:r w:rsidRPr="008573C5">
        <w:rPr>
          <w:lang w:val="en-GB"/>
        </w:rPr>
        <w:t xml:space="preserve"> agree, 18.0% disagree and 8.5% strongly disagree.  With a mean of 2.89 and a standard deviation of .91, </w:t>
      </w:r>
      <w:r w:rsidR="00D0377F">
        <w:rPr>
          <w:lang w:val="en-GB"/>
        </w:rPr>
        <w:t>the</w:t>
      </w:r>
      <w:r w:rsidRPr="008573C5">
        <w:rPr>
          <w:lang w:val="en-GB"/>
        </w:rPr>
        <w:t xml:space="preserve"> result reveals that e</w:t>
      </w:r>
      <w:r w:rsidRPr="008573C5">
        <w:t>nsuring full disclosure of relevant accounting standards circumvents fraud.</w:t>
      </w:r>
    </w:p>
    <w:p w:rsidR="00B051EB" w:rsidRPr="008573C5" w:rsidRDefault="00B051EB" w:rsidP="00B051EB">
      <w:pPr>
        <w:spacing w:line="360" w:lineRule="auto"/>
        <w:jc w:val="both"/>
      </w:pPr>
    </w:p>
    <w:p w:rsidR="00B051EB" w:rsidRPr="008573C5" w:rsidRDefault="00B051EB" w:rsidP="00B051EB">
      <w:pPr>
        <w:spacing w:line="360" w:lineRule="auto"/>
        <w:jc w:val="both"/>
      </w:pPr>
      <w:r w:rsidRPr="008573C5">
        <w:t>The distribution of respon</w:t>
      </w:r>
      <w:r w:rsidR="003D60D5" w:rsidRPr="008573C5">
        <w:t xml:space="preserve">ses on </w:t>
      </w:r>
      <w:r w:rsidR="002C3E99" w:rsidRPr="008573C5">
        <w:t>item</w:t>
      </w:r>
      <w:r w:rsidR="003D60D5" w:rsidRPr="008573C5">
        <w:t xml:space="preserve"> 34 as shown in T</w:t>
      </w:r>
      <w:r w:rsidRPr="008573C5">
        <w:t>able 4.</w:t>
      </w:r>
      <w:r w:rsidR="003D60D5" w:rsidRPr="008573C5">
        <w:t>35</w:t>
      </w:r>
      <w:r w:rsidRPr="008573C5">
        <w:t xml:space="preserve"> above is: 20.9% ( 101) </w:t>
      </w:r>
      <w:r w:rsidR="00762068" w:rsidRPr="008573C5">
        <w:t xml:space="preserve"> </w:t>
      </w:r>
      <w:r w:rsidRPr="008573C5">
        <w:t>for strongly agree, 41.2% ( 199) for agree, 21.1% (102)  for disagree, and 7.0% ( 34)</w:t>
      </w:r>
      <w:r w:rsidR="00762068" w:rsidRPr="008573C5">
        <w:t xml:space="preserve"> </w:t>
      </w:r>
      <w:r w:rsidRPr="008573C5">
        <w:t>for strongly disagree.  This result shows that a vast number of the respondents agree that partial or non-disclosure of relevant accounting information limits prudent allocation of resources. This is also confirmed with the weighted arithmetic mean of  2.84 and standard deviation of .868.</w:t>
      </w:r>
    </w:p>
    <w:p w:rsidR="00B051EB" w:rsidRPr="008573C5" w:rsidRDefault="00B051EB" w:rsidP="00B051EB">
      <w:pPr>
        <w:spacing w:line="360" w:lineRule="auto"/>
        <w:jc w:val="both"/>
      </w:pPr>
    </w:p>
    <w:p w:rsidR="00B051EB" w:rsidRPr="008573C5" w:rsidRDefault="00B051EB" w:rsidP="00B051EB">
      <w:pPr>
        <w:spacing w:line="360" w:lineRule="auto"/>
        <w:jc w:val="both"/>
      </w:pPr>
      <w:r w:rsidRPr="008573C5">
        <w:t xml:space="preserve">The analysis of </w:t>
      </w:r>
      <w:r w:rsidR="002C3E99" w:rsidRPr="008573C5">
        <w:t>item</w:t>
      </w:r>
      <w:r w:rsidRPr="008573C5">
        <w:t xml:space="preserve"> 35 as </w:t>
      </w:r>
      <w:r w:rsidR="00A34F2B" w:rsidRPr="008573C5">
        <w:t>presented</w:t>
      </w:r>
      <w:r w:rsidRPr="008573C5">
        <w:t xml:space="preserve"> in Table 4.</w:t>
      </w:r>
      <w:r w:rsidR="00BC239C" w:rsidRPr="008573C5">
        <w:t>3</w:t>
      </w:r>
      <w:r w:rsidR="003D60D5" w:rsidRPr="008573C5">
        <w:t>5</w:t>
      </w:r>
      <w:r w:rsidRPr="008573C5">
        <w:t xml:space="preserve"> above reveals that a vast number of respondents accede to the fact that partial or non-disclosure of relevant accounting information erodes investors' confidence. 200 representing 41.4% strongly agree while 35.4% agree. A small number of the respondents disagree (8.1%) and strongly disagree (5.2%) to this fact. The weighted mean of 3.26 and </w:t>
      </w:r>
      <w:r w:rsidR="00D0377F">
        <w:t>standard deviation of .846 make</w:t>
      </w:r>
      <w:r w:rsidRPr="008573C5">
        <w:t xml:space="preserve"> it evident that partial or non-disclosure of relevant accounting information erodes investors' confidence. </w:t>
      </w:r>
    </w:p>
    <w:p w:rsidR="00B051EB" w:rsidRPr="008573C5" w:rsidRDefault="00B051EB" w:rsidP="00B051EB">
      <w:pPr>
        <w:spacing w:line="360" w:lineRule="auto"/>
        <w:jc w:val="both"/>
        <w:rPr>
          <w:lang w:val="en-GB"/>
        </w:rPr>
      </w:pPr>
    </w:p>
    <w:p w:rsidR="00B35F8E" w:rsidRPr="008573C5" w:rsidRDefault="00B35F8E" w:rsidP="00B051EB">
      <w:pPr>
        <w:spacing w:line="360" w:lineRule="auto"/>
        <w:jc w:val="both"/>
        <w:rPr>
          <w:b/>
          <w:sz w:val="28"/>
          <w:szCs w:val="28"/>
          <w:lang w:val="en-GB"/>
        </w:rPr>
      </w:pPr>
    </w:p>
    <w:p w:rsidR="002B4F4C" w:rsidRPr="008573C5" w:rsidRDefault="002B4F4C" w:rsidP="00B051EB">
      <w:pPr>
        <w:spacing w:line="360" w:lineRule="auto"/>
        <w:jc w:val="both"/>
        <w:rPr>
          <w:b/>
          <w:sz w:val="28"/>
          <w:szCs w:val="28"/>
          <w:lang w:val="en-GB"/>
        </w:rPr>
      </w:pPr>
    </w:p>
    <w:p w:rsidR="001C67D0" w:rsidRPr="008573C5" w:rsidRDefault="003A357C" w:rsidP="00B051EB">
      <w:pPr>
        <w:spacing w:line="360" w:lineRule="auto"/>
        <w:jc w:val="both"/>
        <w:rPr>
          <w:b/>
          <w:sz w:val="28"/>
          <w:szCs w:val="28"/>
          <w:lang w:val="en-GB"/>
        </w:rPr>
      </w:pPr>
      <w:r w:rsidRPr="008573C5">
        <w:rPr>
          <w:b/>
          <w:sz w:val="28"/>
          <w:szCs w:val="28"/>
          <w:lang w:val="en-GB"/>
        </w:rPr>
        <w:t>4.</w:t>
      </w:r>
      <w:r w:rsidR="004D206D" w:rsidRPr="008573C5">
        <w:rPr>
          <w:b/>
          <w:sz w:val="28"/>
          <w:szCs w:val="28"/>
          <w:lang w:val="en-GB"/>
        </w:rPr>
        <w:t>3</w:t>
      </w:r>
      <w:r w:rsidR="00A13B1A" w:rsidRPr="008573C5">
        <w:rPr>
          <w:b/>
          <w:sz w:val="28"/>
          <w:szCs w:val="28"/>
          <w:lang w:val="en-GB"/>
        </w:rPr>
        <w:t>.</w:t>
      </w:r>
      <w:r w:rsidR="00FA68C7" w:rsidRPr="008573C5">
        <w:rPr>
          <w:b/>
          <w:sz w:val="28"/>
          <w:szCs w:val="28"/>
          <w:lang w:val="en-GB"/>
        </w:rPr>
        <w:t>6</w:t>
      </w:r>
      <w:r w:rsidR="00A13B1A" w:rsidRPr="008573C5">
        <w:rPr>
          <w:b/>
          <w:sz w:val="28"/>
          <w:szCs w:val="28"/>
          <w:lang w:val="en-GB"/>
        </w:rPr>
        <w:t xml:space="preserve">   </w:t>
      </w:r>
      <w:r w:rsidR="001C67D0" w:rsidRPr="008573C5">
        <w:rPr>
          <w:b/>
          <w:sz w:val="28"/>
          <w:szCs w:val="28"/>
          <w:lang w:val="en-GB"/>
        </w:rPr>
        <w:t>Hypothes</w:t>
      </w:r>
      <w:r w:rsidR="00A13B1A" w:rsidRPr="008573C5">
        <w:rPr>
          <w:b/>
          <w:sz w:val="28"/>
          <w:szCs w:val="28"/>
          <w:lang w:val="en-GB"/>
        </w:rPr>
        <w:t>e</w:t>
      </w:r>
      <w:r w:rsidR="001C67D0" w:rsidRPr="008573C5">
        <w:rPr>
          <w:b/>
          <w:sz w:val="28"/>
          <w:szCs w:val="28"/>
          <w:lang w:val="en-GB"/>
        </w:rPr>
        <w:t>s Testing – Survey Data</w:t>
      </w:r>
    </w:p>
    <w:p w:rsidR="00685BA9" w:rsidRPr="008573C5" w:rsidRDefault="00685BA9" w:rsidP="00685BA9">
      <w:pPr>
        <w:spacing w:line="360" w:lineRule="auto"/>
      </w:pPr>
      <w:r w:rsidRPr="008573C5">
        <w:t>Hypothesis 5</w:t>
      </w:r>
    </w:p>
    <w:p w:rsidR="00685BA9" w:rsidRPr="008573C5" w:rsidRDefault="00685BA9" w:rsidP="00685BA9">
      <w:pPr>
        <w:spacing w:before="100" w:beforeAutospacing="1" w:after="100" w:afterAutospacing="1" w:line="360" w:lineRule="auto"/>
        <w:jc w:val="both"/>
      </w:pPr>
      <w:r w:rsidRPr="008573C5">
        <w:rPr>
          <w:rFonts w:ascii="Times" w:hAnsi="Times" w:cs="Times"/>
        </w:rPr>
        <w:t>H</w:t>
      </w:r>
      <w:r w:rsidRPr="008573C5">
        <w:rPr>
          <w:rFonts w:ascii="Times" w:hAnsi="Times" w:cs="Times"/>
          <w:vertAlign w:val="subscript"/>
        </w:rPr>
        <w:t>o</w:t>
      </w:r>
      <w:r w:rsidRPr="008573C5">
        <w:rPr>
          <w:rFonts w:ascii="Times" w:hAnsi="Times" w:cs="Times"/>
        </w:rPr>
        <w:t xml:space="preserve">: There are no </w:t>
      </w:r>
      <w:r w:rsidRPr="008573C5">
        <w:t xml:space="preserve">consequences to non-compliance with the disclosure requirements of the accounting standards. </w:t>
      </w:r>
    </w:p>
    <w:p w:rsidR="00685BA9" w:rsidRPr="008573C5" w:rsidRDefault="00685BA9" w:rsidP="000A4921">
      <w:pPr>
        <w:spacing w:before="100" w:beforeAutospacing="1" w:after="100" w:afterAutospacing="1" w:line="360" w:lineRule="auto"/>
        <w:jc w:val="both"/>
      </w:pPr>
      <w:r w:rsidRPr="008573C5">
        <w:rPr>
          <w:rFonts w:ascii="Times" w:hAnsi="Times" w:cs="Times"/>
        </w:rPr>
        <w:t>H</w:t>
      </w:r>
      <w:r w:rsidRPr="008573C5">
        <w:rPr>
          <w:rFonts w:ascii="Times" w:hAnsi="Times" w:cs="Times"/>
          <w:vertAlign w:val="subscript"/>
        </w:rPr>
        <w:t>1</w:t>
      </w:r>
      <w:r w:rsidRPr="008573C5">
        <w:rPr>
          <w:rFonts w:ascii="Times" w:hAnsi="Times" w:cs="Times"/>
        </w:rPr>
        <w:t xml:space="preserve">: There are </w:t>
      </w:r>
      <w:r w:rsidRPr="008573C5">
        <w:t>consequences to non-compliance with the disclosure requirements of the accounting standards.</w:t>
      </w:r>
    </w:p>
    <w:p w:rsidR="006752F9" w:rsidRPr="008573C5" w:rsidRDefault="006752F9" w:rsidP="00F37472">
      <w:pPr>
        <w:autoSpaceDE w:val="0"/>
        <w:autoSpaceDN w:val="0"/>
        <w:adjustRightInd w:val="0"/>
        <w:jc w:val="center"/>
        <w:rPr>
          <w:sz w:val="28"/>
          <w:szCs w:val="28"/>
        </w:rPr>
      </w:pPr>
      <w:r w:rsidRPr="008573C5">
        <w:rPr>
          <w:b/>
          <w:bCs/>
          <w:sz w:val="28"/>
          <w:szCs w:val="28"/>
        </w:rPr>
        <w:t xml:space="preserve">Table </w:t>
      </w:r>
      <w:r w:rsidR="00F37472" w:rsidRPr="008573C5">
        <w:rPr>
          <w:b/>
          <w:bCs/>
          <w:sz w:val="28"/>
          <w:szCs w:val="28"/>
        </w:rPr>
        <w:t>4.</w:t>
      </w:r>
      <w:r w:rsidR="00FA68C7" w:rsidRPr="008573C5">
        <w:rPr>
          <w:b/>
          <w:bCs/>
          <w:sz w:val="28"/>
          <w:szCs w:val="28"/>
        </w:rPr>
        <w:t>36</w:t>
      </w:r>
      <w:r w:rsidRPr="008573C5">
        <w:rPr>
          <w:b/>
          <w:bCs/>
          <w:sz w:val="28"/>
          <w:szCs w:val="28"/>
        </w:rPr>
        <w:t xml:space="preserve"> :Descriptive Statistics o</w:t>
      </w:r>
      <w:r w:rsidR="00685BA9" w:rsidRPr="008573C5">
        <w:rPr>
          <w:b/>
          <w:bCs/>
          <w:sz w:val="28"/>
          <w:szCs w:val="28"/>
        </w:rPr>
        <w:t xml:space="preserve">n Consequences </w:t>
      </w:r>
      <w:r w:rsidR="00CD5A0B" w:rsidRPr="008573C5">
        <w:rPr>
          <w:b/>
          <w:bCs/>
          <w:sz w:val="28"/>
          <w:szCs w:val="28"/>
        </w:rPr>
        <w:t>o</w:t>
      </w:r>
      <w:r w:rsidRPr="008573C5">
        <w:rPr>
          <w:b/>
          <w:bCs/>
          <w:sz w:val="28"/>
          <w:szCs w:val="28"/>
        </w:rPr>
        <w:t xml:space="preserve">f </w:t>
      </w:r>
      <w:r w:rsidR="00CD5A0B" w:rsidRPr="008573C5">
        <w:rPr>
          <w:b/>
          <w:bCs/>
          <w:sz w:val="28"/>
          <w:szCs w:val="28"/>
        </w:rPr>
        <w:t>Non compliance with Accounting Standards (Hypothesis 5</w:t>
      </w:r>
      <w:r w:rsidRPr="008573C5">
        <w:rPr>
          <w:b/>
          <w:bCs/>
          <w:sz w:val="28"/>
          <w:szCs w:val="28"/>
        </w:rPr>
        <w:t>)</w:t>
      </w:r>
    </w:p>
    <w:tbl>
      <w:tblPr>
        <w:tblW w:w="821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1"/>
        <w:gridCol w:w="2400"/>
        <w:gridCol w:w="1000"/>
        <w:gridCol w:w="1411"/>
        <w:gridCol w:w="1000"/>
      </w:tblGrid>
      <w:tr w:rsidR="006752F9" w:rsidRPr="008573C5" w:rsidTr="00457A18">
        <w:trPr>
          <w:cantSplit/>
          <w:tblHeader/>
        </w:trPr>
        <w:tc>
          <w:tcPr>
            <w:tcW w:w="8212" w:type="dxa"/>
            <w:gridSpan w:val="5"/>
            <w:tcBorders>
              <w:top w:val="nil"/>
              <w:left w:val="nil"/>
              <w:bottom w:val="nil"/>
              <w:right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center"/>
              <w:rPr>
                <w:rFonts w:ascii="Arial" w:hAnsi="Arial" w:cs="Arial"/>
                <w:sz w:val="18"/>
                <w:szCs w:val="18"/>
              </w:rPr>
            </w:pPr>
          </w:p>
        </w:tc>
      </w:tr>
      <w:tr w:rsidR="006752F9" w:rsidRPr="008573C5" w:rsidTr="00457A18">
        <w:trPr>
          <w:cantSplit/>
          <w:tblHeader/>
        </w:trPr>
        <w:tc>
          <w:tcPr>
            <w:tcW w:w="240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Occupation</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752F9" w:rsidRPr="008573C5" w:rsidRDefault="006752F9" w:rsidP="006752F9">
            <w:pPr>
              <w:autoSpaceDE w:val="0"/>
              <w:autoSpaceDN w:val="0"/>
              <w:adjustRightInd w:val="0"/>
              <w:spacing w:line="320" w:lineRule="atLeast"/>
              <w:jc w:val="center"/>
              <w:rPr>
                <w:rFonts w:ascii="Arial" w:hAnsi="Arial" w:cs="Arial"/>
                <w:sz w:val="18"/>
                <w:szCs w:val="18"/>
              </w:rPr>
            </w:pPr>
            <w:r w:rsidRPr="008573C5">
              <w:rPr>
                <w:rFonts w:ascii="Arial" w:hAnsi="Arial" w:cs="Arial"/>
                <w:sz w:val="18"/>
                <w:szCs w:val="18"/>
              </w:rPr>
              <w:t>Mean</w:t>
            </w:r>
          </w:p>
        </w:tc>
        <w:tc>
          <w:tcPr>
            <w:tcW w:w="14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752F9" w:rsidRPr="008573C5" w:rsidRDefault="006752F9" w:rsidP="006752F9">
            <w:pPr>
              <w:autoSpaceDE w:val="0"/>
              <w:autoSpaceDN w:val="0"/>
              <w:adjustRightInd w:val="0"/>
              <w:spacing w:line="320" w:lineRule="atLeast"/>
              <w:jc w:val="center"/>
              <w:rPr>
                <w:rFonts w:ascii="Arial" w:hAnsi="Arial" w:cs="Arial"/>
                <w:sz w:val="18"/>
                <w:szCs w:val="18"/>
              </w:rPr>
            </w:pPr>
            <w:r w:rsidRPr="008573C5">
              <w:rPr>
                <w:rFonts w:ascii="Arial" w:hAnsi="Arial" w:cs="Arial"/>
                <w:sz w:val="18"/>
                <w:szCs w:val="18"/>
              </w:rPr>
              <w:t>Std. Deviation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752F9" w:rsidRPr="008573C5" w:rsidRDefault="006752F9" w:rsidP="006752F9">
            <w:pPr>
              <w:autoSpaceDE w:val="0"/>
              <w:autoSpaceDN w:val="0"/>
              <w:adjustRightInd w:val="0"/>
              <w:spacing w:line="320" w:lineRule="atLeast"/>
              <w:jc w:val="center"/>
              <w:rPr>
                <w:rFonts w:ascii="Arial" w:hAnsi="Arial" w:cs="Arial"/>
                <w:sz w:val="18"/>
                <w:szCs w:val="18"/>
              </w:rPr>
            </w:pPr>
            <w:r w:rsidRPr="008573C5">
              <w:rPr>
                <w:rFonts w:ascii="Arial" w:hAnsi="Arial" w:cs="Arial"/>
                <w:sz w:val="18"/>
                <w:szCs w:val="18"/>
              </w:rPr>
              <w:t>N</w:t>
            </w:r>
          </w:p>
        </w:tc>
      </w:tr>
      <w:tr w:rsidR="006752F9" w:rsidRPr="008573C5" w:rsidTr="00457A18">
        <w:trPr>
          <w:cantSplit/>
          <w:tblHeader/>
        </w:trPr>
        <w:tc>
          <w:tcPr>
            <w:tcW w:w="240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Failure of some Nigerian listed companies is due to partial or non-disclosure of relevant accounting information.</w:t>
            </w:r>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Preparers</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3.03</w:t>
            </w:r>
          </w:p>
        </w:tc>
        <w:tc>
          <w:tcPr>
            <w:tcW w:w="1411" w:type="dxa"/>
            <w:tcBorders>
              <w:top w:val="single" w:sz="16" w:space="0" w:color="000000"/>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.837</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105</w:t>
            </w:r>
          </w:p>
        </w:tc>
      </w:tr>
      <w:tr w:rsidR="006752F9" w:rsidRPr="008573C5" w:rsidTr="00457A18">
        <w:trPr>
          <w:cantSplit/>
          <w:tblHeader/>
        </w:trPr>
        <w:tc>
          <w:tcPr>
            <w:tcW w:w="240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rPr>
                <w:rFonts w:ascii="Arial" w:hAnsi="Arial" w:cs="Arial"/>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Auditors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2.88</w:t>
            </w:r>
          </w:p>
        </w:tc>
        <w:tc>
          <w:tcPr>
            <w:tcW w:w="1411" w:type="dxa"/>
            <w:tcBorders>
              <w:top w:val="nil"/>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.832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107</w:t>
            </w:r>
          </w:p>
        </w:tc>
      </w:tr>
      <w:tr w:rsidR="006752F9" w:rsidRPr="008573C5" w:rsidTr="00457A18">
        <w:trPr>
          <w:cantSplit/>
          <w:tblHeader/>
        </w:trPr>
        <w:tc>
          <w:tcPr>
            <w:tcW w:w="240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rPr>
                <w:rFonts w:ascii="Arial" w:hAnsi="Arial" w:cs="Arial"/>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Accounting information users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2.91</w:t>
            </w:r>
          </w:p>
        </w:tc>
        <w:tc>
          <w:tcPr>
            <w:tcW w:w="1411" w:type="dxa"/>
            <w:tcBorders>
              <w:top w:val="nil"/>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.901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222</w:t>
            </w:r>
          </w:p>
        </w:tc>
      </w:tr>
      <w:tr w:rsidR="006752F9" w:rsidRPr="008573C5" w:rsidTr="00457A18">
        <w:trPr>
          <w:cantSplit/>
          <w:tblHeader/>
        </w:trPr>
        <w:tc>
          <w:tcPr>
            <w:tcW w:w="240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rPr>
                <w:rFonts w:ascii="Arial" w:hAnsi="Arial" w:cs="Arial"/>
                <w:sz w:val="18"/>
                <w:szCs w:val="18"/>
              </w:rPr>
            </w:pPr>
          </w:p>
        </w:tc>
        <w:tc>
          <w:tcPr>
            <w:tcW w:w="2400" w:type="dxa"/>
            <w:tcBorders>
              <w:top w:val="nil"/>
              <w:left w:val="nil"/>
              <w:right w:val="single" w:sz="16" w:space="0" w:color="000000"/>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2.93</w:t>
            </w:r>
          </w:p>
        </w:tc>
        <w:tc>
          <w:tcPr>
            <w:tcW w:w="1411" w:type="dxa"/>
            <w:tcBorders>
              <w:top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.869</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434</w:t>
            </w:r>
          </w:p>
        </w:tc>
      </w:tr>
      <w:tr w:rsidR="006752F9" w:rsidRPr="008573C5" w:rsidTr="00457A18">
        <w:trPr>
          <w:cantSplit/>
          <w:tblHeader/>
        </w:trPr>
        <w:tc>
          <w:tcPr>
            <w:tcW w:w="2401" w:type="dxa"/>
            <w:vMerge w:val="restart"/>
            <w:tcBorders>
              <w:left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Partial or non-disclosure of relevant accounting information impedes investors’ decisions.</w:t>
            </w:r>
          </w:p>
        </w:tc>
        <w:tc>
          <w:tcPr>
            <w:tcW w:w="2400" w:type="dxa"/>
            <w:tcBorders>
              <w:left w:val="nil"/>
              <w:bottom w:val="nil"/>
              <w:right w:val="single" w:sz="16" w:space="0" w:color="000000"/>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Preparers</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3.26</w:t>
            </w:r>
          </w:p>
        </w:tc>
        <w:tc>
          <w:tcPr>
            <w:tcW w:w="1411" w:type="dxa"/>
            <w:tcBorders>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.785</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105</w:t>
            </w:r>
          </w:p>
        </w:tc>
      </w:tr>
      <w:tr w:rsidR="006752F9" w:rsidRPr="008573C5" w:rsidTr="00457A18">
        <w:trPr>
          <w:cantSplit/>
          <w:tblHeader/>
        </w:trPr>
        <w:tc>
          <w:tcPr>
            <w:tcW w:w="2401" w:type="dxa"/>
            <w:vMerge/>
            <w:tcBorders>
              <w:left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rPr>
                <w:rFonts w:ascii="Arial" w:hAnsi="Arial" w:cs="Arial"/>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Auditors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3.30</w:t>
            </w:r>
          </w:p>
        </w:tc>
        <w:tc>
          <w:tcPr>
            <w:tcW w:w="1411" w:type="dxa"/>
            <w:tcBorders>
              <w:top w:val="nil"/>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.690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107</w:t>
            </w:r>
          </w:p>
        </w:tc>
      </w:tr>
      <w:tr w:rsidR="006752F9" w:rsidRPr="008573C5" w:rsidTr="00457A18">
        <w:trPr>
          <w:cantSplit/>
          <w:tblHeader/>
        </w:trPr>
        <w:tc>
          <w:tcPr>
            <w:tcW w:w="2401" w:type="dxa"/>
            <w:vMerge/>
            <w:tcBorders>
              <w:left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rPr>
                <w:rFonts w:ascii="Arial" w:hAnsi="Arial" w:cs="Arial"/>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Accounting information users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3.18</w:t>
            </w:r>
          </w:p>
        </w:tc>
        <w:tc>
          <w:tcPr>
            <w:tcW w:w="1411" w:type="dxa"/>
            <w:tcBorders>
              <w:top w:val="nil"/>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.837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222</w:t>
            </w:r>
          </w:p>
        </w:tc>
      </w:tr>
      <w:tr w:rsidR="006752F9" w:rsidRPr="008573C5" w:rsidTr="00457A18">
        <w:trPr>
          <w:cantSplit/>
          <w:tblHeader/>
        </w:trPr>
        <w:tc>
          <w:tcPr>
            <w:tcW w:w="2401" w:type="dxa"/>
            <w:vMerge/>
            <w:tcBorders>
              <w:left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rPr>
                <w:rFonts w:ascii="Arial" w:hAnsi="Arial" w:cs="Arial"/>
                <w:sz w:val="18"/>
                <w:szCs w:val="18"/>
              </w:rPr>
            </w:pPr>
          </w:p>
        </w:tc>
        <w:tc>
          <w:tcPr>
            <w:tcW w:w="2400" w:type="dxa"/>
            <w:tcBorders>
              <w:top w:val="nil"/>
              <w:left w:val="nil"/>
              <w:right w:val="single" w:sz="16" w:space="0" w:color="000000"/>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3.23</w:t>
            </w:r>
          </w:p>
        </w:tc>
        <w:tc>
          <w:tcPr>
            <w:tcW w:w="1411" w:type="dxa"/>
            <w:tcBorders>
              <w:top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.790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434</w:t>
            </w:r>
          </w:p>
        </w:tc>
      </w:tr>
      <w:tr w:rsidR="006752F9" w:rsidRPr="008573C5" w:rsidTr="00457A18">
        <w:trPr>
          <w:cantSplit/>
          <w:tblHeader/>
        </w:trPr>
        <w:tc>
          <w:tcPr>
            <w:tcW w:w="2401" w:type="dxa"/>
            <w:vMerge w:val="restart"/>
            <w:tcBorders>
              <w:left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Ensuring full disclosure of relevant accounting standards circumvents fraud.</w:t>
            </w:r>
          </w:p>
        </w:tc>
        <w:tc>
          <w:tcPr>
            <w:tcW w:w="2400" w:type="dxa"/>
            <w:tcBorders>
              <w:left w:val="nil"/>
              <w:bottom w:val="nil"/>
              <w:right w:val="single" w:sz="16" w:space="0" w:color="000000"/>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Preparers</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2.90</w:t>
            </w:r>
          </w:p>
        </w:tc>
        <w:tc>
          <w:tcPr>
            <w:tcW w:w="1411" w:type="dxa"/>
            <w:tcBorders>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.929</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105</w:t>
            </w:r>
          </w:p>
        </w:tc>
      </w:tr>
      <w:tr w:rsidR="006752F9" w:rsidRPr="008573C5" w:rsidTr="00457A18">
        <w:trPr>
          <w:cantSplit/>
          <w:tblHeader/>
        </w:trPr>
        <w:tc>
          <w:tcPr>
            <w:tcW w:w="2401" w:type="dxa"/>
            <w:vMerge/>
            <w:tcBorders>
              <w:left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rPr>
                <w:rFonts w:ascii="Arial" w:hAnsi="Arial" w:cs="Arial"/>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Auditors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3.01</w:t>
            </w:r>
          </w:p>
        </w:tc>
        <w:tc>
          <w:tcPr>
            <w:tcW w:w="1411" w:type="dxa"/>
            <w:tcBorders>
              <w:top w:val="nil"/>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.818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107</w:t>
            </w:r>
          </w:p>
        </w:tc>
      </w:tr>
      <w:tr w:rsidR="006752F9" w:rsidRPr="008573C5" w:rsidTr="00457A18">
        <w:trPr>
          <w:cantSplit/>
          <w:tblHeader/>
        </w:trPr>
        <w:tc>
          <w:tcPr>
            <w:tcW w:w="2401" w:type="dxa"/>
            <w:vMerge/>
            <w:tcBorders>
              <w:left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rPr>
                <w:rFonts w:ascii="Arial" w:hAnsi="Arial" w:cs="Arial"/>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C762F8"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Accoun</w:t>
            </w:r>
          </w:p>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ting information users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2.82</w:t>
            </w:r>
          </w:p>
        </w:tc>
        <w:tc>
          <w:tcPr>
            <w:tcW w:w="1411" w:type="dxa"/>
            <w:tcBorders>
              <w:top w:val="nil"/>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.956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222</w:t>
            </w:r>
          </w:p>
        </w:tc>
      </w:tr>
      <w:tr w:rsidR="006752F9" w:rsidRPr="008573C5" w:rsidTr="00457A18">
        <w:trPr>
          <w:cantSplit/>
          <w:tblHeader/>
        </w:trPr>
        <w:tc>
          <w:tcPr>
            <w:tcW w:w="2401" w:type="dxa"/>
            <w:vMerge/>
            <w:tcBorders>
              <w:left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rPr>
                <w:rFonts w:ascii="Arial" w:hAnsi="Arial" w:cs="Arial"/>
                <w:sz w:val="18"/>
                <w:szCs w:val="18"/>
              </w:rPr>
            </w:pPr>
          </w:p>
        </w:tc>
        <w:tc>
          <w:tcPr>
            <w:tcW w:w="2400" w:type="dxa"/>
            <w:tcBorders>
              <w:top w:val="nil"/>
              <w:left w:val="nil"/>
              <w:right w:val="single" w:sz="16" w:space="0" w:color="000000"/>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2.89</w:t>
            </w:r>
          </w:p>
        </w:tc>
        <w:tc>
          <w:tcPr>
            <w:tcW w:w="1411" w:type="dxa"/>
            <w:tcBorders>
              <w:top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.919</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434</w:t>
            </w:r>
          </w:p>
        </w:tc>
      </w:tr>
      <w:tr w:rsidR="006752F9" w:rsidRPr="008573C5" w:rsidTr="00457A18">
        <w:trPr>
          <w:cantSplit/>
          <w:tblHeader/>
        </w:trPr>
        <w:tc>
          <w:tcPr>
            <w:tcW w:w="2401" w:type="dxa"/>
            <w:vMerge w:val="restart"/>
            <w:tcBorders>
              <w:left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Partial or non-disclosure of relevant accounting information limits prudent allocation of resources.</w:t>
            </w:r>
          </w:p>
        </w:tc>
        <w:tc>
          <w:tcPr>
            <w:tcW w:w="2400" w:type="dxa"/>
            <w:tcBorders>
              <w:left w:val="nil"/>
              <w:bottom w:val="nil"/>
              <w:right w:val="single" w:sz="16" w:space="0" w:color="000000"/>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Preparers</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2.73</w:t>
            </w:r>
          </w:p>
        </w:tc>
        <w:tc>
          <w:tcPr>
            <w:tcW w:w="1411" w:type="dxa"/>
            <w:tcBorders>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.902</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105</w:t>
            </w:r>
          </w:p>
        </w:tc>
      </w:tr>
      <w:tr w:rsidR="006752F9" w:rsidRPr="008573C5" w:rsidTr="00457A18">
        <w:trPr>
          <w:cantSplit/>
          <w:tblHeader/>
        </w:trPr>
        <w:tc>
          <w:tcPr>
            <w:tcW w:w="2401" w:type="dxa"/>
            <w:vMerge/>
            <w:tcBorders>
              <w:left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rPr>
                <w:rFonts w:ascii="Arial" w:hAnsi="Arial" w:cs="Arial"/>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Auditors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2.95</w:t>
            </w:r>
          </w:p>
        </w:tc>
        <w:tc>
          <w:tcPr>
            <w:tcW w:w="1411" w:type="dxa"/>
            <w:tcBorders>
              <w:top w:val="nil"/>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.745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107</w:t>
            </w:r>
          </w:p>
        </w:tc>
      </w:tr>
      <w:tr w:rsidR="006752F9" w:rsidRPr="008573C5" w:rsidTr="00457A18">
        <w:trPr>
          <w:cantSplit/>
          <w:tblHeader/>
        </w:trPr>
        <w:tc>
          <w:tcPr>
            <w:tcW w:w="2401" w:type="dxa"/>
            <w:vMerge/>
            <w:tcBorders>
              <w:left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rPr>
                <w:rFonts w:ascii="Arial" w:hAnsi="Arial" w:cs="Arial"/>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Accounting information users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2.84</w:t>
            </w:r>
          </w:p>
        </w:tc>
        <w:tc>
          <w:tcPr>
            <w:tcW w:w="1411" w:type="dxa"/>
            <w:tcBorders>
              <w:top w:val="nil"/>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.908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222</w:t>
            </w:r>
          </w:p>
        </w:tc>
      </w:tr>
      <w:tr w:rsidR="006752F9" w:rsidRPr="008573C5" w:rsidTr="00457A18">
        <w:trPr>
          <w:cantSplit/>
          <w:tblHeader/>
        </w:trPr>
        <w:tc>
          <w:tcPr>
            <w:tcW w:w="2401" w:type="dxa"/>
            <w:vMerge/>
            <w:tcBorders>
              <w:left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rPr>
                <w:rFonts w:ascii="Arial" w:hAnsi="Arial" w:cs="Arial"/>
                <w:sz w:val="18"/>
                <w:szCs w:val="18"/>
              </w:rPr>
            </w:pPr>
          </w:p>
        </w:tc>
        <w:tc>
          <w:tcPr>
            <w:tcW w:w="2400" w:type="dxa"/>
            <w:tcBorders>
              <w:top w:val="nil"/>
              <w:left w:val="nil"/>
              <w:right w:val="single" w:sz="16" w:space="0" w:color="000000"/>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2.84</w:t>
            </w:r>
          </w:p>
        </w:tc>
        <w:tc>
          <w:tcPr>
            <w:tcW w:w="1411" w:type="dxa"/>
            <w:tcBorders>
              <w:top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.870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434</w:t>
            </w:r>
          </w:p>
        </w:tc>
      </w:tr>
      <w:tr w:rsidR="006752F9" w:rsidRPr="008573C5" w:rsidTr="00457A18">
        <w:trPr>
          <w:cantSplit/>
          <w:tblHeader/>
        </w:trPr>
        <w:tc>
          <w:tcPr>
            <w:tcW w:w="240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Partial or non-disclosure of relevant accounting information erodes investors' confidence.</w:t>
            </w:r>
          </w:p>
        </w:tc>
        <w:tc>
          <w:tcPr>
            <w:tcW w:w="2400" w:type="dxa"/>
            <w:tcBorders>
              <w:left w:val="nil"/>
              <w:bottom w:val="nil"/>
              <w:right w:val="single" w:sz="16" w:space="0" w:color="000000"/>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Preparers</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3.26</w:t>
            </w:r>
          </w:p>
        </w:tc>
        <w:tc>
          <w:tcPr>
            <w:tcW w:w="1411" w:type="dxa"/>
            <w:tcBorders>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.821</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105</w:t>
            </w:r>
          </w:p>
        </w:tc>
      </w:tr>
      <w:tr w:rsidR="006752F9" w:rsidRPr="008573C5" w:rsidTr="00457A18">
        <w:trPr>
          <w:cantSplit/>
          <w:tblHeader/>
        </w:trPr>
        <w:tc>
          <w:tcPr>
            <w:tcW w:w="240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rPr>
                <w:rFonts w:ascii="Arial" w:hAnsi="Arial" w:cs="Arial"/>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Auditors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3.35</w:t>
            </w:r>
          </w:p>
        </w:tc>
        <w:tc>
          <w:tcPr>
            <w:tcW w:w="1411" w:type="dxa"/>
            <w:tcBorders>
              <w:top w:val="nil"/>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.802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107</w:t>
            </w:r>
          </w:p>
        </w:tc>
      </w:tr>
      <w:tr w:rsidR="006752F9" w:rsidRPr="008573C5" w:rsidTr="00457A18">
        <w:trPr>
          <w:cantSplit/>
          <w:tblHeader/>
        </w:trPr>
        <w:tc>
          <w:tcPr>
            <w:tcW w:w="240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rPr>
                <w:rFonts w:ascii="Arial" w:hAnsi="Arial" w:cs="Arial"/>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Accounting information users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3.21</w:t>
            </w:r>
          </w:p>
        </w:tc>
        <w:tc>
          <w:tcPr>
            <w:tcW w:w="1411" w:type="dxa"/>
            <w:tcBorders>
              <w:top w:val="nil"/>
              <w:bottom w:val="nil"/>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.880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222</w:t>
            </w:r>
          </w:p>
        </w:tc>
      </w:tr>
      <w:tr w:rsidR="006752F9" w:rsidRPr="008573C5" w:rsidTr="00457A18">
        <w:trPr>
          <w:cantSplit/>
        </w:trPr>
        <w:tc>
          <w:tcPr>
            <w:tcW w:w="240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rPr>
                <w:rFonts w:ascii="Arial" w:hAnsi="Arial" w:cs="Arial"/>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752F9" w:rsidRPr="008573C5" w:rsidRDefault="006752F9" w:rsidP="006752F9">
            <w:pPr>
              <w:autoSpaceDE w:val="0"/>
              <w:autoSpaceDN w:val="0"/>
              <w:adjustRightInd w:val="0"/>
              <w:spacing w:line="320" w:lineRule="atLeast"/>
              <w:rPr>
                <w:rFonts w:ascii="Arial" w:hAnsi="Arial" w:cs="Arial"/>
                <w:sz w:val="18"/>
                <w:szCs w:val="18"/>
              </w:rPr>
            </w:pPr>
            <w:r w:rsidRPr="008573C5">
              <w:rPr>
                <w:rFonts w:ascii="Arial" w:hAnsi="Arial" w:cs="Arial"/>
                <w:sz w:val="18"/>
                <w:szCs w:val="18"/>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3.26</w:t>
            </w:r>
          </w:p>
        </w:tc>
        <w:tc>
          <w:tcPr>
            <w:tcW w:w="1411" w:type="dxa"/>
            <w:tcBorders>
              <w:top w:val="nil"/>
              <w:bottom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.847</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752F9" w:rsidRPr="008573C5" w:rsidRDefault="006752F9" w:rsidP="006752F9">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434</w:t>
            </w:r>
          </w:p>
        </w:tc>
      </w:tr>
    </w:tbl>
    <w:p w:rsidR="00457A18" w:rsidRPr="008573C5" w:rsidRDefault="00457A18" w:rsidP="00457A18">
      <w:pPr>
        <w:autoSpaceDE w:val="0"/>
        <w:autoSpaceDN w:val="0"/>
        <w:adjustRightInd w:val="0"/>
        <w:jc w:val="center"/>
        <w:rPr>
          <w:rFonts w:eastAsia="Calibri"/>
          <w:b/>
          <w:bCs/>
        </w:rPr>
      </w:pPr>
      <w:r w:rsidRPr="008573C5">
        <w:rPr>
          <w:rFonts w:eastAsia="Calibri"/>
          <w:b/>
          <w:bCs/>
        </w:rPr>
        <w:t>Source: Field Study (2009)</w:t>
      </w:r>
    </w:p>
    <w:p w:rsidR="006752F9" w:rsidRPr="008573C5" w:rsidRDefault="006752F9" w:rsidP="006752F9">
      <w:pPr>
        <w:autoSpaceDE w:val="0"/>
        <w:autoSpaceDN w:val="0"/>
        <w:adjustRightInd w:val="0"/>
        <w:spacing w:line="400" w:lineRule="atLeast"/>
        <w:rPr>
          <w:b/>
        </w:rPr>
      </w:pPr>
    </w:p>
    <w:p w:rsidR="006752F9" w:rsidRPr="008573C5" w:rsidRDefault="006752F9" w:rsidP="006752F9">
      <w:pPr>
        <w:spacing w:line="360" w:lineRule="auto"/>
        <w:jc w:val="both"/>
        <w:rPr>
          <w:lang w:val="en-GB"/>
        </w:rPr>
      </w:pPr>
      <w:r w:rsidRPr="008573C5">
        <w:rPr>
          <w:lang w:val="en-GB"/>
        </w:rPr>
        <w:t>A one-way between-groups multivariate analysis of variance (MANOVA) i</w:t>
      </w:r>
      <w:r w:rsidR="00C762F8" w:rsidRPr="008573C5">
        <w:rPr>
          <w:lang w:val="en-GB"/>
        </w:rPr>
        <w:t>s performed to test Hypothesis 5</w:t>
      </w:r>
      <w:r w:rsidRPr="008573C5">
        <w:rPr>
          <w:lang w:val="en-GB"/>
        </w:rPr>
        <w:t xml:space="preserve">. The descriptive statistics of the respondents classified as preparers, auditors and users is as shown in Table </w:t>
      </w:r>
      <w:r w:rsidR="00FA7ACA" w:rsidRPr="008573C5">
        <w:rPr>
          <w:lang w:val="en-GB"/>
        </w:rPr>
        <w:t>4.</w:t>
      </w:r>
      <w:r w:rsidR="00C762F8" w:rsidRPr="008573C5">
        <w:rPr>
          <w:lang w:val="en-GB"/>
        </w:rPr>
        <w:t>3</w:t>
      </w:r>
      <w:r w:rsidR="00FA68C7" w:rsidRPr="008573C5">
        <w:rPr>
          <w:lang w:val="en-GB"/>
        </w:rPr>
        <w:t>6</w:t>
      </w:r>
      <w:r w:rsidRPr="008573C5">
        <w:rPr>
          <w:lang w:val="en-GB"/>
        </w:rPr>
        <w:t xml:space="preserve"> above. The sample size of valid respondents is 434, preparers (accountants) are 103, auditors are 107 and accounting information users (stock brokers, financial analyst, bankers, educators, regulators) are 222. The large number of cases makes it ideal to use MANOVA in testing the hypothesis.  Items </w:t>
      </w:r>
      <w:r w:rsidR="0031350B" w:rsidRPr="008573C5">
        <w:rPr>
          <w:lang w:val="en-GB"/>
        </w:rPr>
        <w:t>31 to 35</w:t>
      </w:r>
      <w:r w:rsidRPr="008573C5">
        <w:rPr>
          <w:lang w:val="en-GB"/>
        </w:rPr>
        <w:t xml:space="preserve"> of the questionnaire were utilized as dependent variables, while occupation stands as the independent variable. The mean and standard deviation of each item is as </w:t>
      </w:r>
      <w:r w:rsidR="00C762F8" w:rsidRPr="008573C5">
        <w:rPr>
          <w:lang w:val="en-GB"/>
        </w:rPr>
        <w:t>indicated i</w:t>
      </w:r>
      <w:r w:rsidRPr="008573C5">
        <w:rPr>
          <w:lang w:val="en-GB"/>
        </w:rPr>
        <w:t xml:space="preserve">n Table </w:t>
      </w:r>
      <w:r w:rsidR="00FA68C7" w:rsidRPr="008573C5">
        <w:rPr>
          <w:lang w:val="en-GB"/>
        </w:rPr>
        <w:t>4.36</w:t>
      </w:r>
      <w:r w:rsidRPr="008573C5">
        <w:rPr>
          <w:lang w:val="en-GB"/>
        </w:rPr>
        <w:t xml:space="preserve"> above.</w:t>
      </w:r>
    </w:p>
    <w:p w:rsidR="006752F9" w:rsidRPr="008573C5" w:rsidRDefault="006752F9" w:rsidP="006752F9">
      <w:pPr>
        <w:spacing w:line="360" w:lineRule="auto"/>
        <w:jc w:val="both"/>
        <w:rPr>
          <w:lang w:val="en-GB"/>
        </w:rPr>
      </w:pPr>
    </w:p>
    <w:p w:rsidR="006752F9" w:rsidRPr="008573C5" w:rsidRDefault="006752F9" w:rsidP="006752F9">
      <w:pPr>
        <w:spacing w:line="360" w:lineRule="auto"/>
        <w:jc w:val="both"/>
        <w:rPr>
          <w:b/>
          <w:lang w:val="en-GB"/>
        </w:rPr>
      </w:pPr>
      <w:r w:rsidRPr="008573C5">
        <w:rPr>
          <w:b/>
          <w:lang w:val="en-GB"/>
        </w:rPr>
        <w:t>Box Test of Equality of Covariance Matrices</w:t>
      </w:r>
    </w:p>
    <w:tbl>
      <w:tblPr>
        <w:tblW w:w="410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40"/>
        <w:gridCol w:w="2163"/>
      </w:tblGrid>
      <w:tr w:rsidR="0031350B" w:rsidRPr="008573C5" w:rsidTr="0031350B">
        <w:trPr>
          <w:cantSplit/>
          <w:trHeight w:val="993"/>
          <w:tblHeader/>
        </w:trPr>
        <w:tc>
          <w:tcPr>
            <w:tcW w:w="4103"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31350B" w:rsidRPr="008573C5" w:rsidRDefault="0031350B" w:rsidP="00C762F8">
            <w:pPr>
              <w:autoSpaceDE w:val="0"/>
              <w:autoSpaceDN w:val="0"/>
              <w:adjustRightInd w:val="0"/>
              <w:spacing w:line="320" w:lineRule="atLeast"/>
              <w:jc w:val="center"/>
              <w:rPr>
                <w:rFonts w:ascii="Arial" w:hAnsi="Arial" w:cs="Arial"/>
                <w:sz w:val="18"/>
                <w:szCs w:val="18"/>
              </w:rPr>
            </w:pPr>
            <w:r w:rsidRPr="008573C5">
              <w:rPr>
                <w:rFonts w:ascii="Arial" w:hAnsi="Arial" w:cs="Arial"/>
                <w:b/>
                <w:bCs/>
                <w:sz w:val="18"/>
                <w:szCs w:val="18"/>
              </w:rPr>
              <w:t xml:space="preserve">Table </w:t>
            </w:r>
            <w:r w:rsidR="001B00D2" w:rsidRPr="008573C5">
              <w:rPr>
                <w:rFonts w:ascii="Arial" w:hAnsi="Arial" w:cs="Arial"/>
                <w:b/>
                <w:bCs/>
                <w:sz w:val="18"/>
                <w:szCs w:val="18"/>
              </w:rPr>
              <w:t>4.</w:t>
            </w:r>
            <w:r w:rsidR="00FA68C7" w:rsidRPr="008573C5">
              <w:rPr>
                <w:rFonts w:ascii="Arial" w:hAnsi="Arial" w:cs="Arial"/>
                <w:b/>
                <w:bCs/>
                <w:sz w:val="18"/>
                <w:szCs w:val="18"/>
              </w:rPr>
              <w:t>37</w:t>
            </w:r>
            <w:r w:rsidRPr="008573C5">
              <w:rPr>
                <w:rFonts w:ascii="Arial" w:hAnsi="Arial" w:cs="Arial"/>
                <w:b/>
                <w:bCs/>
                <w:sz w:val="18"/>
                <w:szCs w:val="18"/>
              </w:rPr>
              <w:t xml:space="preserve">: Box's Test of Equality of Covariance Matrices (Hypothesis </w:t>
            </w:r>
            <w:r w:rsidR="00C762F8" w:rsidRPr="008573C5">
              <w:rPr>
                <w:rFonts w:ascii="Arial" w:hAnsi="Arial" w:cs="Arial"/>
                <w:b/>
                <w:bCs/>
                <w:sz w:val="18"/>
                <w:szCs w:val="18"/>
              </w:rPr>
              <w:t>5</w:t>
            </w:r>
            <w:r w:rsidRPr="008573C5">
              <w:rPr>
                <w:rFonts w:ascii="Arial" w:hAnsi="Arial" w:cs="Arial"/>
                <w:b/>
                <w:bCs/>
                <w:sz w:val="18"/>
                <w:szCs w:val="18"/>
              </w:rPr>
              <w:t>)</w:t>
            </w:r>
          </w:p>
        </w:tc>
      </w:tr>
      <w:tr w:rsidR="0031350B" w:rsidRPr="008573C5" w:rsidTr="0031350B">
        <w:trPr>
          <w:cantSplit/>
          <w:trHeight w:val="349"/>
          <w:tblHeader/>
        </w:trPr>
        <w:tc>
          <w:tcPr>
            <w:tcW w:w="19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1350B" w:rsidRPr="008573C5" w:rsidRDefault="0031350B" w:rsidP="0031350B">
            <w:pPr>
              <w:autoSpaceDE w:val="0"/>
              <w:autoSpaceDN w:val="0"/>
              <w:adjustRightInd w:val="0"/>
              <w:spacing w:line="320" w:lineRule="atLeast"/>
              <w:rPr>
                <w:rFonts w:ascii="Arial" w:hAnsi="Arial" w:cs="Arial"/>
                <w:sz w:val="18"/>
                <w:szCs w:val="18"/>
              </w:rPr>
            </w:pPr>
            <w:r w:rsidRPr="008573C5">
              <w:rPr>
                <w:rFonts w:ascii="Arial" w:hAnsi="Arial" w:cs="Arial"/>
                <w:sz w:val="18"/>
                <w:szCs w:val="18"/>
              </w:rPr>
              <w:t>Box's M</w:t>
            </w:r>
          </w:p>
        </w:tc>
        <w:tc>
          <w:tcPr>
            <w:tcW w:w="216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1350B" w:rsidRPr="008573C5" w:rsidRDefault="0031350B" w:rsidP="0031350B">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55.345</w:t>
            </w:r>
          </w:p>
        </w:tc>
      </w:tr>
      <w:tr w:rsidR="0031350B" w:rsidRPr="008573C5" w:rsidTr="0031350B">
        <w:trPr>
          <w:cantSplit/>
          <w:trHeight w:val="349"/>
          <w:tblHeader/>
        </w:trPr>
        <w:tc>
          <w:tcPr>
            <w:tcW w:w="19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1350B" w:rsidRPr="008573C5" w:rsidRDefault="0031350B" w:rsidP="0031350B">
            <w:pPr>
              <w:autoSpaceDE w:val="0"/>
              <w:autoSpaceDN w:val="0"/>
              <w:adjustRightInd w:val="0"/>
              <w:spacing w:line="320" w:lineRule="atLeast"/>
              <w:rPr>
                <w:rFonts w:ascii="Arial" w:hAnsi="Arial" w:cs="Arial"/>
                <w:sz w:val="18"/>
                <w:szCs w:val="18"/>
              </w:rPr>
            </w:pPr>
            <w:r w:rsidRPr="008573C5">
              <w:rPr>
                <w:rFonts w:ascii="Arial" w:hAnsi="Arial" w:cs="Arial"/>
                <w:sz w:val="18"/>
                <w:szCs w:val="18"/>
              </w:rPr>
              <w:t>F</w:t>
            </w:r>
          </w:p>
        </w:tc>
        <w:tc>
          <w:tcPr>
            <w:tcW w:w="21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1350B" w:rsidRPr="008573C5" w:rsidRDefault="0031350B" w:rsidP="0031350B">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1.810</w:t>
            </w:r>
          </w:p>
        </w:tc>
      </w:tr>
      <w:tr w:rsidR="0031350B" w:rsidRPr="008573C5" w:rsidTr="0031350B">
        <w:trPr>
          <w:cantSplit/>
          <w:trHeight w:val="331"/>
          <w:tblHeader/>
        </w:trPr>
        <w:tc>
          <w:tcPr>
            <w:tcW w:w="19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1350B" w:rsidRPr="008573C5" w:rsidRDefault="0031350B" w:rsidP="0031350B">
            <w:pPr>
              <w:autoSpaceDE w:val="0"/>
              <w:autoSpaceDN w:val="0"/>
              <w:adjustRightInd w:val="0"/>
              <w:spacing w:line="320" w:lineRule="atLeast"/>
              <w:rPr>
                <w:rFonts w:ascii="Arial" w:hAnsi="Arial" w:cs="Arial"/>
                <w:sz w:val="18"/>
                <w:szCs w:val="18"/>
              </w:rPr>
            </w:pPr>
            <w:r w:rsidRPr="008573C5">
              <w:rPr>
                <w:rFonts w:ascii="Arial" w:hAnsi="Arial" w:cs="Arial"/>
                <w:sz w:val="18"/>
                <w:szCs w:val="18"/>
              </w:rPr>
              <w:t>df1</w:t>
            </w:r>
          </w:p>
        </w:tc>
        <w:tc>
          <w:tcPr>
            <w:tcW w:w="21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1350B" w:rsidRPr="008573C5" w:rsidRDefault="0031350B" w:rsidP="0031350B">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30</w:t>
            </w:r>
          </w:p>
        </w:tc>
      </w:tr>
      <w:tr w:rsidR="0031350B" w:rsidRPr="008573C5" w:rsidTr="0031350B">
        <w:trPr>
          <w:cantSplit/>
          <w:trHeight w:val="331"/>
          <w:tblHeader/>
        </w:trPr>
        <w:tc>
          <w:tcPr>
            <w:tcW w:w="19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1350B" w:rsidRPr="008573C5" w:rsidRDefault="0031350B" w:rsidP="0031350B">
            <w:pPr>
              <w:autoSpaceDE w:val="0"/>
              <w:autoSpaceDN w:val="0"/>
              <w:adjustRightInd w:val="0"/>
              <w:spacing w:line="320" w:lineRule="atLeast"/>
              <w:rPr>
                <w:rFonts w:ascii="Arial" w:hAnsi="Arial" w:cs="Arial"/>
                <w:sz w:val="18"/>
                <w:szCs w:val="18"/>
              </w:rPr>
            </w:pPr>
            <w:r w:rsidRPr="008573C5">
              <w:rPr>
                <w:rFonts w:ascii="Arial" w:hAnsi="Arial" w:cs="Arial"/>
                <w:sz w:val="18"/>
                <w:szCs w:val="18"/>
              </w:rPr>
              <w:t>df2</w:t>
            </w:r>
          </w:p>
        </w:tc>
        <w:tc>
          <w:tcPr>
            <w:tcW w:w="21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1350B" w:rsidRPr="008573C5" w:rsidRDefault="0031350B" w:rsidP="0031350B">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3.147E5</w:t>
            </w:r>
          </w:p>
        </w:tc>
      </w:tr>
      <w:tr w:rsidR="0031350B" w:rsidRPr="008573C5" w:rsidTr="0031350B">
        <w:trPr>
          <w:cantSplit/>
          <w:trHeight w:val="349"/>
          <w:tblHeader/>
        </w:trPr>
        <w:tc>
          <w:tcPr>
            <w:tcW w:w="19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1350B" w:rsidRPr="008573C5" w:rsidRDefault="0031350B" w:rsidP="0031350B">
            <w:pPr>
              <w:autoSpaceDE w:val="0"/>
              <w:autoSpaceDN w:val="0"/>
              <w:adjustRightInd w:val="0"/>
              <w:spacing w:line="320" w:lineRule="atLeast"/>
              <w:rPr>
                <w:rFonts w:ascii="Arial" w:hAnsi="Arial" w:cs="Arial"/>
                <w:sz w:val="18"/>
                <w:szCs w:val="18"/>
              </w:rPr>
            </w:pPr>
            <w:r w:rsidRPr="008573C5">
              <w:rPr>
                <w:rFonts w:ascii="Arial" w:hAnsi="Arial" w:cs="Arial"/>
                <w:sz w:val="18"/>
                <w:szCs w:val="18"/>
              </w:rPr>
              <w:t>Sig.</w:t>
            </w:r>
          </w:p>
        </w:tc>
        <w:tc>
          <w:tcPr>
            <w:tcW w:w="21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1350B" w:rsidRPr="008573C5" w:rsidRDefault="0031350B" w:rsidP="0031350B">
            <w:pPr>
              <w:autoSpaceDE w:val="0"/>
              <w:autoSpaceDN w:val="0"/>
              <w:adjustRightInd w:val="0"/>
              <w:spacing w:line="320" w:lineRule="atLeast"/>
              <w:jc w:val="right"/>
              <w:rPr>
                <w:rFonts w:ascii="Arial" w:hAnsi="Arial" w:cs="Arial"/>
                <w:sz w:val="18"/>
                <w:szCs w:val="18"/>
              </w:rPr>
            </w:pPr>
            <w:r w:rsidRPr="008573C5">
              <w:rPr>
                <w:rFonts w:ascii="Arial" w:hAnsi="Arial" w:cs="Arial"/>
                <w:sz w:val="18"/>
                <w:szCs w:val="18"/>
              </w:rPr>
              <w:t>.004</w:t>
            </w:r>
          </w:p>
        </w:tc>
      </w:tr>
    </w:tbl>
    <w:p w:rsidR="00457A18" w:rsidRPr="008573C5" w:rsidRDefault="00457A18" w:rsidP="00457A18">
      <w:pPr>
        <w:autoSpaceDE w:val="0"/>
        <w:autoSpaceDN w:val="0"/>
        <w:adjustRightInd w:val="0"/>
        <w:rPr>
          <w:rFonts w:eastAsia="Calibri"/>
          <w:b/>
          <w:bCs/>
        </w:rPr>
      </w:pPr>
      <w:r w:rsidRPr="008573C5">
        <w:rPr>
          <w:rFonts w:eastAsia="Calibri"/>
          <w:b/>
          <w:bCs/>
        </w:rPr>
        <w:t>Source: Field Study (2009)</w:t>
      </w:r>
    </w:p>
    <w:p w:rsidR="006752F9" w:rsidRPr="008573C5" w:rsidRDefault="006752F9" w:rsidP="006752F9">
      <w:pPr>
        <w:spacing w:line="360" w:lineRule="auto"/>
      </w:pPr>
    </w:p>
    <w:p w:rsidR="006752F9" w:rsidRPr="008573C5" w:rsidRDefault="006752F9" w:rsidP="006752F9">
      <w:pPr>
        <w:spacing w:line="360" w:lineRule="auto"/>
        <w:jc w:val="both"/>
      </w:pPr>
      <w:r w:rsidRPr="008573C5">
        <w:t xml:space="preserve">The Box’s test of equality of covariance matrices as indicated in Table </w:t>
      </w:r>
      <w:r w:rsidR="00BC239C" w:rsidRPr="008573C5">
        <w:t>4.</w:t>
      </w:r>
      <w:r w:rsidR="00C762F8" w:rsidRPr="008573C5">
        <w:t>3</w:t>
      </w:r>
      <w:r w:rsidR="00FA68C7" w:rsidRPr="008573C5">
        <w:t>7</w:t>
      </w:r>
      <w:r w:rsidRPr="008573C5">
        <w:t xml:space="preserve"> above gives us a significant value of .00</w:t>
      </w:r>
      <w:r w:rsidR="0031350B" w:rsidRPr="008573C5">
        <w:t>4</w:t>
      </w:r>
      <w:r w:rsidRPr="008573C5">
        <w:t>. Thus, with a significant value of 0.00</w:t>
      </w:r>
      <w:r w:rsidR="0031350B" w:rsidRPr="008573C5">
        <w:t>4</w:t>
      </w:r>
      <w:r w:rsidR="00D0377F">
        <w:t xml:space="preserve"> which is larger than 0.001, it cannot be said that </w:t>
      </w:r>
      <w:r w:rsidRPr="008573C5">
        <w:t>the assumption of homogeneity of variance</w:t>
      </w:r>
      <w:r w:rsidR="00D0377F">
        <w:t xml:space="preserve"> is violated</w:t>
      </w:r>
      <w:r w:rsidRPr="008573C5">
        <w:t xml:space="preserve"> (Pallant, 2004:228)</w:t>
      </w:r>
      <w:r w:rsidR="00157E66" w:rsidRPr="008573C5">
        <w:t>.</w:t>
      </w:r>
    </w:p>
    <w:p w:rsidR="006752F9" w:rsidRPr="008573C5" w:rsidRDefault="006752F9" w:rsidP="006752F9">
      <w:pPr>
        <w:spacing w:line="360" w:lineRule="auto"/>
        <w:jc w:val="both"/>
      </w:pPr>
    </w:p>
    <w:p w:rsidR="006752F9" w:rsidRPr="008573C5" w:rsidRDefault="006752F9" w:rsidP="006752F9">
      <w:pPr>
        <w:spacing w:line="360" w:lineRule="auto"/>
        <w:jc w:val="both"/>
        <w:rPr>
          <w:b/>
        </w:rPr>
      </w:pPr>
      <w:r w:rsidRPr="008573C5">
        <w:rPr>
          <w:b/>
        </w:rPr>
        <w:t>Levene’s Test of Equality of Error Variances</w:t>
      </w:r>
      <w:r w:rsidR="000B6924" w:rsidRPr="008573C5">
        <w:rPr>
          <w:b/>
        </w:rPr>
        <w:t xml:space="preserve"> for Hypothesis </w:t>
      </w:r>
      <w:r w:rsidR="00C762F8" w:rsidRPr="008573C5">
        <w:rPr>
          <w:b/>
        </w:rPr>
        <w:t>5</w:t>
      </w:r>
    </w:p>
    <w:p w:rsidR="006752F9" w:rsidRPr="008573C5" w:rsidRDefault="006752F9" w:rsidP="006752F9">
      <w:pPr>
        <w:spacing w:line="360" w:lineRule="auto"/>
        <w:jc w:val="both"/>
      </w:pPr>
      <w:r w:rsidRPr="008573C5">
        <w:t xml:space="preserve">Levene’s test of equality of </w:t>
      </w:r>
      <w:r w:rsidR="00C762F8" w:rsidRPr="008573C5">
        <w:t>error variances for Hypothesis 5</w:t>
      </w:r>
      <w:r w:rsidRPr="008573C5">
        <w:t xml:space="preserve"> as indicated in Table </w:t>
      </w:r>
      <w:r w:rsidR="00BC239C" w:rsidRPr="008573C5">
        <w:t>4.</w:t>
      </w:r>
      <w:r w:rsidR="00FA68C7" w:rsidRPr="008573C5">
        <w:t>38</w:t>
      </w:r>
      <w:r w:rsidRPr="008573C5">
        <w:t xml:space="preserve"> below reveals a significance (p) of .</w:t>
      </w:r>
      <w:r w:rsidR="00AC3E89" w:rsidRPr="008573C5">
        <w:t>345</w:t>
      </w:r>
      <w:r w:rsidRPr="008573C5">
        <w:t>, .</w:t>
      </w:r>
      <w:r w:rsidR="00AC3E89" w:rsidRPr="008573C5">
        <w:t>512</w:t>
      </w:r>
      <w:r w:rsidRPr="008573C5">
        <w:t>, .0</w:t>
      </w:r>
      <w:r w:rsidR="00AC3E89" w:rsidRPr="008573C5">
        <w:t>13, 0.007</w:t>
      </w:r>
      <w:r w:rsidRPr="008573C5">
        <w:t xml:space="preserve"> and .</w:t>
      </w:r>
      <w:r w:rsidR="00AC3E89" w:rsidRPr="008573C5">
        <w:t>827,</w:t>
      </w:r>
      <w:r w:rsidRPr="008573C5">
        <w:t xml:space="preserve"> for item </w:t>
      </w:r>
      <w:r w:rsidR="00AC3E89" w:rsidRPr="008573C5">
        <w:t>31</w:t>
      </w:r>
      <w:r w:rsidRPr="008573C5">
        <w:t xml:space="preserve">, item </w:t>
      </w:r>
      <w:r w:rsidR="00AC3E89" w:rsidRPr="008573C5">
        <w:t>32</w:t>
      </w:r>
      <w:r w:rsidRPr="008573C5">
        <w:t xml:space="preserve">, item </w:t>
      </w:r>
      <w:r w:rsidR="00AC3E89" w:rsidRPr="008573C5">
        <w:t>33, item 34</w:t>
      </w:r>
      <w:r w:rsidRPr="008573C5">
        <w:t xml:space="preserve"> and item </w:t>
      </w:r>
      <w:r w:rsidR="00AC3E89" w:rsidRPr="008573C5">
        <w:t>35</w:t>
      </w:r>
      <w:r w:rsidRPr="008573C5">
        <w:t xml:space="preserve"> respectively. A significant value less than .05 indicates a violation to the assumption of equality of varian</w:t>
      </w:r>
      <w:r w:rsidR="00AC3E89" w:rsidRPr="008573C5">
        <w:t xml:space="preserve">ce. Table </w:t>
      </w:r>
      <w:r w:rsidR="00D0377F">
        <w:t>4.38</w:t>
      </w:r>
      <w:r w:rsidR="00AC3E89" w:rsidRPr="008573C5">
        <w:t xml:space="preserve"> indicates that </w:t>
      </w:r>
      <w:r w:rsidRPr="008573C5">
        <w:t>item</w:t>
      </w:r>
      <w:r w:rsidR="00AC3E89" w:rsidRPr="008573C5">
        <w:t>s 33 and 34</w:t>
      </w:r>
      <w:r w:rsidR="00D0377F">
        <w:t xml:space="preserve"> violate</w:t>
      </w:r>
      <w:r w:rsidRPr="008573C5">
        <w:t xml:space="preserve"> this assumption. As a remedy, a conservative alpha level of 0.01 will be used in determining the significance for that variable in the univariate F-test (Pallant, 2004:229).</w:t>
      </w:r>
    </w:p>
    <w:tbl>
      <w:tblPr>
        <w:tblW w:w="639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1"/>
        <w:gridCol w:w="1000"/>
        <w:gridCol w:w="998"/>
        <w:gridCol w:w="1000"/>
        <w:gridCol w:w="1000"/>
      </w:tblGrid>
      <w:tr w:rsidR="0031350B" w:rsidRPr="008573C5" w:rsidTr="00CF0047">
        <w:trPr>
          <w:cantSplit/>
          <w:tblHeader/>
        </w:trPr>
        <w:tc>
          <w:tcPr>
            <w:tcW w:w="6399" w:type="dxa"/>
            <w:gridSpan w:val="5"/>
            <w:tcBorders>
              <w:top w:val="nil"/>
              <w:left w:val="nil"/>
              <w:bottom w:val="nil"/>
              <w:right w:val="nil"/>
            </w:tcBorders>
            <w:shd w:val="clear" w:color="auto" w:fill="FFFFFF"/>
            <w:tcMar>
              <w:top w:w="30" w:type="dxa"/>
              <w:left w:w="30" w:type="dxa"/>
              <w:bottom w:w="30" w:type="dxa"/>
              <w:right w:w="30" w:type="dxa"/>
            </w:tcMar>
            <w:vAlign w:val="center"/>
          </w:tcPr>
          <w:p w:rsidR="000E49C7" w:rsidRPr="008573C5" w:rsidRDefault="000E49C7" w:rsidP="000E49C7">
            <w:pPr>
              <w:autoSpaceDE w:val="0"/>
              <w:autoSpaceDN w:val="0"/>
              <w:adjustRightInd w:val="0"/>
              <w:jc w:val="center"/>
              <w:rPr>
                <w:b/>
                <w:bCs/>
                <w:sz w:val="28"/>
                <w:szCs w:val="28"/>
              </w:rPr>
            </w:pPr>
          </w:p>
          <w:p w:rsidR="0031350B" w:rsidRPr="008573C5" w:rsidRDefault="0031350B" w:rsidP="000E49C7">
            <w:pPr>
              <w:autoSpaceDE w:val="0"/>
              <w:autoSpaceDN w:val="0"/>
              <w:adjustRightInd w:val="0"/>
              <w:jc w:val="center"/>
              <w:rPr>
                <w:sz w:val="28"/>
                <w:szCs w:val="28"/>
              </w:rPr>
            </w:pPr>
            <w:r w:rsidRPr="008573C5">
              <w:rPr>
                <w:b/>
                <w:bCs/>
                <w:sz w:val="28"/>
                <w:szCs w:val="28"/>
              </w:rPr>
              <w:t xml:space="preserve">Table </w:t>
            </w:r>
            <w:r w:rsidR="001B00D2" w:rsidRPr="008573C5">
              <w:rPr>
                <w:b/>
                <w:bCs/>
                <w:sz w:val="28"/>
                <w:szCs w:val="28"/>
              </w:rPr>
              <w:t>4.</w:t>
            </w:r>
            <w:r w:rsidR="00FA68C7" w:rsidRPr="008573C5">
              <w:rPr>
                <w:b/>
                <w:bCs/>
                <w:sz w:val="28"/>
                <w:szCs w:val="28"/>
              </w:rPr>
              <w:t>38</w:t>
            </w:r>
            <w:r w:rsidRPr="008573C5">
              <w:rPr>
                <w:b/>
                <w:bCs/>
                <w:sz w:val="28"/>
                <w:szCs w:val="28"/>
              </w:rPr>
              <w:t xml:space="preserve">: Levene's Test of Equality </w:t>
            </w:r>
            <w:r w:rsidR="00FA68C7" w:rsidRPr="008573C5">
              <w:rPr>
                <w:b/>
                <w:bCs/>
                <w:sz w:val="28"/>
                <w:szCs w:val="28"/>
              </w:rPr>
              <w:t>of Error Variances (Hypothesis 5</w:t>
            </w:r>
            <w:r w:rsidRPr="008573C5">
              <w:rPr>
                <w:b/>
                <w:bCs/>
                <w:sz w:val="28"/>
                <w:szCs w:val="28"/>
              </w:rPr>
              <w:t>)</w:t>
            </w:r>
          </w:p>
        </w:tc>
      </w:tr>
      <w:tr w:rsidR="0031350B" w:rsidRPr="008573C5" w:rsidTr="00CF0047">
        <w:trPr>
          <w:cantSplit/>
          <w:tblHeader/>
        </w:trPr>
        <w:tc>
          <w:tcPr>
            <w:tcW w:w="240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1350B" w:rsidRPr="008573C5" w:rsidRDefault="0031350B" w:rsidP="000E49C7">
            <w:pPr>
              <w:autoSpaceDE w:val="0"/>
              <w:autoSpaceDN w:val="0"/>
              <w:adjustRightInd w:val="0"/>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1350B" w:rsidRPr="008573C5" w:rsidRDefault="0031350B" w:rsidP="000E49C7">
            <w:pPr>
              <w:autoSpaceDE w:val="0"/>
              <w:autoSpaceDN w:val="0"/>
              <w:adjustRightInd w:val="0"/>
              <w:jc w:val="center"/>
              <w:rPr>
                <w:rFonts w:ascii="Arial" w:hAnsi="Arial" w:cs="Arial"/>
                <w:sz w:val="18"/>
                <w:szCs w:val="18"/>
              </w:rPr>
            </w:pPr>
            <w:r w:rsidRPr="008573C5">
              <w:rPr>
                <w:rFonts w:ascii="Arial" w:hAnsi="Arial" w:cs="Arial"/>
                <w:sz w:val="18"/>
                <w:szCs w:val="18"/>
              </w:rPr>
              <w:t>F</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1350B" w:rsidRPr="008573C5" w:rsidRDefault="0031350B" w:rsidP="000E49C7">
            <w:pPr>
              <w:autoSpaceDE w:val="0"/>
              <w:autoSpaceDN w:val="0"/>
              <w:adjustRightInd w:val="0"/>
              <w:jc w:val="center"/>
              <w:rPr>
                <w:rFonts w:ascii="Arial" w:hAnsi="Arial" w:cs="Arial"/>
                <w:sz w:val="18"/>
                <w:szCs w:val="18"/>
              </w:rPr>
            </w:pPr>
            <w:r w:rsidRPr="008573C5">
              <w:rPr>
                <w:rFonts w:ascii="Arial" w:hAnsi="Arial" w:cs="Arial"/>
                <w:sz w:val="18"/>
                <w:szCs w:val="18"/>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1350B" w:rsidRPr="008573C5" w:rsidRDefault="0031350B" w:rsidP="000E49C7">
            <w:pPr>
              <w:autoSpaceDE w:val="0"/>
              <w:autoSpaceDN w:val="0"/>
              <w:adjustRightInd w:val="0"/>
              <w:jc w:val="center"/>
              <w:rPr>
                <w:rFonts w:ascii="Arial" w:hAnsi="Arial" w:cs="Arial"/>
                <w:sz w:val="18"/>
                <w:szCs w:val="18"/>
              </w:rPr>
            </w:pPr>
            <w:r w:rsidRPr="008573C5">
              <w:rPr>
                <w:rFonts w:ascii="Arial" w:hAnsi="Arial" w:cs="Arial"/>
                <w:sz w:val="18"/>
                <w:szCs w:val="18"/>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1350B" w:rsidRPr="008573C5" w:rsidRDefault="0031350B" w:rsidP="000E49C7">
            <w:pPr>
              <w:autoSpaceDE w:val="0"/>
              <w:autoSpaceDN w:val="0"/>
              <w:adjustRightInd w:val="0"/>
              <w:jc w:val="center"/>
              <w:rPr>
                <w:rFonts w:ascii="Arial" w:hAnsi="Arial" w:cs="Arial"/>
                <w:sz w:val="18"/>
                <w:szCs w:val="18"/>
              </w:rPr>
            </w:pPr>
            <w:r w:rsidRPr="008573C5">
              <w:rPr>
                <w:rFonts w:ascii="Arial" w:hAnsi="Arial" w:cs="Arial"/>
                <w:sz w:val="18"/>
                <w:szCs w:val="18"/>
              </w:rPr>
              <w:t>Sig.</w:t>
            </w:r>
          </w:p>
        </w:tc>
      </w:tr>
      <w:tr w:rsidR="0031350B" w:rsidRPr="008573C5" w:rsidTr="00CF0047">
        <w:trPr>
          <w:cantSplit/>
          <w:tblHeader/>
        </w:trPr>
        <w:tc>
          <w:tcPr>
            <w:tcW w:w="240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1350B" w:rsidRPr="008573C5" w:rsidRDefault="0031350B" w:rsidP="000E49C7">
            <w:pPr>
              <w:autoSpaceDE w:val="0"/>
              <w:autoSpaceDN w:val="0"/>
              <w:adjustRightInd w:val="0"/>
              <w:rPr>
                <w:rFonts w:ascii="Arial" w:hAnsi="Arial" w:cs="Arial"/>
                <w:sz w:val="18"/>
                <w:szCs w:val="18"/>
              </w:rPr>
            </w:pPr>
            <w:r w:rsidRPr="008573C5">
              <w:rPr>
                <w:rFonts w:ascii="Arial" w:hAnsi="Arial" w:cs="Arial"/>
                <w:sz w:val="18"/>
                <w:szCs w:val="18"/>
              </w:rPr>
              <w:t>Failure of some Nigerian listed companies is due to partial or non-disclosure of relevant accounting information.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1350B" w:rsidRPr="008573C5" w:rsidRDefault="0031350B" w:rsidP="000E49C7">
            <w:pPr>
              <w:autoSpaceDE w:val="0"/>
              <w:autoSpaceDN w:val="0"/>
              <w:adjustRightInd w:val="0"/>
              <w:jc w:val="right"/>
              <w:rPr>
                <w:rFonts w:ascii="Arial" w:hAnsi="Arial" w:cs="Arial"/>
                <w:sz w:val="18"/>
                <w:szCs w:val="18"/>
              </w:rPr>
            </w:pPr>
            <w:r w:rsidRPr="008573C5">
              <w:rPr>
                <w:rFonts w:ascii="Arial" w:hAnsi="Arial" w:cs="Arial"/>
                <w:sz w:val="18"/>
                <w:szCs w:val="18"/>
              </w:rPr>
              <w:t>1.068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31350B" w:rsidRPr="008573C5" w:rsidRDefault="0031350B" w:rsidP="000E49C7">
            <w:pPr>
              <w:autoSpaceDE w:val="0"/>
              <w:autoSpaceDN w:val="0"/>
              <w:adjustRightInd w:val="0"/>
              <w:jc w:val="right"/>
              <w:rPr>
                <w:rFonts w:ascii="Arial" w:hAnsi="Arial" w:cs="Arial"/>
                <w:sz w:val="18"/>
                <w:szCs w:val="18"/>
              </w:rPr>
            </w:pPr>
            <w:r w:rsidRPr="008573C5">
              <w:rPr>
                <w:rFonts w:ascii="Arial" w:hAnsi="Arial" w:cs="Arial"/>
                <w:sz w:val="18"/>
                <w:szCs w:val="18"/>
              </w:rPr>
              <w:t>2</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31350B" w:rsidRPr="008573C5" w:rsidRDefault="0031350B" w:rsidP="000E49C7">
            <w:pPr>
              <w:autoSpaceDE w:val="0"/>
              <w:autoSpaceDN w:val="0"/>
              <w:adjustRightInd w:val="0"/>
              <w:jc w:val="right"/>
              <w:rPr>
                <w:rFonts w:ascii="Arial" w:hAnsi="Arial" w:cs="Arial"/>
                <w:sz w:val="18"/>
                <w:szCs w:val="18"/>
              </w:rPr>
            </w:pPr>
            <w:r w:rsidRPr="008573C5">
              <w:rPr>
                <w:rFonts w:ascii="Arial" w:hAnsi="Arial" w:cs="Arial"/>
                <w:sz w:val="18"/>
                <w:szCs w:val="18"/>
              </w:rPr>
              <w:t>431</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1350B" w:rsidRPr="008573C5" w:rsidRDefault="0031350B" w:rsidP="000E49C7">
            <w:pPr>
              <w:autoSpaceDE w:val="0"/>
              <w:autoSpaceDN w:val="0"/>
              <w:adjustRightInd w:val="0"/>
              <w:jc w:val="right"/>
              <w:rPr>
                <w:rFonts w:ascii="Arial" w:hAnsi="Arial" w:cs="Arial"/>
                <w:sz w:val="18"/>
                <w:szCs w:val="18"/>
              </w:rPr>
            </w:pPr>
            <w:r w:rsidRPr="008573C5">
              <w:rPr>
                <w:rFonts w:ascii="Arial" w:hAnsi="Arial" w:cs="Arial"/>
                <w:sz w:val="18"/>
                <w:szCs w:val="18"/>
              </w:rPr>
              <w:t>.345</w:t>
            </w:r>
          </w:p>
        </w:tc>
      </w:tr>
      <w:tr w:rsidR="0031350B" w:rsidRPr="008573C5" w:rsidTr="00CF0047">
        <w:trPr>
          <w:cantSplit/>
          <w:tblHeader/>
        </w:trPr>
        <w:tc>
          <w:tcPr>
            <w:tcW w:w="24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1350B" w:rsidRPr="008573C5" w:rsidRDefault="0031350B" w:rsidP="000E49C7">
            <w:pPr>
              <w:autoSpaceDE w:val="0"/>
              <w:autoSpaceDN w:val="0"/>
              <w:adjustRightInd w:val="0"/>
              <w:rPr>
                <w:rFonts w:ascii="Arial" w:hAnsi="Arial" w:cs="Arial"/>
                <w:sz w:val="18"/>
                <w:szCs w:val="18"/>
              </w:rPr>
            </w:pPr>
            <w:r w:rsidRPr="008573C5">
              <w:rPr>
                <w:rFonts w:ascii="Arial" w:hAnsi="Arial" w:cs="Arial"/>
                <w:sz w:val="18"/>
                <w:szCs w:val="18"/>
              </w:rPr>
              <w:t>Partial or non-disclosure of relevant accounting information impedes investors’ decisions.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1350B" w:rsidRPr="008573C5" w:rsidRDefault="0031350B" w:rsidP="000E49C7">
            <w:pPr>
              <w:autoSpaceDE w:val="0"/>
              <w:autoSpaceDN w:val="0"/>
              <w:adjustRightInd w:val="0"/>
              <w:jc w:val="right"/>
              <w:rPr>
                <w:rFonts w:ascii="Arial" w:hAnsi="Arial" w:cs="Arial"/>
                <w:sz w:val="18"/>
                <w:szCs w:val="18"/>
              </w:rPr>
            </w:pPr>
            <w:r w:rsidRPr="008573C5">
              <w:rPr>
                <w:rFonts w:ascii="Arial" w:hAnsi="Arial" w:cs="Arial"/>
                <w:sz w:val="18"/>
                <w:szCs w:val="18"/>
              </w:rPr>
              <w:t>.671</w:t>
            </w:r>
          </w:p>
        </w:tc>
        <w:tc>
          <w:tcPr>
            <w:tcW w:w="998" w:type="dxa"/>
            <w:tcBorders>
              <w:top w:val="nil"/>
              <w:bottom w:val="nil"/>
            </w:tcBorders>
            <w:shd w:val="clear" w:color="auto" w:fill="FFFFFF"/>
            <w:tcMar>
              <w:top w:w="30" w:type="dxa"/>
              <w:left w:w="30" w:type="dxa"/>
              <w:bottom w:w="30" w:type="dxa"/>
              <w:right w:w="30" w:type="dxa"/>
            </w:tcMar>
            <w:vAlign w:val="center"/>
          </w:tcPr>
          <w:p w:rsidR="0031350B" w:rsidRPr="008573C5" w:rsidRDefault="0031350B" w:rsidP="000E49C7">
            <w:pPr>
              <w:autoSpaceDE w:val="0"/>
              <w:autoSpaceDN w:val="0"/>
              <w:adjustRightInd w:val="0"/>
              <w:jc w:val="right"/>
              <w:rPr>
                <w:rFonts w:ascii="Arial" w:hAnsi="Arial" w:cs="Arial"/>
                <w:sz w:val="18"/>
                <w:szCs w:val="18"/>
              </w:rPr>
            </w:pPr>
            <w:r w:rsidRPr="008573C5">
              <w:rPr>
                <w:rFonts w:ascii="Arial" w:hAnsi="Arial" w:cs="Arial"/>
                <w:sz w:val="18"/>
                <w:szCs w:val="18"/>
              </w:rPr>
              <w:t>2</w:t>
            </w:r>
          </w:p>
        </w:tc>
        <w:tc>
          <w:tcPr>
            <w:tcW w:w="1000" w:type="dxa"/>
            <w:tcBorders>
              <w:top w:val="nil"/>
              <w:bottom w:val="nil"/>
            </w:tcBorders>
            <w:shd w:val="clear" w:color="auto" w:fill="FFFFFF"/>
            <w:tcMar>
              <w:top w:w="30" w:type="dxa"/>
              <w:left w:w="30" w:type="dxa"/>
              <w:bottom w:w="30" w:type="dxa"/>
              <w:right w:w="30" w:type="dxa"/>
            </w:tcMar>
            <w:vAlign w:val="center"/>
          </w:tcPr>
          <w:p w:rsidR="0031350B" w:rsidRPr="008573C5" w:rsidRDefault="0031350B" w:rsidP="000E49C7">
            <w:pPr>
              <w:autoSpaceDE w:val="0"/>
              <w:autoSpaceDN w:val="0"/>
              <w:adjustRightInd w:val="0"/>
              <w:jc w:val="right"/>
              <w:rPr>
                <w:rFonts w:ascii="Arial" w:hAnsi="Arial" w:cs="Arial"/>
                <w:sz w:val="18"/>
                <w:szCs w:val="18"/>
              </w:rPr>
            </w:pPr>
            <w:r w:rsidRPr="008573C5">
              <w:rPr>
                <w:rFonts w:ascii="Arial" w:hAnsi="Arial" w:cs="Arial"/>
                <w:sz w:val="18"/>
                <w:szCs w:val="18"/>
              </w:rPr>
              <w:t>431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1350B" w:rsidRPr="008573C5" w:rsidRDefault="0031350B" w:rsidP="000E49C7">
            <w:pPr>
              <w:autoSpaceDE w:val="0"/>
              <w:autoSpaceDN w:val="0"/>
              <w:adjustRightInd w:val="0"/>
              <w:jc w:val="right"/>
              <w:rPr>
                <w:rFonts w:ascii="Arial" w:hAnsi="Arial" w:cs="Arial"/>
                <w:sz w:val="18"/>
                <w:szCs w:val="18"/>
              </w:rPr>
            </w:pPr>
            <w:r w:rsidRPr="008573C5">
              <w:rPr>
                <w:rFonts w:ascii="Arial" w:hAnsi="Arial" w:cs="Arial"/>
                <w:sz w:val="18"/>
                <w:szCs w:val="18"/>
              </w:rPr>
              <w:t>.512</w:t>
            </w:r>
          </w:p>
        </w:tc>
      </w:tr>
      <w:tr w:rsidR="0031350B" w:rsidRPr="008573C5" w:rsidTr="00CF0047">
        <w:trPr>
          <w:cantSplit/>
          <w:tblHeader/>
        </w:trPr>
        <w:tc>
          <w:tcPr>
            <w:tcW w:w="24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1350B" w:rsidRPr="008573C5" w:rsidRDefault="0031350B" w:rsidP="000E49C7">
            <w:pPr>
              <w:autoSpaceDE w:val="0"/>
              <w:autoSpaceDN w:val="0"/>
              <w:adjustRightInd w:val="0"/>
              <w:rPr>
                <w:rFonts w:ascii="Arial" w:hAnsi="Arial" w:cs="Arial"/>
                <w:sz w:val="18"/>
                <w:szCs w:val="18"/>
              </w:rPr>
            </w:pPr>
            <w:r w:rsidRPr="008573C5">
              <w:rPr>
                <w:rFonts w:ascii="Arial" w:hAnsi="Arial" w:cs="Arial"/>
                <w:sz w:val="18"/>
                <w:szCs w:val="18"/>
              </w:rPr>
              <w:t>Ensuring full disclosure of relevant accounting standards circumvents fraud.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1350B" w:rsidRPr="008573C5" w:rsidRDefault="0031350B" w:rsidP="000E49C7">
            <w:pPr>
              <w:autoSpaceDE w:val="0"/>
              <w:autoSpaceDN w:val="0"/>
              <w:adjustRightInd w:val="0"/>
              <w:jc w:val="right"/>
              <w:rPr>
                <w:rFonts w:ascii="Arial" w:hAnsi="Arial" w:cs="Arial"/>
                <w:sz w:val="18"/>
                <w:szCs w:val="18"/>
              </w:rPr>
            </w:pPr>
            <w:r w:rsidRPr="008573C5">
              <w:rPr>
                <w:rFonts w:ascii="Arial" w:hAnsi="Arial" w:cs="Arial"/>
                <w:sz w:val="18"/>
                <w:szCs w:val="18"/>
              </w:rPr>
              <w:t>4.406</w:t>
            </w:r>
          </w:p>
        </w:tc>
        <w:tc>
          <w:tcPr>
            <w:tcW w:w="998" w:type="dxa"/>
            <w:tcBorders>
              <w:top w:val="nil"/>
              <w:bottom w:val="nil"/>
            </w:tcBorders>
            <w:shd w:val="clear" w:color="auto" w:fill="FFFFFF"/>
            <w:tcMar>
              <w:top w:w="30" w:type="dxa"/>
              <w:left w:w="30" w:type="dxa"/>
              <w:bottom w:w="30" w:type="dxa"/>
              <w:right w:w="30" w:type="dxa"/>
            </w:tcMar>
            <w:vAlign w:val="center"/>
          </w:tcPr>
          <w:p w:rsidR="0031350B" w:rsidRPr="008573C5" w:rsidRDefault="0031350B" w:rsidP="000E49C7">
            <w:pPr>
              <w:autoSpaceDE w:val="0"/>
              <w:autoSpaceDN w:val="0"/>
              <w:adjustRightInd w:val="0"/>
              <w:jc w:val="right"/>
              <w:rPr>
                <w:rFonts w:ascii="Arial" w:hAnsi="Arial" w:cs="Arial"/>
                <w:sz w:val="18"/>
                <w:szCs w:val="18"/>
              </w:rPr>
            </w:pPr>
            <w:r w:rsidRPr="008573C5">
              <w:rPr>
                <w:rFonts w:ascii="Arial" w:hAnsi="Arial" w:cs="Arial"/>
                <w:sz w:val="18"/>
                <w:szCs w:val="18"/>
              </w:rPr>
              <w:t>2</w:t>
            </w:r>
          </w:p>
        </w:tc>
        <w:tc>
          <w:tcPr>
            <w:tcW w:w="1000" w:type="dxa"/>
            <w:tcBorders>
              <w:top w:val="nil"/>
              <w:bottom w:val="nil"/>
            </w:tcBorders>
            <w:shd w:val="clear" w:color="auto" w:fill="FFFFFF"/>
            <w:tcMar>
              <w:top w:w="30" w:type="dxa"/>
              <w:left w:w="30" w:type="dxa"/>
              <w:bottom w:w="30" w:type="dxa"/>
              <w:right w:w="30" w:type="dxa"/>
            </w:tcMar>
            <w:vAlign w:val="center"/>
          </w:tcPr>
          <w:p w:rsidR="0031350B" w:rsidRPr="008573C5" w:rsidRDefault="0031350B" w:rsidP="000E49C7">
            <w:pPr>
              <w:autoSpaceDE w:val="0"/>
              <w:autoSpaceDN w:val="0"/>
              <w:adjustRightInd w:val="0"/>
              <w:jc w:val="right"/>
              <w:rPr>
                <w:rFonts w:ascii="Arial" w:hAnsi="Arial" w:cs="Arial"/>
                <w:sz w:val="18"/>
                <w:szCs w:val="18"/>
              </w:rPr>
            </w:pPr>
            <w:r w:rsidRPr="008573C5">
              <w:rPr>
                <w:rFonts w:ascii="Arial" w:hAnsi="Arial" w:cs="Arial"/>
                <w:sz w:val="18"/>
                <w:szCs w:val="18"/>
              </w:rPr>
              <w:t>431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1350B" w:rsidRPr="008573C5" w:rsidRDefault="0031350B" w:rsidP="000E49C7">
            <w:pPr>
              <w:autoSpaceDE w:val="0"/>
              <w:autoSpaceDN w:val="0"/>
              <w:adjustRightInd w:val="0"/>
              <w:jc w:val="right"/>
              <w:rPr>
                <w:rFonts w:ascii="Arial" w:hAnsi="Arial" w:cs="Arial"/>
                <w:sz w:val="18"/>
                <w:szCs w:val="18"/>
              </w:rPr>
            </w:pPr>
            <w:r w:rsidRPr="008573C5">
              <w:rPr>
                <w:rFonts w:ascii="Arial" w:hAnsi="Arial" w:cs="Arial"/>
                <w:sz w:val="18"/>
                <w:szCs w:val="18"/>
              </w:rPr>
              <w:t>.013</w:t>
            </w:r>
          </w:p>
        </w:tc>
      </w:tr>
      <w:tr w:rsidR="0031350B" w:rsidRPr="008573C5" w:rsidTr="00CF0047">
        <w:trPr>
          <w:cantSplit/>
          <w:tblHeader/>
        </w:trPr>
        <w:tc>
          <w:tcPr>
            <w:tcW w:w="24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1350B" w:rsidRPr="008573C5" w:rsidRDefault="0031350B" w:rsidP="000E49C7">
            <w:pPr>
              <w:autoSpaceDE w:val="0"/>
              <w:autoSpaceDN w:val="0"/>
              <w:adjustRightInd w:val="0"/>
              <w:rPr>
                <w:rFonts w:ascii="Arial" w:hAnsi="Arial" w:cs="Arial"/>
                <w:sz w:val="18"/>
                <w:szCs w:val="18"/>
              </w:rPr>
            </w:pPr>
            <w:r w:rsidRPr="008573C5">
              <w:rPr>
                <w:rFonts w:ascii="Arial" w:hAnsi="Arial" w:cs="Arial"/>
                <w:sz w:val="18"/>
                <w:szCs w:val="18"/>
              </w:rPr>
              <w:t>Partial or non-disclosure of relevant accounting information limits prudent allocation of resources.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1350B" w:rsidRPr="008573C5" w:rsidRDefault="0031350B" w:rsidP="000E49C7">
            <w:pPr>
              <w:autoSpaceDE w:val="0"/>
              <w:autoSpaceDN w:val="0"/>
              <w:adjustRightInd w:val="0"/>
              <w:jc w:val="right"/>
              <w:rPr>
                <w:rFonts w:ascii="Arial" w:hAnsi="Arial" w:cs="Arial"/>
                <w:sz w:val="18"/>
                <w:szCs w:val="18"/>
              </w:rPr>
            </w:pPr>
            <w:r w:rsidRPr="008573C5">
              <w:rPr>
                <w:rFonts w:ascii="Arial" w:hAnsi="Arial" w:cs="Arial"/>
                <w:sz w:val="18"/>
                <w:szCs w:val="18"/>
              </w:rPr>
              <w:t>5.094</w:t>
            </w:r>
          </w:p>
        </w:tc>
        <w:tc>
          <w:tcPr>
            <w:tcW w:w="998" w:type="dxa"/>
            <w:tcBorders>
              <w:top w:val="nil"/>
              <w:bottom w:val="nil"/>
            </w:tcBorders>
            <w:shd w:val="clear" w:color="auto" w:fill="FFFFFF"/>
            <w:tcMar>
              <w:top w:w="30" w:type="dxa"/>
              <w:left w:w="30" w:type="dxa"/>
              <w:bottom w:w="30" w:type="dxa"/>
              <w:right w:w="30" w:type="dxa"/>
            </w:tcMar>
            <w:vAlign w:val="center"/>
          </w:tcPr>
          <w:p w:rsidR="0031350B" w:rsidRPr="008573C5" w:rsidRDefault="0031350B" w:rsidP="000E49C7">
            <w:pPr>
              <w:autoSpaceDE w:val="0"/>
              <w:autoSpaceDN w:val="0"/>
              <w:adjustRightInd w:val="0"/>
              <w:jc w:val="right"/>
              <w:rPr>
                <w:rFonts w:ascii="Arial" w:hAnsi="Arial" w:cs="Arial"/>
                <w:sz w:val="18"/>
                <w:szCs w:val="18"/>
              </w:rPr>
            </w:pPr>
            <w:r w:rsidRPr="008573C5">
              <w:rPr>
                <w:rFonts w:ascii="Arial" w:hAnsi="Arial" w:cs="Arial"/>
                <w:sz w:val="18"/>
                <w:szCs w:val="18"/>
              </w:rPr>
              <w:t>2</w:t>
            </w:r>
          </w:p>
        </w:tc>
        <w:tc>
          <w:tcPr>
            <w:tcW w:w="1000" w:type="dxa"/>
            <w:tcBorders>
              <w:top w:val="nil"/>
              <w:bottom w:val="nil"/>
            </w:tcBorders>
            <w:shd w:val="clear" w:color="auto" w:fill="FFFFFF"/>
            <w:tcMar>
              <w:top w:w="30" w:type="dxa"/>
              <w:left w:w="30" w:type="dxa"/>
              <w:bottom w:w="30" w:type="dxa"/>
              <w:right w:w="30" w:type="dxa"/>
            </w:tcMar>
            <w:vAlign w:val="center"/>
          </w:tcPr>
          <w:p w:rsidR="0031350B" w:rsidRPr="008573C5" w:rsidRDefault="0031350B" w:rsidP="000E49C7">
            <w:pPr>
              <w:autoSpaceDE w:val="0"/>
              <w:autoSpaceDN w:val="0"/>
              <w:adjustRightInd w:val="0"/>
              <w:jc w:val="right"/>
              <w:rPr>
                <w:rFonts w:ascii="Arial" w:hAnsi="Arial" w:cs="Arial"/>
                <w:sz w:val="18"/>
                <w:szCs w:val="18"/>
              </w:rPr>
            </w:pPr>
            <w:r w:rsidRPr="008573C5">
              <w:rPr>
                <w:rFonts w:ascii="Arial" w:hAnsi="Arial" w:cs="Arial"/>
                <w:sz w:val="18"/>
                <w:szCs w:val="18"/>
              </w:rPr>
              <w:t>431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31350B" w:rsidRPr="008573C5" w:rsidRDefault="0031350B" w:rsidP="000E49C7">
            <w:pPr>
              <w:autoSpaceDE w:val="0"/>
              <w:autoSpaceDN w:val="0"/>
              <w:adjustRightInd w:val="0"/>
              <w:jc w:val="right"/>
              <w:rPr>
                <w:rFonts w:ascii="Arial" w:hAnsi="Arial" w:cs="Arial"/>
                <w:sz w:val="18"/>
                <w:szCs w:val="18"/>
              </w:rPr>
            </w:pPr>
            <w:r w:rsidRPr="008573C5">
              <w:rPr>
                <w:rFonts w:ascii="Arial" w:hAnsi="Arial" w:cs="Arial"/>
                <w:sz w:val="18"/>
                <w:szCs w:val="18"/>
              </w:rPr>
              <w:t>.007</w:t>
            </w:r>
          </w:p>
        </w:tc>
      </w:tr>
      <w:tr w:rsidR="0031350B" w:rsidRPr="008573C5" w:rsidTr="00CF0047">
        <w:trPr>
          <w:cantSplit/>
          <w:tblHeader/>
        </w:trPr>
        <w:tc>
          <w:tcPr>
            <w:tcW w:w="240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1350B" w:rsidRPr="008573C5" w:rsidRDefault="0031350B" w:rsidP="000E49C7">
            <w:pPr>
              <w:autoSpaceDE w:val="0"/>
              <w:autoSpaceDN w:val="0"/>
              <w:adjustRightInd w:val="0"/>
              <w:rPr>
                <w:rFonts w:ascii="Arial" w:hAnsi="Arial" w:cs="Arial"/>
                <w:sz w:val="18"/>
                <w:szCs w:val="18"/>
              </w:rPr>
            </w:pPr>
            <w:r w:rsidRPr="008573C5">
              <w:rPr>
                <w:rFonts w:ascii="Arial" w:hAnsi="Arial" w:cs="Arial"/>
                <w:sz w:val="18"/>
                <w:szCs w:val="18"/>
              </w:rPr>
              <w:t>Partial or non-disclosure of relevant accounting information erodes investors' confidence.</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1350B" w:rsidRPr="008573C5" w:rsidRDefault="0031350B" w:rsidP="000E49C7">
            <w:pPr>
              <w:autoSpaceDE w:val="0"/>
              <w:autoSpaceDN w:val="0"/>
              <w:adjustRightInd w:val="0"/>
              <w:jc w:val="right"/>
              <w:rPr>
                <w:rFonts w:ascii="Arial" w:hAnsi="Arial" w:cs="Arial"/>
                <w:sz w:val="18"/>
                <w:szCs w:val="18"/>
              </w:rPr>
            </w:pPr>
            <w:r w:rsidRPr="008573C5">
              <w:rPr>
                <w:rFonts w:ascii="Arial" w:hAnsi="Arial" w:cs="Arial"/>
                <w:sz w:val="18"/>
                <w:szCs w:val="18"/>
              </w:rPr>
              <w:t>.190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31350B" w:rsidRPr="008573C5" w:rsidRDefault="0031350B" w:rsidP="000E49C7">
            <w:pPr>
              <w:autoSpaceDE w:val="0"/>
              <w:autoSpaceDN w:val="0"/>
              <w:adjustRightInd w:val="0"/>
              <w:jc w:val="right"/>
              <w:rPr>
                <w:rFonts w:ascii="Arial" w:hAnsi="Arial" w:cs="Arial"/>
                <w:sz w:val="18"/>
                <w:szCs w:val="18"/>
              </w:rPr>
            </w:pPr>
            <w:r w:rsidRPr="008573C5">
              <w:rPr>
                <w:rFonts w:ascii="Arial" w:hAnsi="Arial" w:cs="Arial"/>
                <w:sz w:val="18"/>
                <w:szCs w:val="18"/>
              </w:rPr>
              <w:t>2</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31350B" w:rsidRPr="008573C5" w:rsidRDefault="0031350B" w:rsidP="000E49C7">
            <w:pPr>
              <w:autoSpaceDE w:val="0"/>
              <w:autoSpaceDN w:val="0"/>
              <w:adjustRightInd w:val="0"/>
              <w:jc w:val="right"/>
              <w:rPr>
                <w:rFonts w:ascii="Arial" w:hAnsi="Arial" w:cs="Arial"/>
                <w:sz w:val="18"/>
                <w:szCs w:val="18"/>
              </w:rPr>
            </w:pPr>
            <w:r w:rsidRPr="008573C5">
              <w:rPr>
                <w:rFonts w:ascii="Arial" w:hAnsi="Arial" w:cs="Arial"/>
                <w:sz w:val="18"/>
                <w:szCs w:val="18"/>
              </w:rPr>
              <w:t>431</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1350B" w:rsidRPr="008573C5" w:rsidRDefault="0031350B" w:rsidP="000E49C7">
            <w:pPr>
              <w:autoSpaceDE w:val="0"/>
              <w:autoSpaceDN w:val="0"/>
              <w:adjustRightInd w:val="0"/>
              <w:jc w:val="right"/>
              <w:rPr>
                <w:rFonts w:ascii="Arial" w:hAnsi="Arial" w:cs="Arial"/>
                <w:sz w:val="18"/>
                <w:szCs w:val="18"/>
              </w:rPr>
            </w:pPr>
            <w:r w:rsidRPr="008573C5">
              <w:rPr>
                <w:rFonts w:ascii="Arial" w:hAnsi="Arial" w:cs="Arial"/>
                <w:sz w:val="18"/>
                <w:szCs w:val="18"/>
              </w:rPr>
              <w:t>.827</w:t>
            </w:r>
          </w:p>
        </w:tc>
      </w:tr>
      <w:tr w:rsidR="0031350B" w:rsidRPr="008573C5" w:rsidTr="00CF0047">
        <w:trPr>
          <w:cantSplit/>
          <w:tblHeader/>
        </w:trPr>
        <w:tc>
          <w:tcPr>
            <w:tcW w:w="6399" w:type="dxa"/>
            <w:gridSpan w:val="5"/>
            <w:tcBorders>
              <w:top w:val="nil"/>
              <w:left w:val="nil"/>
              <w:bottom w:val="nil"/>
              <w:right w:val="nil"/>
            </w:tcBorders>
            <w:shd w:val="clear" w:color="auto" w:fill="FFFFFF"/>
            <w:tcMar>
              <w:top w:w="30" w:type="dxa"/>
              <w:left w:w="30" w:type="dxa"/>
              <w:bottom w:w="30" w:type="dxa"/>
              <w:right w:w="30" w:type="dxa"/>
            </w:tcMar>
          </w:tcPr>
          <w:p w:rsidR="0031350B" w:rsidRPr="008573C5" w:rsidRDefault="0031350B" w:rsidP="000E49C7">
            <w:pPr>
              <w:autoSpaceDE w:val="0"/>
              <w:autoSpaceDN w:val="0"/>
              <w:adjustRightInd w:val="0"/>
              <w:rPr>
                <w:rFonts w:ascii="Arial" w:hAnsi="Arial" w:cs="Arial"/>
                <w:sz w:val="18"/>
                <w:szCs w:val="18"/>
              </w:rPr>
            </w:pPr>
            <w:r w:rsidRPr="008573C5">
              <w:rPr>
                <w:rFonts w:ascii="Arial" w:hAnsi="Arial" w:cs="Arial"/>
                <w:sz w:val="18"/>
                <w:szCs w:val="18"/>
              </w:rPr>
              <w:t>Tests the null hypothesis that the error variance of the dependent variable is equal across groups.</w:t>
            </w:r>
          </w:p>
        </w:tc>
      </w:tr>
      <w:tr w:rsidR="0031350B" w:rsidRPr="008573C5" w:rsidTr="00CF0047">
        <w:trPr>
          <w:cantSplit/>
        </w:trPr>
        <w:tc>
          <w:tcPr>
            <w:tcW w:w="3401" w:type="dxa"/>
            <w:gridSpan w:val="2"/>
            <w:tcBorders>
              <w:top w:val="nil"/>
              <w:left w:val="nil"/>
              <w:bottom w:val="nil"/>
              <w:right w:val="nil"/>
            </w:tcBorders>
            <w:shd w:val="clear" w:color="auto" w:fill="FFFFFF"/>
            <w:tcMar>
              <w:top w:w="30" w:type="dxa"/>
              <w:left w:w="30" w:type="dxa"/>
              <w:bottom w:w="30" w:type="dxa"/>
              <w:right w:w="30" w:type="dxa"/>
            </w:tcMar>
          </w:tcPr>
          <w:p w:rsidR="0031350B" w:rsidRPr="008573C5" w:rsidRDefault="0031350B" w:rsidP="000E49C7">
            <w:pPr>
              <w:autoSpaceDE w:val="0"/>
              <w:autoSpaceDN w:val="0"/>
              <w:adjustRightInd w:val="0"/>
              <w:rPr>
                <w:rFonts w:ascii="Arial" w:hAnsi="Arial" w:cs="Arial"/>
                <w:sz w:val="18"/>
                <w:szCs w:val="18"/>
              </w:rPr>
            </w:pPr>
            <w:r w:rsidRPr="008573C5">
              <w:rPr>
                <w:rFonts w:ascii="Arial" w:hAnsi="Arial" w:cs="Arial"/>
                <w:sz w:val="18"/>
                <w:szCs w:val="18"/>
              </w:rPr>
              <w:t>a. Design: Intercept + item5</w:t>
            </w:r>
          </w:p>
        </w:tc>
        <w:tc>
          <w:tcPr>
            <w:tcW w:w="998" w:type="dxa"/>
            <w:tcBorders>
              <w:top w:val="nil"/>
              <w:left w:val="nil"/>
              <w:bottom w:val="nil"/>
              <w:right w:val="nil"/>
            </w:tcBorders>
            <w:shd w:val="clear" w:color="auto" w:fill="FFFFFF"/>
            <w:tcMar>
              <w:top w:w="30" w:type="dxa"/>
              <w:left w:w="30" w:type="dxa"/>
              <w:bottom w:w="30" w:type="dxa"/>
              <w:right w:w="30" w:type="dxa"/>
            </w:tcMar>
          </w:tcPr>
          <w:p w:rsidR="0031350B" w:rsidRPr="008573C5" w:rsidRDefault="0031350B" w:rsidP="000E49C7">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31350B" w:rsidRPr="008573C5" w:rsidRDefault="0031350B" w:rsidP="000E49C7">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31350B" w:rsidRPr="008573C5" w:rsidRDefault="0031350B" w:rsidP="000E49C7">
            <w:pPr>
              <w:autoSpaceDE w:val="0"/>
              <w:autoSpaceDN w:val="0"/>
              <w:adjustRightInd w:val="0"/>
            </w:pPr>
          </w:p>
        </w:tc>
      </w:tr>
    </w:tbl>
    <w:p w:rsidR="00457A18" w:rsidRPr="008573C5" w:rsidRDefault="00457A18" w:rsidP="00457A18">
      <w:pPr>
        <w:autoSpaceDE w:val="0"/>
        <w:autoSpaceDN w:val="0"/>
        <w:adjustRightInd w:val="0"/>
        <w:jc w:val="center"/>
        <w:rPr>
          <w:rFonts w:eastAsia="Calibri"/>
          <w:b/>
          <w:bCs/>
        </w:rPr>
      </w:pPr>
      <w:r w:rsidRPr="008573C5">
        <w:rPr>
          <w:rFonts w:eastAsia="Calibri"/>
          <w:b/>
          <w:bCs/>
        </w:rPr>
        <w:t>Source: Field Study (2009)</w:t>
      </w:r>
    </w:p>
    <w:p w:rsidR="0031350B" w:rsidRPr="008573C5" w:rsidRDefault="0031350B" w:rsidP="0031350B">
      <w:pPr>
        <w:autoSpaceDE w:val="0"/>
        <w:autoSpaceDN w:val="0"/>
        <w:adjustRightInd w:val="0"/>
        <w:spacing w:line="400" w:lineRule="atLeast"/>
        <w:rPr>
          <w:b/>
        </w:rPr>
      </w:pPr>
    </w:p>
    <w:p w:rsidR="006752F9" w:rsidRPr="008573C5" w:rsidRDefault="006752F9" w:rsidP="006752F9">
      <w:pPr>
        <w:spacing w:line="360" w:lineRule="auto"/>
        <w:jc w:val="both"/>
        <w:rPr>
          <w:b/>
        </w:rPr>
      </w:pPr>
      <w:r w:rsidRPr="008573C5">
        <w:rPr>
          <w:b/>
        </w:rPr>
        <w:t>Mul</w:t>
      </w:r>
      <w:r w:rsidR="00C762F8" w:rsidRPr="008573C5">
        <w:rPr>
          <w:b/>
        </w:rPr>
        <w:t>tivatriate Test for Hypothesis 5</w:t>
      </w:r>
    </w:p>
    <w:p w:rsidR="006752F9" w:rsidRPr="008573C5" w:rsidRDefault="006752F9" w:rsidP="006752F9">
      <w:pPr>
        <w:spacing w:line="360" w:lineRule="auto"/>
        <w:jc w:val="both"/>
      </w:pPr>
      <w:r w:rsidRPr="008573C5">
        <w:t xml:space="preserve">The multivariate tests of significance is conducted using Wilks’ Lamda. The  Wilks’ Lamda value is </w:t>
      </w:r>
      <w:r w:rsidR="00AC3E89" w:rsidRPr="008573C5">
        <w:t xml:space="preserve">1.047 </w:t>
      </w:r>
      <w:r w:rsidRPr="008573C5">
        <w:t>with a significant value of .</w:t>
      </w:r>
      <w:r w:rsidR="00AC3E89" w:rsidRPr="008573C5">
        <w:t>401</w:t>
      </w:r>
      <w:r w:rsidRPr="008573C5">
        <w:t>. This is higher than .05 (Pallant, 2004:229), therefore there is no statistically</w:t>
      </w:r>
      <w:r w:rsidRPr="008573C5">
        <w:rPr>
          <w:rFonts w:ascii="Times" w:hAnsi="Times" w:cs="Times"/>
        </w:rPr>
        <w:t xml:space="preserve"> significant difference in the perception</w:t>
      </w:r>
      <w:r w:rsidRPr="008573C5">
        <w:t xml:space="preserve"> of preparers, auditors and users of accounting information on </w:t>
      </w:r>
      <w:r w:rsidR="00AC3E89" w:rsidRPr="008573C5">
        <w:t>consequences of non-disclosure by</w:t>
      </w:r>
      <w:r w:rsidRPr="008573C5">
        <w:t xml:space="preserve"> listed Nigerian companies</w:t>
      </w:r>
      <w:r w:rsidR="00A34F2B" w:rsidRPr="008573C5">
        <w:t>, when the results for the dependent variables are considered together</w:t>
      </w:r>
      <w:r w:rsidRPr="008573C5">
        <w:t>: F(</w:t>
      </w:r>
      <w:r w:rsidR="00AC3E89" w:rsidRPr="008573C5">
        <w:t>10</w:t>
      </w:r>
      <w:r w:rsidRPr="008573C5">
        <w:t>,</w:t>
      </w:r>
      <w:r w:rsidR="00AC3E89" w:rsidRPr="008573C5">
        <w:t>854</w:t>
      </w:r>
      <w:r w:rsidRPr="008573C5">
        <w:t>) = 1.0</w:t>
      </w:r>
      <w:r w:rsidR="00AC3E89" w:rsidRPr="008573C5">
        <w:t>47</w:t>
      </w:r>
      <w:r w:rsidRPr="008573C5">
        <w:t>, p=.</w:t>
      </w:r>
      <w:r w:rsidR="00AC3E89" w:rsidRPr="008573C5">
        <w:t>401</w:t>
      </w:r>
      <w:r w:rsidRPr="008573C5">
        <w:t>; Wilks’ Lamda =.9</w:t>
      </w:r>
      <w:r w:rsidR="00AC3E89" w:rsidRPr="008573C5">
        <w:t>76</w:t>
      </w:r>
      <w:r w:rsidRPr="008573C5">
        <w:t>; partial eta squared =.01</w:t>
      </w:r>
      <w:r w:rsidR="00037986" w:rsidRPr="008573C5">
        <w:t>2</w:t>
      </w:r>
      <w:r w:rsidRPr="008573C5">
        <w:t>.</w:t>
      </w:r>
    </w:p>
    <w:p w:rsidR="006752F9" w:rsidRPr="008573C5" w:rsidRDefault="006752F9" w:rsidP="006752F9">
      <w:pPr>
        <w:spacing w:line="360" w:lineRule="auto"/>
        <w:jc w:val="both"/>
      </w:pPr>
    </w:p>
    <w:p w:rsidR="00AE47D3" w:rsidRPr="008573C5" w:rsidRDefault="006752F9" w:rsidP="00AE47D3">
      <w:pPr>
        <w:spacing w:line="360" w:lineRule="auto"/>
        <w:jc w:val="both"/>
      </w:pPr>
      <w:r w:rsidRPr="008573C5">
        <w:t xml:space="preserve">When the results for the dependent variables </w:t>
      </w:r>
      <w:r w:rsidR="00A34F2B" w:rsidRPr="008573C5">
        <w:t>are</w:t>
      </w:r>
      <w:r w:rsidRPr="008573C5">
        <w:t xml:space="preserve"> considered separately, using </w:t>
      </w:r>
      <w:r w:rsidR="00A34F2B" w:rsidRPr="008573C5">
        <w:t xml:space="preserve">the </w:t>
      </w:r>
      <w:r w:rsidRPr="008573C5">
        <w:t xml:space="preserve">test of between-subjects effects, it is seen </w:t>
      </w:r>
      <w:r w:rsidR="00A34F2B" w:rsidRPr="008573C5">
        <w:t xml:space="preserve">above </w:t>
      </w:r>
      <w:r w:rsidRPr="008573C5">
        <w:t xml:space="preserve">that there is no significant difference for each dependent variable: For  Item </w:t>
      </w:r>
      <w:r w:rsidR="00037986" w:rsidRPr="008573C5">
        <w:t>31</w:t>
      </w:r>
      <w:r w:rsidRPr="008573C5">
        <w:t>, F(2,4</w:t>
      </w:r>
      <w:r w:rsidR="00037986" w:rsidRPr="008573C5">
        <w:t>31</w:t>
      </w:r>
      <w:r w:rsidRPr="008573C5">
        <w:t xml:space="preserve">) = </w:t>
      </w:r>
      <w:r w:rsidR="00037986" w:rsidRPr="008573C5">
        <w:t>0.896</w:t>
      </w:r>
      <w:r w:rsidRPr="008573C5">
        <w:t>, p=.</w:t>
      </w:r>
      <w:r w:rsidR="00037986" w:rsidRPr="008573C5">
        <w:t>409</w:t>
      </w:r>
      <w:r w:rsidRPr="008573C5">
        <w:t>, partial eta squared =.00</w:t>
      </w:r>
      <w:r w:rsidR="00037986" w:rsidRPr="008573C5">
        <w:t>4</w:t>
      </w:r>
      <w:r w:rsidRPr="008573C5">
        <w:t xml:space="preserve">; For  Item </w:t>
      </w:r>
      <w:r w:rsidR="00037986" w:rsidRPr="008573C5">
        <w:t>32</w:t>
      </w:r>
      <w:r w:rsidRPr="008573C5">
        <w:t>, F(2,4</w:t>
      </w:r>
      <w:r w:rsidR="00037986" w:rsidRPr="008573C5">
        <w:t>31</w:t>
      </w:r>
      <w:r w:rsidRPr="008573C5">
        <w:t>) = .</w:t>
      </w:r>
      <w:r w:rsidR="00037986" w:rsidRPr="008573C5">
        <w:t>910</w:t>
      </w:r>
      <w:r w:rsidRPr="008573C5">
        <w:t>, p=.4</w:t>
      </w:r>
      <w:r w:rsidR="00037986" w:rsidRPr="008573C5">
        <w:t>03</w:t>
      </w:r>
      <w:r w:rsidR="00A34F2B" w:rsidRPr="008573C5">
        <w:t>, partial eta squared =.004;</w:t>
      </w:r>
      <w:r w:rsidRPr="008573C5">
        <w:t xml:space="preserve"> For  Item </w:t>
      </w:r>
      <w:r w:rsidR="00037986" w:rsidRPr="008573C5">
        <w:t>33</w:t>
      </w:r>
      <w:r w:rsidRPr="008573C5">
        <w:t xml:space="preserve"> F(2,4</w:t>
      </w:r>
      <w:r w:rsidR="00037986" w:rsidRPr="008573C5">
        <w:t>31</w:t>
      </w:r>
      <w:r w:rsidRPr="008573C5">
        <w:t>) = 1.</w:t>
      </w:r>
      <w:r w:rsidR="00037986" w:rsidRPr="008573C5">
        <w:t>473</w:t>
      </w:r>
      <w:r w:rsidRPr="008573C5">
        <w:t>, p=.</w:t>
      </w:r>
      <w:r w:rsidR="00037986" w:rsidRPr="008573C5">
        <w:t>230</w:t>
      </w:r>
      <w:r w:rsidRPr="008573C5">
        <w:t>, partial eta squared =.00</w:t>
      </w:r>
      <w:r w:rsidR="00557A80" w:rsidRPr="008573C5">
        <w:t>7;</w:t>
      </w:r>
      <w:r w:rsidRPr="008573C5">
        <w:t xml:space="preserve"> For  Item </w:t>
      </w:r>
      <w:r w:rsidR="00037986" w:rsidRPr="008573C5">
        <w:t>34</w:t>
      </w:r>
      <w:r w:rsidRPr="008573C5">
        <w:t>, F(2,4</w:t>
      </w:r>
      <w:r w:rsidR="00037986" w:rsidRPr="008573C5">
        <w:t>31</w:t>
      </w:r>
      <w:r w:rsidRPr="008573C5">
        <w:t xml:space="preserve">) = </w:t>
      </w:r>
      <w:r w:rsidR="00037986" w:rsidRPr="008573C5">
        <w:t>1.7000</w:t>
      </w:r>
      <w:r w:rsidRPr="008573C5">
        <w:t>, p=.1</w:t>
      </w:r>
      <w:r w:rsidR="00037986" w:rsidRPr="008573C5">
        <w:t>84, partial eta squared =.008</w:t>
      </w:r>
      <w:r w:rsidRPr="008573C5">
        <w:t>.</w:t>
      </w:r>
      <w:r w:rsidR="00AE47D3" w:rsidRPr="008573C5">
        <w:t xml:space="preserve"> For  Item 35, F(2,431) = 0.905, p=.405, partial eta squared =.004.</w:t>
      </w:r>
      <w:r w:rsidR="00557A80" w:rsidRPr="008573C5">
        <w:t xml:space="preserve"> All the partial eta squared is of small effect. </w:t>
      </w:r>
    </w:p>
    <w:p w:rsidR="006752F9" w:rsidRPr="008573C5" w:rsidRDefault="006752F9" w:rsidP="006752F9">
      <w:pPr>
        <w:spacing w:line="360" w:lineRule="auto"/>
        <w:jc w:val="both"/>
      </w:pPr>
    </w:p>
    <w:p w:rsidR="006752F9" w:rsidRPr="008573C5" w:rsidRDefault="006752F9" w:rsidP="006752F9">
      <w:pPr>
        <w:spacing w:line="360" w:lineRule="auto"/>
        <w:jc w:val="both"/>
      </w:pPr>
    </w:p>
    <w:p w:rsidR="006752F9" w:rsidRPr="008573C5" w:rsidRDefault="006752F9" w:rsidP="006752F9">
      <w:pPr>
        <w:spacing w:line="360" w:lineRule="auto"/>
        <w:jc w:val="both"/>
      </w:pPr>
      <w:r w:rsidRPr="008573C5">
        <w:t xml:space="preserve">Thus, for Hypothesis </w:t>
      </w:r>
      <w:r w:rsidR="00ED3781" w:rsidRPr="008573C5">
        <w:t>5</w:t>
      </w:r>
      <w:r w:rsidRPr="008573C5">
        <w:t xml:space="preserve">, </w:t>
      </w:r>
      <w:r w:rsidRPr="008573C5">
        <w:rPr>
          <w:rFonts w:ascii="Times" w:hAnsi="Times" w:cs="Times"/>
        </w:rPr>
        <w:t>H</w:t>
      </w:r>
      <w:r w:rsidRPr="008573C5">
        <w:rPr>
          <w:rFonts w:ascii="Times" w:hAnsi="Times" w:cs="Times"/>
          <w:vertAlign w:val="subscript"/>
        </w:rPr>
        <w:t>o</w:t>
      </w:r>
      <w:r w:rsidRPr="008573C5">
        <w:t xml:space="preserve"> is </w:t>
      </w:r>
      <w:r w:rsidR="00D0377F">
        <w:t>retained</w:t>
      </w:r>
      <w:r w:rsidRPr="008573C5">
        <w:t xml:space="preserve"> and </w:t>
      </w:r>
      <w:r w:rsidRPr="008573C5">
        <w:rPr>
          <w:rFonts w:ascii="Times" w:hAnsi="Times" w:cs="Times"/>
        </w:rPr>
        <w:t>H</w:t>
      </w:r>
      <w:r w:rsidRPr="008573C5">
        <w:rPr>
          <w:rFonts w:ascii="Times" w:hAnsi="Times" w:cs="Times"/>
          <w:vertAlign w:val="subscript"/>
        </w:rPr>
        <w:t>1</w:t>
      </w:r>
      <w:r w:rsidRPr="008573C5">
        <w:t xml:space="preserve"> is rejected.</w:t>
      </w:r>
    </w:p>
    <w:p w:rsidR="006752F9" w:rsidRPr="008573C5" w:rsidRDefault="006752F9" w:rsidP="006752F9">
      <w:pPr>
        <w:spacing w:line="360" w:lineRule="auto"/>
        <w:jc w:val="both"/>
      </w:pPr>
    </w:p>
    <w:p w:rsidR="0078744C" w:rsidRPr="008573C5" w:rsidRDefault="0078744C" w:rsidP="000E49C7">
      <w:pPr>
        <w:spacing w:before="100" w:beforeAutospacing="1" w:after="100" w:afterAutospacing="1"/>
        <w:jc w:val="center"/>
        <w:rPr>
          <w:b/>
          <w:sz w:val="28"/>
          <w:szCs w:val="28"/>
        </w:rPr>
      </w:pPr>
    </w:p>
    <w:p w:rsidR="0078744C" w:rsidRPr="008573C5" w:rsidRDefault="0078744C" w:rsidP="007A27A9">
      <w:pPr>
        <w:spacing w:before="100" w:beforeAutospacing="1" w:after="100" w:afterAutospacing="1"/>
        <w:jc w:val="center"/>
        <w:rPr>
          <w:b/>
          <w:sz w:val="28"/>
          <w:szCs w:val="28"/>
        </w:rPr>
      </w:pPr>
    </w:p>
    <w:p w:rsidR="0078744C" w:rsidRPr="008573C5" w:rsidRDefault="0078744C" w:rsidP="00FF5EDF">
      <w:pPr>
        <w:spacing w:before="100" w:beforeAutospacing="1" w:after="100" w:afterAutospacing="1"/>
        <w:jc w:val="center"/>
        <w:rPr>
          <w:b/>
          <w:sz w:val="28"/>
          <w:szCs w:val="28"/>
        </w:rPr>
      </w:pPr>
    </w:p>
    <w:p w:rsidR="00052DFC" w:rsidRPr="008573C5" w:rsidRDefault="00052DFC" w:rsidP="00FF5EDF">
      <w:pPr>
        <w:spacing w:before="100" w:beforeAutospacing="1" w:after="100" w:afterAutospacing="1"/>
        <w:jc w:val="center"/>
        <w:rPr>
          <w:b/>
          <w:sz w:val="28"/>
          <w:szCs w:val="28"/>
        </w:rPr>
      </w:pPr>
    </w:p>
    <w:p w:rsidR="00052DFC" w:rsidRPr="008573C5" w:rsidRDefault="00052DFC" w:rsidP="00FF5EDF">
      <w:pPr>
        <w:spacing w:before="100" w:beforeAutospacing="1" w:after="100" w:afterAutospacing="1"/>
        <w:jc w:val="center"/>
        <w:rPr>
          <w:b/>
          <w:sz w:val="28"/>
          <w:szCs w:val="28"/>
        </w:rPr>
      </w:pPr>
    </w:p>
    <w:p w:rsidR="0078744C" w:rsidRPr="008573C5" w:rsidRDefault="0078744C" w:rsidP="00FF5EDF">
      <w:pPr>
        <w:spacing w:before="100" w:beforeAutospacing="1" w:after="100" w:afterAutospacing="1"/>
        <w:jc w:val="center"/>
        <w:rPr>
          <w:b/>
          <w:sz w:val="28"/>
          <w:szCs w:val="28"/>
        </w:rPr>
      </w:pPr>
    </w:p>
    <w:p w:rsidR="0078744C" w:rsidRPr="008573C5" w:rsidRDefault="0078744C" w:rsidP="000E49C7">
      <w:pPr>
        <w:spacing w:before="100" w:beforeAutospacing="1" w:after="100" w:afterAutospacing="1"/>
        <w:jc w:val="center"/>
        <w:rPr>
          <w:b/>
          <w:sz w:val="28"/>
          <w:szCs w:val="28"/>
        </w:rPr>
      </w:pPr>
    </w:p>
    <w:p w:rsidR="00FF5EDF" w:rsidRPr="008573C5" w:rsidRDefault="00FF5EDF" w:rsidP="00FF5EDF">
      <w:pPr>
        <w:autoSpaceDE w:val="0"/>
        <w:autoSpaceDN w:val="0"/>
        <w:adjustRightInd w:val="0"/>
        <w:spacing w:line="360" w:lineRule="auto"/>
        <w:ind w:firstLine="720"/>
        <w:jc w:val="both"/>
      </w:pPr>
      <w:r w:rsidRPr="008573C5">
        <w:t xml:space="preserve">. </w:t>
      </w:r>
    </w:p>
    <w:p w:rsidR="00BD2435" w:rsidRPr="008573C5" w:rsidRDefault="00BD2435" w:rsidP="00FF5EDF"/>
    <w:p w:rsidR="007201D6" w:rsidRPr="008573C5" w:rsidRDefault="007201D6" w:rsidP="007A27A9">
      <w:pPr>
        <w:spacing w:before="100" w:beforeAutospacing="1" w:after="100" w:afterAutospacing="1" w:line="360" w:lineRule="auto"/>
        <w:jc w:val="center"/>
        <w:rPr>
          <w:b/>
          <w:sz w:val="28"/>
          <w:szCs w:val="28"/>
        </w:rPr>
      </w:pPr>
    </w:p>
    <w:p w:rsidR="007201D6" w:rsidRPr="008573C5" w:rsidRDefault="007201D6" w:rsidP="000A4921">
      <w:pPr>
        <w:spacing w:before="100" w:beforeAutospacing="1" w:after="100" w:afterAutospacing="1" w:line="360" w:lineRule="auto"/>
        <w:jc w:val="center"/>
        <w:rPr>
          <w:b/>
          <w:sz w:val="28"/>
          <w:szCs w:val="28"/>
        </w:rPr>
      </w:pPr>
    </w:p>
    <w:p w:rsidR="007201D6" w:rsidRPr="008573C5" w:rsidRDefault="007201D6" w:rsidP="001F60B6">
      <w:pPr>
        <w:spacing w:before="100" w:beforeAutospacing="1" w:after="100" w:afterAutospacing="1" w:line="360" w:lineRule="auto"/>
        <w:jc w:val="center"/>
        <w:rPr>
          <w:b/>
          <w:sz w:val="28"/>
          <w:szCs w:val="28"/>
        </w:rPr>
      </w:pPr>
    </w:p>
    <w:p w:rsidR="007201D6" w:rsidRPr="008573C5" w:rsidRDefault="007201D6" w:rsidP="001F60B6">
      <w:pPr>
        <w:spacing w:before="100" w:beforeAutospacing="1" w:after="100" w:afterAutospacing="1" w:line="360" w:lineRule="auto"/>
        <w:jc w:val="center"/>
        <w:rPr>
          <w:b/>
          <w:sz w:val="28"/>
          <w:szCs w:val="28"/>
        </w:rPr>
      </w:pPr>
    </w:p>
    <w:p w:rsidR="000E49C7" w:rsidRPr="008573C5" w:rsidRDefault="000E49C7" w:rsidP="001F60B6">
      <w:pPr>
        <w:spacing w:before="100" w:beforeAutospacing="1" w:after="100" w:afterAutospacing="1" w:line="360" w:lineRule="auto"/>
        <w:jc w:val="center"/>
        <w:rPr>
          <w:b/>
          <w:sz w:val="28"/>
          <w:szCs w:val="28"/>
        </w:rPr>
      </w:pPr>
    </w:p>
    <w:p w:rsidR="000E49C7" w:rsidRDefault="000E49C7" w:rsidP="001F60B6">
      <w:pPr>
        <w:spacing w:before="100" w:beforeAutospacing="1" w:after="100" w:afterAutospacing="1" w:line="360" w:lineRule="auto"/>
        <w:jc w:val="center"/>
        <w:rPr>
          <w:b/>
          <w:sz w:val="28"/>
          <w:szCs w:val="28"/>
        </w:rPr>
      </w:pPr>
    </w:p>
    <w:p w:rsidR="00D0377F" w:rsidRPr="008573C5" w:rsidRDefault="00D0377F" w:rsidP="001F60B6">
      <w:pPr>
        <w:spacing w:before="100" w:beforeAutospacing="1" w:after="100" w:afterAutospacing="1" w:line="360" w:lineRule="auto"/>
        <w:jc w:val="center"/>
        <w:rPr>
          <w:b/>
          <w:sz w:val="28"/>
          <w:szCs w:val="28"/>
        </w:rPr>
      </w:pPr>
    </w:p>
    <w:p w:rsidR="000E49C7" w:rsidRPr="008573C5" w:rsidRDefault="000E49C7" w:rsidP="000A4921">
      <w:pPr>
        <w:spacing w:before="100" w:beforeAutospacing="1" w:after="100" w:afterAutospacing="1" w:line="360" w:lineRule="auto"/>
        <w:jc w:val="center"/>
        <w:rPr>
          <w:b/>
          <w:sz w:val="28"/>
          <w:szCs w:val="28"/>
        </w:rPr>
      </w:pPr>
    </w:p>
    <w:p w:rsidR="00343BDB" w:rsidRPr="00D0377F" w:rsidRDefault="004D206D" w:rsidP="000E49C7">
      <w:pPr>
        <w:spacing w:before="100" w:beforeAutospacing="1" w:after="100" w:afterAutospacing="1" w:line="360" w:lineRule="auto"/>
        <w:jc w:val="center"/>
        <w:rPr>
          <w:b/>
          <w:sz w:val="32"/>
          <w:szCs w:val="32"/>
        </w:rPr>
      </w:pPr>
      <w:r w:rsidRPr="00D0377F">
        <w:rPr>
          <w:b/>
          <w:sz w:val="32"/>
          <w:szCs w:val="32"/>
        </w:rPr>
        <w:t>C</w:t>
      </w:r>
      <w:r w:rsidR="006F68DE" w:rsidRPr="00D0377F">
        <w:rPr>
          <w:b/>
          <w:sz w:val="32"/>
          <w:szCs w:val="32"/>
        </w:rPr>
        <w:t>HAPTER FIVE</w:t>
      </w:r>
    </w:p>
    <w:p w:rsidR="00510C1C" w:rsidRPr="00D0377F" w:rsidRDefault="006F68DE" w:rsidP="00E602A7">
      <w:pPr>
        <w:spacing w:before="100" w:beforeAutospacing="1" w:after="100" w:afterAutospacing="1"/>
        <w:jc w:val="center"/>
        <w:rPr>
          <w:b/>
          <w:sz w:val="32"/>
          <w:szCs w:val="32"/>
        </w:rPr>
      </w:pPr>
      <w:r w:rsidRPr="00D0377F">
        <w:rPr>
          <w:b/>
          <w:sz w:val="32"/>
          <w:szCs w:val="32"/>
        </w:rPr>
        <w:t>SUMMARY OF FINDINGS, CONCLUSION AND RECOMMENDATIONS</w:t>
      </w:r>
    </w:p>
    <w:p w:rsidR="00510C1C" w:rsidRPr="008573C5" w:rsidRDefault="00510C1C" w:rsidP="001F60B6">
      <w:pPr>
        <w:spacing w:before="100" w:beforeAutospacing="1" w:after="100" w:afterAutospacing="1" w:line="360" w:lineRule="auto"/>
        <w:jc w:val="both"/>
        <w:rPr>
          <w:b/>
          <w:sz w:val="28"/>
          <w:szCs w:val="28"/>
        </w:rPr>
      </w:pPr>
      <w:r w:rsidRPr="008573C5">
        <w:rPr>
          <w:b/>
          <w:sz w:val="28"/>
          <w:szCs w:val="28"/>
        </w:rPr>
        <w:t>5.0</w:t>
      </w:r>
      <w:r w:rsidRPr="008573C5">
        <w:rPr>
          <w:b/>
          <w:sz w:val="28"/>
          <w:szCs w:val="28"/>
        </w:rPr>
        <w:tab/>
      </w:r>
      <w:r w:rsidR="00A01073" w:rsidRPr="008573C5">
        <w:rPr>
          <w:b/>
          <w:sz w:val="28"/>
          <w:szCs w:val="28"/>
        </w:rPr>
        <w:t>I</w:t>
      </w:r>
      <w:r w:rsidR="00A13B1A" w:rsidRPr="008573C5">
        <w:rPr>
          <w:b/>
          <w:sz w:val="28"/>
          <w:szCs w:val="28"/>
        </w:rPr>
        <w:t>ntroduction</w:t>
      </w:r>
    </w:p>
    <w:p w:rsidR="00510C1C" w:rsidRPr="008573C5" w:rsidRDefault="00052DFC" w:rsidP="000E49C7">
      <w:pPr>
        <w:spacing w:before="100" w:beforeAutospacing="1" w:after="100" w:afterAutospacing="1" w:line="360" w:lineRule="auto"/>
        <w:jc w:val="both"/>
      </w:pPr>
      <w:r w:rsidRPr="008573C5">
        <w:t>C</w:t>
      </w:r>
      <w:r w:rsidR="00510C1C" w:rsidRPr="008573C5">
        <w:t xml:space="preserve">hapter </w:t>
      </w:r>
      <w:r w:rsidRPr="008573C5">
        <w:t xml:space="preserve">five </w:t>
      </w:r>
      <w:r w:rsidR="00510C1C" w:rsidRPr="008573C5">
        <w:t xml:space="preserve">proceeds as follows: </w:t>
      </w:r>
      <w:r w:rsidR="00735106" w:rsidRPr="008573C5">
        <w:t>Chapter</w:t>
      </w:r>
      <w:r w:rsidR="00510C1C" w:rsidRPr="008573C5">
        <w:t xml:space="preserve"> 5.1</w:t>
      </w:r>
      <w:r w:rsidR="00F7295E" w:rsidRPr="008573C5">
        <w:t xml:space="preserve"> summarises the </w:t>
      </w:r>
      <w:r w:rsidR="006B7430" w:rsidRPr="008573C5">
        <w:t>theoretical findings</w:t>
      </w:r>
      <w:r w:rsidR="002F2E0C" w:rsidRPr="008573C5">
        <w:t xml:space="preserve">; </w:t>
      </w:r>
      <w:r w:rsidR="00735106" w:rsidRPr="008573C5">
        <w:t>Chapter</w:t>
      </w:r>
      <w:r w:rsidR="00F7295E" w:rsidRPr="008573C5">
        <w:t xml:space="preserve"> 5.2</w:t>
      </w:r>
      <w:r w:rsidR="0011148E" w:rsidRPr="008573C5">
        <w:t xml:space="preserve"> presents</w:t>
      </w:r>
      <w:r w:rsidR="00F7295E" w:rsidRPr="008573C5">
        <w:t xml:space="preserve"> the </w:t>
      </w:r>
      <w:r w:rsidR="006B7430" w:rsidRPr="008573C5">
        <w:t>em</w:t>
      </w:r>
      <w:r w:rsidR="0011148E" w:rsidRPr="008573C5">
        <w:t xml:space="preserve">pirical findings; </w:t>
      </w:r>
      <w:r w:rsidR="00735106" w:rsidRPr="008573C5">
        <w:t>Chapter</w:t>
      </w:r>
      <w:r w:rsidR="00F7295E" w:rsidRPr="008573C5">
        <w:t xml:space="preserve"> 5.3 provides the conclusion</w:t>
      </w:r>
      <w:r w:rsidR="006B7430" w:rsidRPr="008573C5">
        <w:t>s;</w:t>
      </w:r>
      <w:r w:rsidR="00F7295E" w:rsidRPr="008573C5">
        <w:t xml:space="preserve"> </w:t>
      </w:r>
      <w:r w:rsidR="006B7430" w:rsidRPr="008573C5">
        <w:t>Chapter 5.4</w:t>
      </w:r>
      <w:r w:rsidR="002F2E0C" w:rsidRPr="008573C5">
        <w:t xml:space="preserve"> pr</w:t>
      </w:r>
      <w:r w:rsidR="00B15B31" w:rsidRPr="008573C5">
        <w:t>esent</w:t>
      </w:r>
      <w:r w:rsidR="006B7430" w:rsidRPr="008573C5">
        <w:t xml:space="preserve">s the recommendations; </w:t>
      </w:r>
      <w:r w:rsidR="00735106" w:rsidRPr="008573C5">
        <w:t>Chapter</w:t>
      </w:r>
      <w:r w:rsidR="00F7295E" w:rsidRPr="008573C5">
        <w:t xml:space="preserve"> 5.</w:t>
      </w:r>
      <w:r w:rsidR="006B7430" w:rsidRPr="008573C5">
        <w:t xml:space="preserve">5 highlights the contribution to knowledge; while Chapter 5.6 provides </w:t>
      </w:r>
      <w:r w:rsidR="00F7295E" w:rsidRPr="008573C5">
        <w:t>suggestions fo</w:t>
      </w:r>
      <w:r w:rsidR="002F2E0C" w:rsidRPr="008573C5">
        <w:t>r further study</w:t>
      </w:r>
      <w:r w:rsidR="006B7430" w:rsidRPr="008573C5">
        <w:t>.</w:t>
      </w:r>
    </w:p>
    <w:p w:rsidR="00ED04EC" w:rsidRPr="008573C5" w:rsidRDefault="006B7430" w:rsidP="001F60B6">
      <w:pPr>
        <w:tabs>
          <w:tab w:val="left" w:pos="720"/>
          <w:tab w:val="left" w:pos="1440"/>
          <w:tab w:val="left" w:pos="1860"/>
        </w:tabs>
        <w:spacing w:line="360" w:lineRule="auto"/>
        <w:rPr>
          <w:b/>
          <w:sz w:val="28"/>
          <w:szCs w:val="28"/>
        </w:rPr>
      </w:pPr>
      <w:r w:rsidRPr="008573C5">
        <w:rPr>
          <w:b/>
          <w:sz w:val="28"/>
          <w:szCs w:val="28"/>
        </w:rPr>
        <w:t>5.</w:t>
      </w:r>
      <w:r w:rsidR="00ED04EC" w:rsidRPr="008573C5">
        <w:rPr>
          <w:b/>
          <w:sz w:val="28"/>
          <w:szCs w:val="28"/>
        </w:rPr>
        <w:t>1</w:t>
      </w:r>
      <w:r w:rsidR="00ED04EC" w:rsidRPr="008573C5">
        <w:rPr>
          <w:b/>
          <w:sz w:val="28"/>
          <w:szCs w:val="28"/>
        </w:rPr>
        <w:tab/>
      </w:r>
      <w:r w:rsidR="000A4921" w:rsidRPr="008573C5">
        <w:rPr>
          <w:b/>
          <w:sz w:val="28"/>
          <w:szCs w:val="28"/>
        </w:rPr>
        <w:t xml:space="preserve">Summary of </w:t>
      </w:r>
      <w:r w:rsidR="00ED04EC" w:rsidRPr="008573C5">
        <w:rPr>
          <w:b/>
          <w:sz w:val="28"/>
          <w:szCs w:val="28"/>
        </w:rPr>
        <w:t>T</w:t>
      </w:r>
      <w:r w:rsidR="00F717EF" w:rsidRPr="008573C5">
        <w:rPr>
          <w:b/>
          <w:sz w:val="28"/>
          <w:szCs w:val="28"/>
        </w:rPr>
        <w:t>heoretical Findings</w:t>
      </w:r>
    </w:p>
    <w:p w:rsidR="0078268F" w:rsidRPr="008573C5" w:rsidRDefault="0078268F" w:rsidP="0078268F">
      <w:pPr>
        <w:autoSpaceDE w:val="0"/>
        <w:autoSpaceDN w:val="0"/>
        <w:adjustRightInd w:val="0"/>
        <w:spacing w:line="360" w:lineRule="auto"/>
        <w:jc w:val="both"/>
      </w:pPr>
      <w:r w:rsidRPr="008573C5">
        <w:rPr>
          <w:rFonts w:ascii="Times" w:hAnsi="Times" w:cs="Times"/>
        </w:rPr>
        <w:t>Company size is the most consistently reported significant corporate attribute in previous empirical studies</w:t>
      </w:r>
      <w:r w:rsidRPr="008573C5">
        <w:t xml:space="preserve"> (Street and Bryant, 2000:309;</w:t>
      </w:r>
      <w:r w:rsidRPr="008573C5">
        <w:rPr>
          <w:rFonts w:ascii="Times" w:hAnsi="Times" w:cs="Times"/>
        </w:rPr>
        <w:t xml:space="preserve"> Meek et al, 1995: 558). </w:t>
      </w:r>
      <w:r w:rsidR="00B44FC6" w:rsidRPr="008573C5">
        <w:rPr>
          <w:rFonts w:ascii="Times" w:hAnsi="Times" w:cs="Times"/>
        </w:rPr>
        <w:t xml:space="preserve">According to </w:t>
      </w:r>
      <w:r w:rsidRPr="008573C5">
        <w:t>Watts and Zimmerman (1990:140)</w:t>
      </w:r>
      <w:r w:rsidR="007A27A9" w:rsidRPr="008573C5">
        <w:t>,</w:t>
      </w:r>
      <w:r w:rsidRPr="008573C5">
        <w:t xml:space="preserve"> larger companies are likely to show more information in order to improve the confidence of stakeholders and to reduce political costs. </w:t>
      </w:r>
      <w:r w:rsidR="00B44FC6" w:rsidRPr="008573C5">
        <w:t xml:space="preserve">They </w:t>
      </w:r>
      <w:r w:rsidR="00FD3D02" w:rsidRPr="008573C5">
        <w:t>argue</w:t>
      </w:r>
      <w:r w:rsidRPr="008573C5">
        <w:t xml:space="preserve"> that in order to curb political interference and the associated costs</w:t>
      </w:r>
      <w:r w:rsidR="007A27A9" w:rsidRPr="008573C5">
        <w:t>,</w:t>
      </w:r>
      <w:r w:rsidRPr="008573C5">
        <w:t xml:space="preserve"> </w:t>
      </w:r>
      <w:r w:rsidR="007A27A9" w:rsidRPr="008573C5">
        <w:t xml:space="preserve">large organizations </w:t>
      </w:r>
      <w:r w:rsidRPr="008573C5">
        <w:t xml:space="preserve">will </w:t>
      </w:r>
      <w:r w:rsidR="007A27A9" w:rsidRPr="008573C5">
        <w:t>attempt</w:t>
      </w:r>
      <w:r w:rsidRPr="008573C5">
        <w:t xml:space="preserve"> to disclose more information to somehow fool those involved in the political process.</w:t>
      </w:r>
      <w:r w:rsidR="00B44FC6" w:rsidRPr="008573C5">
        <w:t xml:space="preserve"> Generally, large firms disclose more information than smaller ones </w:t>
      </w:r>
      <w:r w:rsidR="00FD3D02" w:rsidRPr="008573C5">
        <w:t>(</w:t>
      </w:r>
      <w:r w:rsidR="00B44FC6" w:rsidRPr="008573C5">
        <w:t xml:space="preserve">Meek et al, 1995, 558). </w:t>
      </w:r>
    </w:p>
    <w:p w:rsidR="0078268F" w:rsidRPr="008573C5" w:rsidRDefault="0078268F" w:rsidP="0078268F">
      <w:pPr>
        <w:autoSpaceDE w:val="0"/>
        <w:autoSpaceDN w:val="0"/>
        <w:adjustRightInd w:val="0"/>
        <w:spacing w:line="360" w:lineRule="auto"/>
        <w:jc w:val="both"/>
        <w:rPr>
          <w:rFonts w:ascii="Times" w:hAnsi="Times" w:cs="Times"/>
        </w:rPr>
      </w:pPr>
    </w:p>
    <w:p w:rsidR="0078268F" w:rsidRPr="008573C5" w:rsidRDefault="0078268F" w:rsidP="0078268F">
      <w:pPr>
        <w:spacing w:line="360" w:lineRule="auto"/>
        <w:jc w:val="both"/>
        <w:rPr>
          <w:rFonts w:ascii="Times" w:hAnsi="Times" w:cs="Times"/>
        </w:rPr>
      </w:pPr>
      <w:r w:rsidRPr="008573C5">
        <w:t>Profitable organizations will want to distinguish themselves by disclosing more information so as to enable them to obtain capita</w:t>
      </w:r>
      <w:r w:rsidR="00FD3D02" w:rsidRPr="008573C5">
        <w:t>l on the best available terms (</w:t>
      </w:r>
      <w:r w:rsidRPr="008573C5">
        <w:t>Meek et al, 1995:559).</w:t>
      </w:r>
      <w:r w:rsidR="00B44FC6" w:rsidRPr="008573C5">
        <w:t xml:space="preserve"> Whereas </w:t>
      </w:r>
      <w:r w:rsidRPr="008573C5">
        <w:t>non-profitable firms may disclose less information in order to cover up losses and declining profit</w:t>
      </w:r>
      <w:r w:rsidR="007A27A9" w:rsidRPr="008573C5">
        <w:t>s</w:t>
      </w:r>
      <w:r w:rsidRPr="008573C5">
        <w:t xml:space="preserve"> (Singhvi and Desai, 1971:135)</w:t>
      </w:r>
      <w:r w:rsidR="00B44FC6" w:rsidRPr="008573C5">
        <w:t>.</w:t>
      </w:r>
      <w:r w:rsidR="00FD3D02" w:rsidRPr="008573C5">
        <w:t xml:space="preserve"> </w:t>
      </w:r>
      <w:r w:rsidRPr="008573C5">
        <w:t>Corporate managers are usually reluctant to give detailed information about a non-profitable outlet or product, hence they might decide to disclose only a lump profit attributable to the whole company. Inchausti (1997:49) employing signaling theory, states that due to better performance of companies, management is more likely to disclose detailed information to the public than management with poor performance in order to avoid undervaluation of company’s shares.</w:t>
      </w:r>
      <w:r w:rsidR="00B44FC6" w:rsidRPr="008573C5">
        <w:rPr>
          <w:rFonts w:ascii="Times" w:hAnsi="Times" w:cs="Times"/>
        </w:rPr>
        <w:t xml:space="preserve"> </w:t>
      </w:r>
    </w:p>
    <w:p w:rsidR="0078268F" w:rsidRPr="008573C5" w:rsidRDefault="0078268F" w:rsidP="0078268F">
      <w:pPr>
        <w:autoSpaceDE w:val="0"/>
        <w:autoSpaceDN w:val="0"/>
        <w:adjustRightInd w:val="0"/>
        <w:spacing w:line="360" w:lineRule="auto"/>
        <w:jc w:val="both"/>
      </w:pPr>
    </w:p>
    <w:p w:rsidR="0078268F" w:rsidRPr="008573C5" w:rsidRDefault="0078268F" w:rsidP="0078268F">
      <w:pPr>
        <w:autoSpaceDE w:val="0"/>
        <w:autoSpaceDN w:val="0"/>
        <w:adjustRightInd w:val="0"/>
        <w:spacing w:line="360" w:lineRule="auto"/>
        <w:jc w:val="both"/>
      </w:pPr>
      <w:r w:rsidRPr="008573C5">
        <w:t>According to Iatridis (2008:236) firms that provide extensive accounting disclosures tend to use more debt than equity to finance their operations. It appears, therefore, that firms are inclined to disclose information about sensitive accounting issues, such as gearing and risk profile in order to reassure investors and lenders that abide with the disclosure practices as enumerated by the accounting regulation. Provision of accounting disclosures reduces overall level of risk and allows for fund raising in the debts market. Jenson and Meckling (1976:350)</w:t>
      </w:r>
      <w:r w:rsidR="006100C2" w:rsidRPr="008573C5">
        <w:t xml:space="preserve"> admit</w:t>
      </w:r>
      <w:r w:rsidR="00B44FC6" w:rsidRPr="008573C5">
        <w:t xml:space="preserve"> that</w:t>
      </w:r>
      <w:r w:rsidRPr="008573C5">
        <w:t xml:space="preserve"> agency costs are higher for companies with more debt in their capital structure and disclosures are expected to increase with leverage. Myers </w:t>
      </w:r>
      <w:r w:rsidR="007A27A9" w:rsidRPr="008573C5">
        <w:t>(</w:t>
      </w:r>
      <w:r w:rsidRPr="008573C5">
        <w:t>1977</w:t>
      </w:r>
      <w:r w:rsidR="007A27A9" w:rsidRPr="008573C5">
        <w:t>)</w:t>
      </w:r>
      <w:r w:rsidRPr="008573C5">
        <w:t xml:space="preserve"> as cited in Ahmed (2004:188) states that firms with high debt tend to disclose more information to assure creditors that shareholders and management are less likely to bypass their covenant claims. </w:t>
      </w:r>
    </w:p>
    <w:p w:rsidR="0078268F" w:rsidRPr="008573C5" w:rsidRDefault="0078268F" w:rsidP="0078268F">
      <w:pPr>
        <w:spacing w:line="360" w:lineRule="auto"/>
        <w:jc w:val="both"/>
      </w:pPr>
    </w:p>
    <w:p w:rsidR="0078268F" w:rsidRPr="008573C5" w:rsidRDefault="005E17DA" w:rsidP="0078268F">
      <w:pPr>
        <w:spacing w:line="360" w:lineRule="auto"/>
        <w:jc w:val="both"/>
      </w:pPr>
      <w:r w:rsidRPr="008573C5">
        <w:t>The older, well-established</w:t>
      </w:r>
      <w:r w:rsidR="0078268F" w:rsidRPr="008573C5">
        <w:t xml:space="preserve"> companies with more experience are likely to include more information in their annual reports in order to enhance their reputation and image in the market (Akhtaruddin,2005:405). Owusu-Ansah(1998:614) argue</w:t>
      </w:r>
      <w:r w:rsidR="00F00325" w:rsidRPr="008573C5">
        <w:t>s</w:t>
      </w:r>
      <w:r w:rsidR="0078268F" w:rsidRPr="008573C5">
        <w:t xml:space="preserve"> that  newly-established companies may suffer competitive disadvantage if they disclose certain information items such as product development, which can be used to their detriment by the other competitors. In other words they hoard information in order not to suffer from competitive disadvantage. Contrary to this opinion, Haniffa and Cooke (2002:330) believe that younger companies disclose more information to boost investor</w:t>
      </w:r>
      <w:r w:rsidR="00F00325" w:rsidRPr="008573C5">
        <w:t xml:space="preserve">s’ confidence and </w:t>
      </w:r>
      <w:r w:rsidR="0078268F" w:rsidRPr="008573C5">
        <w:t xml:space="preserve"> reduce skepticism.</w:t>
      </w:r>
    </w:p>
    <w:p w:rsidR="0078268F" w:rsidRPr="008573C5" w:rsidRDefault="0078268F" w:rsidP="0078268F">
      <w:pPr>
        <w:spacing w:line="360" w:lineRule="auto"/>
        <w:jc w:val="both"/>
      </w:pPr>
    </w:p>
    <w:p w:rsidR="0078268F" w:rsidRPr="008573C5" w:rsidRDefault="0078268F" w:rsidP="0078268F">
      <w:pPr>
        <w:spacing w:line="360" w:lineRule="auto"/>
        <w:jc w:val="both"/>
        <w:rPr>
          <w:lang w:val="en-GB" w:eastAsia="en-GB"/>
        </w:rPr>
      </w:pPr>
      <w:r w:rsidRPr="008573C5">
        <w:t xml:space="preserve">Watts </w:t>
      </w:r>
      <w:r w:rsidR="00F00325" w:rsidRPr="008573C5">
        <w:t>and Zimmerman (1990:14) explain</w:t>
      </w:r>
      <w:r w:rsidRPr="008573C5">
        <w:t xml:space="preserve"> the relationship between industry and disclosure using political costs theory. They argue that political costs vary according to industry. Disclosure differential may be associated with the type of product line, nature of production and nature of service provided</w:t>
      </w:r>
      <w:r w:rsidR="00353194" w:rsidRPr="008573C5">
        <w:t xml:space="preserve">. </w:t>
      </w:r>
      <w:r w:rsidRPr="008573C5">
        <w:t xml:space="preserve">Ahmed (2005:73) finds industry-type to be a significant factor accounting for the differences in the disclosure levels of the companies in their sample. </w:t>
      </w:r>
    </w:p>
    <w:p w:rsidR="0078268F" w:rsidRPr="008573C5" w:rsidRDefault="0078268F" w:rsidP="0078268F">
      <w:pPr>
        <w:autoSpaceDE w:val="0"/>
        <w:autoSpaceDN w:val="0"/>
        <w:adjustRightInd w:val="0"/>
        <w:spacing w:line="360" w:lineRule="auto"/>
        <w:jc w:val="both"/>
      </w:pPr>
    </w:p>
    <w:p w:rsidR="0078268F" w:rsidRPr="008573C5" w:rsidRDefault="0078268F" w:rsidP="007D6175">
      <w:pPr>
        <w:autoSpaceDE w:val="0"/>
        <w:autoSpaceDN w:val="0"/>
        <w:adjustRightInd w:val="0"/>
        <w:spacing w:line="360" w:lineRule="auto"/>
        <w:jc w:val="both"/>
      </w:pPr>
      <w:r w:rsidRPr="008573C5">
        <w:t xml:space="preserve">Although company management is primarily responsible for preparing the financial report, the company external auditors play a major role in the disclosure policies and practices of their clients (Ahmed, 2004:189). Jenson and Meckling (1976:305) argue that auditing is a way of reducing agency costs. Companies that incur high agency costs tend to engage high profile ‘big’ auditing firms. This is also related to the fact that these big auditing firms have a good knowledge of local and international standards and the costs of implementing the standards are lower than for the smaller firms (Lopes and Rodrigues, 2007:33)  </w:t>
      </w:r>
    </w:p>
    <w:p w:rsidR="007D6175" w:rsidRPr="008573C5" w:rsidRDefault="007D6175" w:rsidP="007D6175">
      <w:pPr>
        <w:autoSpaceDE w:val="0"/>
        <w:autoSpaceDN w:val="0"/>
        <w:adjustRightInd w:val="0"/>
        <w:spacing w:line="360" w:lineRule="auto"/>
        <w:jc w:val="both"/>
      </w:pPr>
    </w:p>
    <w:p w:rsidR="0078268F" w:rsidRPr="008573C5" w:rsidRDefault="007D6175" w:rsidP="0078268F">
      <w:pPr>
        <w:autoSpaceDE w:val="0"/>
        <w:autoSpaceDN w:val="0"/>
        <w:adjustRightInd w:val="0"/>
        <w:spacing w:line="360" w:lineRule="auto"/>
        <w:jc w:val="both"/>
      </w:pPr>
      <w:r w:rsidRPr="008573C5">
        <w:t>A</w:t>
      </w:r>
      <w:r w:rsidR="0078268F" w:rsidRPr="008573C5">
        <w:t>ccording to Owusu- Ansah(1998:615), the extent of a company’s mandatory disclosure is influenced by its affiliation with a recognized MNC. This is because the MNC’s demand a greater amount of information than is required by local re</w:t>
      </w:r>
      <w:r w:rsidR="00F00325" w:rsidRPr="008573C5">
        <w:t>gulations from their affiliates. A</w:t>
      </w:r>
      <w:r w:rsidR="0078268F" w:rsidRPr="008573C5">
        <w:t>lso</w:t>
      </w:r>
      <w:r w:rsidR="00F00325" w:rsidRPr="008573C5">
        <w:t>,</w:t>
      </w:r>
      <w:r w:rsidR="0078268F" w:rsidRPr="008573C5">
        <w:t xml:space="preserve"> the political costs of affiliates of MNCs are relatively high. </w:t>
      </w:r>
      <w:r w:rsidR="00F00325" w:rsidRPr="008573C5">
        <w:t>O</w:t>
      </w:r>
      <w:r w:rsidR="0078268F" w:rsidRPr="008573C5">
        <w:t>perations of MNCs and their local affiliates are frequently evaluated and monitored by international governmental agencies such as the United Nations. With these factors, MNCs are more likely to insist on full compliance with all statutory and regulatory requirements of the host countries by their affiliates. Moreover, it enhances their bargaining powers with their host countries</w:t>
      </w:r>
      <w:r w:rsidR="00BD5331" w:rsidRPr="008573C5">
        <w:t xml:space="preserve"> (</w:t>
      </w:r>
      <w:r w:rsidR="0078268F" w:rsidRPr="008573C5">
        <w:t xml:space="preserve">Owusu-Ansah, 1998:615). </w:t>
      </w:r>
      <w:r w:rsidR="00353194" w:rsidRPr="008573C5">
        <w:t xml:space="preserve">According to </w:t>
      </w:r>
      <w:r w:rsidR="0078268F" w:rsidRPr="008573C5">
        <w:t xml:space="preserve">Owusu-Ansah, (1998:615) </w:t>
      </w:r>
      <w:r w:rsidR="00353194" w:rsidRPr="008573C5">
        <w:t>m</w:t>
      </w:r>
      <w:r w:rsidR="0078268F" w:rsidRPr="008573C5">
        <w:t xml:space="preserve">ost multinationals use sophisticated accounting systems that are usually transplanted in their affiliates. So by adoption, these affiliates are likely to operate a similar sophisticated accounting and reporting system like their multinational parent. This means the cost of producing information will be lesser than information costs incurred by local firms with no multinational parent. This will enable them to disclose detailed information at minimal costs. </w:t>
      </w:r>
    </w:p>
    <w:p w:rsidR="0078268F" w:rsidRPr="008573C5" w:rsidRDefault="0078268F" w:rsidP="0078268F">
      <w:pPr>
        <w:autoSpaceDE w:val="0"/>
        <w:autoSpaceDN w:val="0"/>
        <w:adjustRightInd w:val="0"/>
        <w:spacing w:line="360" w:lineRule="auto"/>
        <w:jc w:val="both"/>
        <w:rPr>
          <w:rFonts w:ascii="Times" w:hAnsi="Times" w:cs="Times"/>
        </w:rPr>
      </w:pPr>
    </w:p>
    <w:p w:rsidR="00472D0D" w:rsidRPr="008573C5" w:rsidRDefault="00ED04EC" w:rsidP="001F60B6">
      <w:pPr>
        <w:tabs>
          <w:tab w:val="left" w:pos="720"/>
          <w:tab w:val="left" w:pos="1440"/>
          <w:tab w:val="left" w:pos="1860"/>
        </w:tabs>
        <w:spacing w:line="360" w:lineRule="auto"/>
        <w:rPr>
          <w:b/>
          <w:sz w:val="28"/>
          <w:szCs w:val="28"/>
        </w:rPr>
      </w:pPr>
      <w:r w:rsidRPr="008573C5">
        <w:rPr>
          <w:b/>
          <w:sz w:val="28"/>
          <w:szCs w:val="28"/>
        </w:rPr>
        <w:t>5.2</w:t>
      </w:r>
      <w:r w:rsidRPr="008573C5">
        <w:rPr>
          <w:b/>
          <w:sz w:val="28"/>
          <w:szCs w:val="28"/>
        </w:rPr>
        <w:tab/>
      </w:r>
      <w:r w:rsidR="000A4921" w:rsidRPr="008573C5">
        <w:rPr>
          <w:b/>
          <w:sz w:val="28"/>
          <w:szCs w:val="28"/>
        </w:rPr>
        <w:t xml:space="preserve">Summary of </w:t>
      </w:r>
      <w:r w:rsidRPr="008573C5">
        <w:rPr>
          <w:b/>
          <w:sz w:val="28"/>
          <w:szCs w:val="28"/>
        </w:rPr>
        <w:t>E</w:t>
      </w:r>
      <w:r w:rsidR="002D548A" w:rsidRPr="008573C5">
        <w:rPr>
          <w:b/>
          <w:sz w:val="28"/>
          <w:szCs w:val="28"/>
        </w:rPr>
        <w:t>mpirical Findings</w:t>
      </w:r>
    </w:p>
    <w:p w:rsidR="00FD2DFC" w:rsidRPr="008573C5" w:rsidRDefault="00FD2DFC" w:rsidP="00537E4D">
      <w:pPr>
        <w:autoSpaceDE w:val="0"/>
        <w:autoSpaceDN w:val="0"/>
        <w:adjustRightInd w:val="0"/>
        <w:jc w:val="both"/>
        <w:rPr>
          <w:b/>
        </w:rPr>
      </w:pPr>
      <w:r w:rsidRPr="008573C5">
        <w:rPr>
          <w:b/>
          <w:lang w:val="en-GB"/>
        </w:rPr>
        <w:t xml:space="preserve">Research Question 1: </w:t>
      </w:r>
      <w:r w:rsidRPr="008573C5">
        <w:rPr>
          <w:b/>
        </w:rPr>
        <w:t xml:space="preserve">What is the extent of compliance of listed financial and non-financial Nigerian companies with the required disclosures of the National Accounting Standard Board (NASB)? </w:t>
      </w:r>
    </w:p>
    <w:p w:rsidR="00FD2DFC" w:rsidRPr="008573C5" w:rsidRDefault="00FD2DFC" w:rsidP="001F60B6">
      <w:pPr>
        <w:spacing w:line="360" w:lineRule="auto"/>
        <w:jc w:val="both"/>
        <w:rPr>
          <w:lang w:val="en-GB"/>
        </w:rPr>
      </w:pPr>
    </w:p>
    <w:p w:rsidR="008A6966" w:rsidRPr="008573C5" w:rsidRDefault="009E2B5A" w:rsidP="001F60B6">
      <w:pPr>
        <w:spacing w:line="360" w:lineRule="auto"/>
        <w:jc w:val="both"/>
      </w:pPr>
      <w:r w:rsidRPr="008573C5">
        <w:t xml:space="preserve">Empirical findings </w:t>
      </w:r>
      <w:r w:rsidR="00892C95" w:rsidRPr="008573C5">
        <w:t xml:space="preserve">from the content analysis of the annual reports </w:t>
      </w:r>
      <w:r w:rsidRPr="008573C5">
        <w:t xml:space="preserve">reveal that the mean disclosure levels </w:t>
      </w:r>
      <w:r w:rsidR="00C26C8D" w:rsidRPr="008573C5">
        <w:t>were</w:t>
      </w:r>
      <w:r w:rsidRPr="008573C5">
        <w:t xml:space="preserve"> 0.8970 and 0.8770 for financial and non-financial companies respectively. </w:t>
      </w:r>
      <w:r w:rsidR="00892C95" w:rsidRPr="008573C5">
        <w:t xml:space="preserve">This is in line with the primary data analysis in which </w:t>
      </w:r>
      <w:r w:rsidR="00892C95" w:rsidRPr="008573C5">
        <w:rPr>
          <w:lang w:val="en-GB"/>
        </w:rPr>
        <w:t xml:space="preserve">respondents are of the opinion that the financial companies comply more than the non-financial companies with the disclosure requirements of the SASs. </w:t>
      </w:r>
      <w:r w:rsidRPr="008573C5">
        <w:t xml:space="preserve">The independent samples t-test conducted to compare the SAS disclosure level for financial and non-financial listed companies reveal that there </w:t>
      </w:r>
      <w:r w:rsidR="0076097A" w:rsidRPr="008573C5">
        <w:t>i</w:t>
      </w:r>
      <w:r w:rsidR="00C26C8D" w:rsidRPr="008573C5">
        <w:t>s</w:t>
      </w:r>
      <w:r w:rsidRPr="008573C5">
        <w:t xml:space="preserve"> no significant difference in disclosure levels for financial and non-financial listed companies. t (88) = 1.236</w:t>
      </w:r>
      <w:r w:rsidR="00052DFC" w:rsidRPr="008573C5">
        <w:t>, p=.22 and eta squared = 0.017</w:t>
      </w:r>
      <w:r w:rsidRPr="008573C5">
        <w:t>. This shows that the magnitude</w:t>
      </w:r>
      <w:r w:rsidR="0076097A" w:rsidRPr="008573C5">
        <w:t xml:space="preserve"> of the differences in the mean</w:t>
      </w:r>
      <w:r w:rsidRPr="008573C5">
        <w:t xml:space="preserve"> is very small. The result confirm</w:t>
      </w:r>
      <w:r w:rsidR="00FD3D02" w:rsidRPr="008573C5">
        <w:t>s</w:t>
      </w:r>
      <w:r w:rsidRPr="008573C5">
        <w:t xml:space="preserve"> that both the </w:t>
      </w:r>
      <w:r w:rsidR="007E504E" w:rsidRPr="008573C5">
        <w:t xml:space="preserve">financial and non-financial companies </w:t>
      </w:r>
      <w:r w:rsidR="00FD3D02" w:rsidRPr="008573C5">
        <w:t>are</w:t>
      </w:r>
      <w:r w:rsidR="007E504E" w:rsidRPr="008573C5">
        <w:t xml:space="preserve"> not fully complying with the disclosure require</w:t>
      </w:r>
      <w:r w:rsidR="008A6966" w:rsidRPr="008573C5">
        <w:t xml:space="preserve">ments of the NASB. </w:t>
      </w:r>
      <w:r w:rsidR="00821D73" w:rsidRPr="008573C5">
        <w:t xml:space="preserve">This is in congruence with the studies of Wallace (1988:362), </w:t>
      </w:r>
      <w:r w:rsidR="00821D73" w:rsidRPr="008573C5">
        <w:rPr>
          <w:bCs/>
        </w:rPr>
        <w:t xml:space="preserve">World Bank (2004:12) </w:t>
      </w:r>
      <w:r w:rsidR="00821D73" w:rsidRPr="008573C5">
        <w:t>and Adeyemi (2006).</w:t>
      </w:r>
      <w:r w:rsidR="00892C95" w:rsidRPr="008573C5">
        <w:t xml:space="preserve"> </w:t>
      </w:r>
    </w:p>
    <w:p w:rsidR="008A6966" w:rsidRPr="008573C5" w:rsidRDefault="008A6966" w:rsidP="001F60B6">
      <w:pPr>
        <w:spacing w:line="360" w:lineRule="auto"/>
        <w:jc w:val="both"/>
      </w:pPr>
    </w:p>
    <w:p w:rsidR="008A6966" w:rsidRPr="008573C5" w:rsidRDefault="008A6966" w:rsidP="00537E4D">
      <w:pPr>
        <w:autoSpaceDE w:val="0"/>
        <w:autoSpaceDN w:val="0"/>
        <w:adjustRightInd w:val="0"/>
        <w:jc w:val="both"/>
        <w:rPr>
          <w:b/>
        </w:rPr>
      </w:pPr>
      <w:r w:rsidRPr="008573C5">
        <w:rPr>
          <w:b/>
        </w:rPr>
        <w:t xml:space="preserve">Research Question 2: What is the extent of compliance of listed financial and non-financial Nigerian companies with the required disclosures of IAS/IFRSs that are not contained in the SASs? </w:t>
      </w:r>
    </w:p>
    <w:p w:rsidR="009E2B5A" w:rsidRPr="008573C5" w:rsidRDefault="007E504E" w:rsidP="001F60B6">
      <w:pPr>
        <w:spacing w:line="360" w:lineRule="auto"/>
        <w:jc w:val="both"/>
      </w:pPr>
      <w:r w:rsidRPr="008573C5">
        <w:t xml:space="preserve"> </w:t>
      </w:r>
    </w:p>
    <w:p w:rsidR="009C6FAC" w:rsidRPr="008573C5" w:rsidRDefault="00C40AE4" w:rsidP="007A27A9">
      <w:pPr>
        <w:spacing w:before="100" w:beforeAutospacing="1" w:after="100" w:afterAutospacing="1" w:line="360" w:lineRule="auto"/>
        <w:jc w:val="both"/>
      </w:pPr>
      <w:r w:rsidRPr="008573C5">
        <w:rPr>
          <w:lang w:val="en-GB"/>
        </w:rPr>
        <w:t xml:space="preserve">The </w:t>
      </w:r>
      <w:r w:rsidR="008A6966" w:rsidRPr="008573C5">
        <w:rPr>
          <w:lang w:val="en-GB"/>
        </w:rPr>
        <w:t xml:space="preserve">content analysis of the annual report reported a mean value of 0.6032 for the financial </w:t>
      </w:r>
      <w:r w:rsidR="00600615" w:rsidRPr="008573C5">
        <w:rPr>
          <w:lang w:val="en-GB"/>
        </w:rPr>
        <w:t>companies and 0.5256 for the non-financial companies</w:t>
      </w:r>
      <w:r w:rsidR="009C6FAC" w:rsidRPr="008573C5">
        <w:rPr>
          <w:lang w:val="en-GB"/>
        </w:rPr>
        <w:t xml:space="preserve"> for required disclosures of IASs/IFRSs that are not contained in the SASs</w:t>
      </w:r>
      <w:r w:rsidR="00600615" w:rsidRPr="008573C5">
        <w:rPr>
          <w:lang w:val="en-GB"/>
        </w:rPr>
        <w:t xml:space="preserve">. </w:t>
      </w:r>
      <w:r w:rsidR="009C6FAC" w:rsidRPr="008573C5">
        <w:rPr>
          <w:lang w:val="en-GB"/>
        </w:rPr>
        <w:t xml:space="preserve">The disparity </w:t>
      </w:r>
      <w:r w:rsidR="00600615" w:rsidRPr="008573C5">
        <w:rPr>
          <w:lang w:val="en-GB"/>
        </w:rPr>
        <w:t>b</w:t>
      </w:r>
      <w:r w:rsidR="009C6FAC" w:rsidRPr="008573C5">
        <w:rPr>
          <w:lang w:val="en-GB"/>
        </w:rPr>
        <w:t xml:space="preserve">etween the mean is 0.0776. </w:t>
      </w:r>
      <w:r w:rsidR="006E3EC2" w:rsidRPr="008573C5">
        <w:rPr>
          <w:lang w:val="en-GB"/>
        </w:rPr>
        <w:t xml:space="preserve">The analysis of the primary data </w:t>
      </w:r>
      <w:r w:rsidR="00104F3B" w:rsidRPr="008573C5">
        <w:rPr>
          <w:lang w:val="en-GB"/>
        </w:rPr>
        <w:t xml:space="preserve">is in line with the secondary data. The primary data </w:t>
      </w:r>
      <w:r w:rsidR="006E3EC2" w:rsidRPr="008573C5">
        <w:rPr>
          <w:lang w:val="en-GB"/>
        </w:rPr>
        <w:t>reveal that 7</w:t>
      </w:r>
      <w:r w:rsidR="006E3EC2" w:rsidRPr="008573C5">
        <w:t xml:space="preserve">4.7% and 56.5% of the respondents are affirmative that listed financial and non-financial companies respectively usually apply relevant IASs/IFRSs in areas where there are no local accounting standards. </w:t>
      </w:r>
      <w:r w:rsidR="009C6FAC" w:rsidRPr="008573C5">
        <w:rPr>
          <w:lang w:val="en-GB"/>
        </w:rPr>
        <w:t xml:space="preserve">The result </w:t>
      </w:r>
      <w:r w:rsidR="009C6FAC" w:rsidRPr="008573C5">
        <w:t xml:space="preserve">of the independent samples t-test conducted reveals </w:t>
      </w:r>
      <w:r w:rsidR="002805FF" w:rsidRPr="008573C5">
        <w:t>t</w:t>
      </w:r>
      <w:r w:rsidR="009C6FAC" w:rsidRPr="008573C5">
        <w:t>here is a significant difference in disclosure levels for financial (M=0.6032, SD=.1647), and non-financial listed companies (M= .5256, SD= .1280); t (88) = 2.445, p=.016. The magnitude</w:t>
      </w:r>
      <w:r w:rsidR="0076097A" w:rsidRPr="008573C5">
        <w:t xml:space="preserve"> of the differences in the mean is</w:t>
      </w:r>
      <w:r w:rsidR="009C6FAC" w:rsidRPr="008573C5">
        <w:t xml:space="preserve"> moderate (eta squared = 0.064).</w:t>
      </w:r>
      <w:r w:rsidR="002805FF" w:rsidRPr="008573C5">
        <w:t xml:space="preserve"> </w:t>
      </w:r>
      <w:r w:rsidR="00821D73" w:rsidRPr="008573C5">
        <w:t>The complianc</w:t>
      </w:r>
      <w:r w:rsidR="00C02496" w:rsidRPr="008573C5">
        <w:t>e of the banks can be attribut</w:t>
      </w:r>
      <w:r w:rsidR="00DB789D" w:rsidRPr="008573C5">
        <w:t>ed</w:t>
      </w:r>
      <w:r w:rsidR="00821D73" w:rsidRPr="008573C5">
        <w:t xml:space="preserve"> to the capitalization of the banking sector. The growth in the capital base and global competition </w:t>
      </w:r>
      <w:r w:rsidR="00AD6AC4" w:rsidRPr="008573C5">
        <w:t>had encouraged their</w:t>
      </w:r>
      <w:r w:rsidR="00821D73" w:rsidRPr="008573C5">
        <w:t xml:space="preserve"> compliance with relevant IASs/IFRSs.</w:t>
      </w:r>
      <w:r w:rsidR="002805FF" w:rsidRPr="008573C5">
        <w:t xml:space="preserve"> For example, IFRS 3 </w:t>
      </w:r>
      <w:r w:rsidR="00C02496" w:rsidRPr="008573C5">
        <w:t>(</w:t>
      </w:r>
      <w:r w:rsidR="002805FF" w:rsidRPr="008573C5">
        <w:t xml:space="preserve">Business Combinations) was predominantly disclosed by </w:t>
      </w:r>
      <w:r w:rsidR="00821D73" w:rsidRPr="008573C5">
        <w:t>most</w:t>
      </w:r>
      <w:r w:rsidR="002805FF" w:rsidRPr="008573C5">
        <w:t xml:space="preserve"> banks </w:t>
      </w:r>
      <w:r w:rsidR="00821D73" w:rsidRPr="008573C5">
        <w:t xml:space="preserve">due to their involvement in </w:t>
      </w:r>
      <w:r w:rsidR="00F338AB" w:rsidRPr="008573C5">
        <w:t>merger</w:t>
      </w:r>
      <w:r w:rsidR="00821D73" w:rsidRPr="008573C5">
        <w:t>s</w:t>
      </w:r>
      <w:r w:rsidR="00F338AB" w:rsidRPr="008573C5">
        <w:t xml:space="preserve"> and acquisition</w:t>
      </w:r>
      <w:r w:rsidR="00821D73" w:rsidRPr="008573C5">
        <w:t>s</w:t>
      </w:r>
      <w:r w:rsidR="00F338AB" w:rsidRPr="008573C5">
        <w:t>.</w:t>
      </w:r>
    </w:p>
    <w:p w:rsidR="00524632" w:rsidRPr="008573C5" w:rsidRDefault="00524632" w:rsidP="00537E4D">
      <w:pPr>
        <w:spacing w:before="100" w:beforeAutospacing="1" w:after="100" w:afterAutospacing="1"/>
        <w:jc w:val="both"/>
        <w:rPr>
          <w:b/>
        </w:rPr>
      </w:pPr>
      <w:r w:rsidRPr="008573C5">
        <w:rPr>
          <w:b/>
        </w:rPr>
        <w:t>Research Question 3: Do Nigerian financial and non-financial listed companies disclose discretionary information more than the minimum required by accounting standards?</w:t>
      </w:r>
    </w:p>
    <w:p w:rsidR="00524632" w:rsidRPr="008573C5" w:rsidRDefault="00524632" w:rsidP="00524632">
      <w:pPr>
        <w:spacing w:line="360" w:lineRule="auto"/>
        <w:jc w:val="both"/>
      </w:pPr>
      <w:r w:rsidRPr="008573C5">
        <w:t xml:space="preserve">The empirical result shows that the level of voluntary disclosure is quite low for both financial </w:t>
      </w:r>
      <w:r w:rsidR="00411661" w:rsidRPr="008573C5">
        <w:t xml:space="preserve">(M=0.3776, SD=.1362) </w:t>
      </w:r>
      <w:r w:rsidRPr="008573C5">
        <w:t>and non-financial</w:t>
      </w:r>
      <w:r w:rsidR="00411661" w:rsidRPr="008573C5">
        <w:t xml:space="preserve"> (M= .3723, SD= .1618)</w:t>
      </w:r>
      <w:r w:rsidRPr="008573C5">
        <w:t xml:space="preserve"> listed companies</w:t>
      </w:r>
      <w:r w:rsidR="00CE284F" w:rsidRPr="008573C5">
        <w:t>. The</w:t>
      </w:r>
      <w:r w:rsidRPr="008573C5">
        <w:t xml:space="preserve"> result of the independent samples t-test conducted </w:t>
      </w:r>
      <w:r w:rsidR="00411661" w:rsidRPr="008573C5">
        <w:t>shows t</w:t>
      </w:r>
      <w:r w:rsidRPr="008573C5">
        <w:t>here is no significant difference in disclosure levels for financial, and non-financial listed companies</w:t>
      </w:r>
      <w:r w:rsidR="00C456A6" w:rsidRPr="008573C5">
        <w:t xml:space="preserve">. This finding is further </w:t>
      </w:r>
      <w:r w:rsidR="00DB789D" w:rsidRPr="008573C5">
        <w:t>examined</w:t>
      </w:r>
      <w:r w:rsidR="00C456A6" w:rsidRPr="008573C5">
        <w:t xml:space="preserve"> by using </w:t>
      </w:r>
      <w:r w:rsidR="00411661" w:rsidRPr="008573C5">
        <w:t>Cluster analysis</w:t>
      </w:r>
      <w:r w:rsidR="00C456A6" w:rsidRPr="008573C5">
        <w:t>. The</w:t>
      </w:r>
      <w:r w:rsidR="00411661" w:rsidRPr="008573C5">
        <w:t xml:space="preserve"> </w:t>
      </w:r>
      <w:r w:rsidR="00C456A6" w:rsidRPr="008573C5">
        <w:t>clusters identified in the dendrogram are classified into five groups</w:t>
      </w:r>
      <w:r w:rsidR="00411661" w:rsidRPr="008573C5">
        <w:t>: group one, twenty nine companies; group two, thirty one companies; group three, three companies; group four, twelve companies; and group five, fifteen companies.</w:t>
      </w:r>
      <w:r w:rsidR="00C456A6" w:rsidRPr="008573C5">
        <w:t xml:space="preserve"> The result reveals that  in Group 3 (Dunlop  Nigeria Plc., First Bank of Nigeria Plc. Zenith Bank Plc.) disclosed the highest qu</w:t>
      </w:r>
      <w:r w:rsidR="0076097A" w:rsidRPr="008573C5">
        <w:t>antity of voluntary information. Th</w:t>
      </w:r>
      <w:r w:rsidR="00C456A6" w:rsidRPr="008573C5">
        <w:t>e average disc</w:t>
      </w:r>
      <w:r w:rsidR="00DB789D" w:rsidRPr="008573C5">
        <w:t>losure for this group is 63.34%;</w:t>
      </w:r>
      <w:r w:rsidR="00C456A6" w:rsidRPr="008573C5">
        <w:t xml:space="preserve"> this is followed by group 1 (55.85), group 2 (43.3%), group 4 (20%) and group 5 (2.67%). The level of voluntary disclosure by listed companies is generally low.</w:t>
      </w:r>
    </w:p>
    <w:p w:rsidR="002805FF" w:rsidRPr="008573C5" w:rsidRDefault="002805FF" w:rsidP="009C6FAC">
      <w:pPr>
        <w:spacing w:line="360" w:lineRule="auto"/>
        <w:jc w:val="both"/>
      </w:pPr>
    </w:p>
    <w:p w:rsidR="007C2211" w:rsidRPr="008573C5" w:rsidRDefault="007C2211" w:rsidP="00537E4D">
      <w:pPr>
        <w:spacing w:before="100" w:beforeAutospacing="1" w:after="100" w:afterAutospacing="1"/>
        <w:jc w:val="both"/>
        <w:rPr>
          <w:b/>
        </w:rPr>
      </w:pPr>
      <w:r w:rsidRPr="008573C5">
        <w:rPr>
          <w:b/>
        </w:rPr>
        <w:t xml:space="preserve">Research Question 4: What are the primary factors attributable to the overall levels of disclosure? </w:t>
      </w:r>
    </w:p>
    <w:p w:rsidR="00276727" w:rsidRPr="008573C5" w:rsidRDefault="006A09F9" w:rsidP="007A27A9">
      <w:pPr>
        <w:spacing w:before="100" w:beforeAutospacing="1" w:after="100" w:afterAutospacing="1" w:line="360" w:lineRule="auto"/>
        <w:jc w:val="both"/>
        <w:rPr>
          <w:lang w:val="en-GB"/>
        </w:rPr>
      </w:pPr>
      <w:r w:rsidRPr="008573C5">
        <w:t>The</w:t>
      </w:r>
      <w:r w:rsidR="00BC62DA" w:rsidRPr="008573C5">
        <w:t xml:space="preserve"> company analysis on</w:t>
      </w:r>
      <w:r w:rsidRPr="008573C5">
        <w:t xml:space="preserve"> ove</w:t>
      </w:r>
      <w:r w:rsidR="0076097A" w:rsidRPr="008573C5">
        <w:t>rall disclosure level features</w:t>
      </w:r>
      <w:r w:rsidRPr="008573C5">
        <w:t xml:space="preserve"> three banks top</w:t>
      </w:r>
      <w:r w:rsidR="00AD6AC4" w:rsidRPr="008573C5">
        <w:t>p</w:t>
      </w:r>
      <w:r w:rsidRPr="008573C5">
        <w:t xml:space="preserve">ing the list, they </w:t>
      </w:r>
      <w:r w:rsidR="00AD6AC4" w:rsidRPr="008573C5">
        <w:t>were</w:t>
      </w:r>
      <w:r w:rsidRPr="008573C5">
        <w:t xml:space="preserve">: First Bank of Nigeria Plc (0.7878), Ecobank Transnational Inc (0.7532) and United Bank of Africa Plc (0.7520). At the bottom </w:t>
      </w:r>
      <w:r w:rsidR="00BC62DA" w:rsidRPr="008573C5">
        <w:t>of the list</w:t>
      </w:r>
      <w:r w:rsidR="00AD6AC4" w:rsidRPr="008573C5">
        <w:t xml:space="preserve"> </w:t>
      </w:r>
      <w:r w:rsidR="0076097A" w:rsidRPr="008573C5">
        <w:t xml:space="preserve">are </w:t>
      </w:r>
      <w:r w:rsidRPr="008573C5">
        <w:t>Afprint Nigeria Plc.(0.4132), Starco Insurance Plc. (0.4056) and lastly SCOA Nigeria Plc.(0.3732). This implies that the banking sector in Nigeria has maintained a high standard of information disclosure which could be attributed to the reform, regulation and competition in the banking sector in Nigeria.</w:t>
      </w:r>
    </w:p>
    <w:p w:rsidR="00BC62DA" w:rsidRPr="008573C5" w:rsidRDefault="00BC62DA" w:rsidP="001F60B6">
      <w:pPr>
        <w:spacing w:line="360" w:lineRule="auto"/>
        <w:jc w:val="both"/>
      </w:pPr>
      <w:r w:rsidRPr="008573C5">
        <w:rPr>
          <w:lang w:val="en-GB"/>
        </w:rPr>
        <w:t xml:space="preserve">In the </w:t>
      </w:r>
      <w:r w:rsidRPr="008573C5">
        <w:t xml:space="preserve">standard-by-standard breakdown, </w:t>
      </w:r>
      <w:r w:rsidR="00FD3D02" w:rsidRPr="008573C5">
        <w:t>study finds</w:t>
      </w:r>
      <w:r w:rsidRPr="008573C5">
        <w:t xml:space="preserve"> that the compliance level </w:t>
      </w:r>
      <w:r w:rsidR="00FD3D02" w:rsidRPr="008573C5">
        <w:t>is</w:t>
      </w:r>
      <w:r w:rsidRPr="008573C5">
        <w:t xml:space="preserve"> relatively high for SAS 2, 4, 7, 9, 13, 18, and 19 with an average above 90%. The lowest level of compliance </w:t>
      </w:r>
      <w:r w:rsidR="00FD3D02" w:rsidRPr="008573C5">
        <w:t>is</w:t>
      </w:r>
      <w:r w:rsidRPr="008573C5">
        <w:t xml:space="preserve"> found for SAS 21 with a mean of 0.52. The compliance lev</w:t>
      </w:r>
      <w:r w:rsidR="0076097A" w:rsidRPr="008573C5">
        <w:t>el of SAS 1, 3, and 8 ranges</w:t>
      </w:r>
      <w:r w:rsidRPr="008573C5">
        <w:t xml:space="preserve"> between 0.70 and 0.89. The number of companies that actually disclosed information on SAS 22 and SAS 23 </w:t>
      </w:r>
      <w:r w:rsidR="00FD3D02" w:rsidRPr="008573C5">
        <w:t>are</w:t>
      </w:r>
      <w:r w:rsidRPr="008573C5">
        <w:t xml:space="preserve"> 5 and 37 respectively out of 90 with a compliance level ranging between 0.90 and 0.98. For IFRSs, more than half of the companies i.e. between 54 and 87 companies report partly on IAS 10, IAS 16, IAS 18 and IAS 24. A few companies compl</w:t>
      </w:r>
      <w:r w:rsidR="0076097A" w:rsidRPr="008573C5">
        <w:t>y</w:t>
      </w:r>
      <w:r w:rsidRPr="008573C5">
        <w:t xml:space="preserve"> partially with IAS 14, IAS 21, IAS23, IAS27, IAS28, IAS32, IAS 36, IAS 38, IAS 40 and IFRS 3 while IAS 2, IAS 12, IAS 20, IAS 31 and IFRS 2 </w:t>
      </w:r>
      <w:r w:rsidR="00FD3D02" w:rsidRPr="008573C5">
        <w:t>are</w:t>
      </w:r>
      <w:r w:rsidRPr="008573C5">
        <w:t xml:space="preserve"> hardly disclosed by the companies. Of all these companies</w:t>
      </w:r>
      <w:r w:rsidR="0076097A" w:rsidRPr="008573C5">
        <w:t>,</w:t>
      </w:r>
      <w:r w:rsidRPr="008573C5">
        <w:t xml:space="preserve"> the banking industry witnesse</w:t>
      </w:r>
      <w:r w:rsidR="0076097A" w:rsidRPr="008573C5">
        <w:t>s</w:t>
      </w:r>
      <w:r w:rsidRPr="008573C5">
        <w:t xml:space="preserve"> the highest disclosure on seventeen standards. </w:t>
      </w:r>
    </w:p>
    <w:p w:rsidR="00121CAD" w:rsidRPr="008573C5" w:rsidRDefault="00FD393B" w:rsidP="001F60B6">
      <w:pPr>
        <w:tabs>
          <w:tab w:val="left" w:pos="7320"/>
        </w:tabs>
        <w:spacing w:before="240" w:line="360" w:lineRule="auto"/>
        <w:jc w:val="both"/>
      </w:pPr>
      <w:r w:rsidRPr="008573C5">
        <w:t xml:space="preserve">Our core </w:t>
      </w:r>
      <w:r w:rsidR="00FD2DFC" w:rsidRPr="008573C5">
        <w:t>equation A</w:t>
      </w:r>
      <w:r w:rsidR="00121CAD" w:rsidRPr="008573C5">
        <w:rPr>
          <w:vertAlign w:val="subscript"/>
        </w:rPr>
        <w:t>1</w:t>
      </w:r>
      <w:r w:rsidR="00FD2DFC" w:rsidRPr="008573C5">
        <w:rPr>
          <w:vertAlign w:val="subscript"/>
        </w:rPr>
        <w:t>3</w:t>
      </w:r>
      <w:r w:rsidR="0076097A" w:rsidRPr="008573C5">
        <w:t>, uses</w:t>
      </w:r>
      <w:r w:rsidR="00F442DE" w:rsidRPr="008573C5">
        <w:t xml:space="preserve"> ranked over</w:t>
      </w:r>
      <w:r w:rsidRPr="008573C5">
        <w:t>all disclosure index as dependent variable. In the estimation result</w:t>
      </w:r>
      <w:r w:rsidR="00425FEB" w:rsidRPr="008573C5">
        <w:t>,</w:t>
      </w:r>
      <w:r w:rsidRPr="008573C5">
        <w:t xml:space="preserve"> </w:t>
      </w:r>
      <w:r w:rsidR="00B92FC4" w:rsidRPr="008573C5">
        <w:t>the</w:t>
      </w:r>
      <w:r w:rsidR="00F442DE" w:rsidRPr="008573C5">
        <w:t xml:space="preserve"> </w:t>
      </w:r>
      <w:r w:rsidR="00121CAD" w:rsidRPr="008573C5">
        <w:t>F</w:t>
      </w:r>
      <w:r w:rsidR="00B92FC4" w:rsidRPr="008573C5">
        <w:t>-Statistics</w:t>
      </w:r>
      <w:r w:rsidR="00121CAD" w:rsidRPr="008573C5">
        <w:t xml:space="preserve"> value </w:t>
      </w:r>
      <w:r w:rsidRPr="008573C5">
        <w:t>is</w:t>
      </w:r>
      <w:r w:rsidR="00121CAD" w:rsidRPr="008573C5">
        <w:t xml:space="preserve"> </w:t>
      </w:r>
      <w:r w:rsidR="00B92FC4" w:rsidRPr="008573C5">
        <w:t>18.144</w:t>
      </w:r>
      <w:r w:rsidR="00425FEB" w:rsidRPr="008573C5">
        <w:t xml:space="preserve"> at p &lt; 0.001</w:t>
      </w:r>
      <w:r w:rsidR="00121CAD" w:rsidRPr="008573C5">
        <w:t xml:space="preserve"> indicating the model as a whole is well specified. The t-statistics is positive for size, profitability, auditor type, sector and multinational parent and negative for leverage and productivity. Company size and auditor type </w:t>
      </w:r>
      <w:r w:rsidR="00FD3D02" w:rsidRPr="008573C5">
        <w:t>are</w:t>
      </w:r>
      <w:r w:rsidR="00121CAD" w:rsidRPr="008573C5">
        <w:t xml:space="preserve"> the only two variables that are significant</w:t>
      </w:r>
      <w:r w:rsidR="00F442DE" w:rsidRPr="008573C5">
        <w:t>ly and positively associated with accounting disclosures</w:t>
      </w:r>
      <w:r w:rsidR="00121CAD" w:rsidRPr="008573C5">
        <w:t xml:space="preserve"> at p &lt; 0.01. The other five variables, profitability, leverage, productivity, sector and multinational</w:t>
      </w:r>
      <w:r w:rsidR="00425FEB" w:rsidRPr="008573C5">
        <w:t>ity</w:t>
      </w:r>
      <w:r w:rsidR="00121CAD" w:rsidRPr="008573C5">
        <w:t xml:space="preserve"> </w:t>
      </w:r>
      <w:r w:rsidR="00FD3D02" w:rsidRPr="008573C5">
        <w:t>are</w:t>
      </w:r>
      <w:r w:rsidR="00F442DE" w:rsidRPr="008573C5">
        <w:t xml:space="preserve"> not found to have explanatory power.</w:t>
      </w:r>
    </w:p>
    <w:p w:rsidR="008F4A20" w:rsidRPr="008573C5" w:rsidRDefault="005A5281" w:rsidP="001F60B6">
      <w:pPr>
        <w:tabs>
          <w:tab w:val="left" w:pos="7320"/>
        </w:tabs>
        <w:spacing w:before="240" w:line="360" w:lineRule="auto"/>
        <w:jc w:val="both"/>
      </w:pPr>
      <w:r w:rsidRPr="008573C5">
        <w:t>While</w:t>
      </w:r>
      <w:r w:rsidR="008F4A20" w:rsidRPr="008573C5">
        <w:t xml:space="preserve"> classifying the disclosures</w:t>
      </w:r>
      <w:r w:rsidR="009A1D33" w:rsidRPr="008573C5">
        <w:t xml:space="preserve"> indices</w:t>
      </w:r>
      <w:r w:rsidR="008F4A20" w:rsidRPr="008573C5">
        <w:t xml:space="preserve"> into </w:t>
      </w:r>
      <w:r w:rsidRPr="008573C5">
        <w:t>three</w:t>
      </w:r>
      <w:r w:rsidR="008F4A20" w:rsidRPr="008573C5">
        <w:t xml:space="preserve"> </w:t>
      </w:r>
      <w:r w:rsidR="009A1D33" w:rsidRPr="008573C5">
        <w:t>sub ind</w:t>
      </w:r>
      <w:r w:rsidRPr="008573C5">
        <w:t>ices -</w:t>
      </w:r>
      <w:r w:rsidR="009A1D33" w:rsidRPr="008573C5">
        <w:t>DISAS,DI</w:t>
      </w:r>
      <w:r w:rsidR="008F4A20" w:rsidRPr="008573C5">
        <w:t xml:space="preserve">FRS, and </w:t>
      </w:r>
      <w:r w:rsidR="009A1D33" w:rsidRPr="008573C5">
        <w:t>DIVol,</w:t>
      </w:r>
      <w:r w:rsidR="008F4A20" w:rsidRPr="008573C5">
        <w:t xml:space="preserve"> </w:t>
      </w:r>
      <w:r w:rsidR="009A1D33" w:rsidRPr="008573C5">
        <w:t>and using them as dependent variables, i</w:t>
      </w:r>
      <w:r w:rsidRPr="008573C5">
        <w:t>t i</w:t>
      </w:r>
      <w:r w:rsidR="008F4A20" w:rsidRPr="008573C5">
        <w:t xml:space="preserve">s </w:t>
      </w:r>
      <w:r w:rsidR="00F442DE" w:rsidRPr="008573C5">
        <w:t>still</w:t>
      </w:r>
      <w:r w:rsidRPr="008573C5">
        <w:t xml:space="preserve"> observed </w:t>
      </w:r>
      <w:r w:rsidR="00DF619B" w:rsidRPr="008573C5">
        <w:t>that the result insist</w:t>
      </w:r>
      <w:r w:rsidRPr="008573C5">
        <w:t>s</w:t>
      </w:r>
      <w:r w:rsidR="00DF619B" w:rsidRPr="008573C5">
        <w:t xml:space="preserve"> on the influence of company</w:t>
      </w:r>
      <w:r w:rsidR="00F442DE" w:rsidRPr="008573C5">
        <w:t xml:space="preserve"> size and auditor type</w:t>
      </w:r>
      <w:r w:rsidR="00DF619B" w:rsidRPr="008573C5">
        <w:t>. The</w:t>
      </w:r>
      <w:r w:rsidR="008E78C9" w:rsidRPr="008573C5">
        <w:t>se</w:t>
      </w:r>
      <w:r w:rsidR="00F442DE" w:rsidRPr="008573C5">
        <w:t xml:space="preserve"> </w:t>
      </w:r>
      <w:r w:rsidR="00FD3D02" w:rsidRPr="008573C5">
        <w:t>are</w:t>
      </w:r>
      <w:r w:rsidR="00F442DE" w:rsidRPr="008573C5">
        <w:t xml:space="preserve"> the only two company attribute</w:t>
      </w:r>
      <w:r w:rsidR="008E78C9" w:rsidRPr="008573C5">
        <w:t>s</w:t>
      </w:r>
      <w:r w:rsidR="00F442DE" w:rsidRPr="008573C5">
        <w:t xml:space="preserve"> </w:t>
      </w:r>
      <w:r w:rsidR="00F579B5" w:rsidRPr="008573C5">
        <w:t>that explain</w:t>
      </w:r>
      <w:r w:rsidR="00F442DE" w:rsidRPr="008573C5">
        <w:t xml:space="preserve"> accounting disclosures. </w:t>
      </w:r>
      <w:r w:rsidR="00413A19" w:rsidRPr="008573C5">
        <w:t xml:space="preserve">In addition, leverage and multinational parent </w:t>
      </w:r>
      <w:r w:rsidR="00F80C70" w:rsidRPr="008573C5">
        <w:t>are</w:t>
      </w:r>
      <w:r w:rsidR="00413A19" w:rsidRPr="008573C5">
        <w:t xml:space="preserve"> found significant at 10% level for SAS and voluntary disclosures respectively.</w:t>
      </w:r>
      <w:r w:rsidR="00DF619B" w:rsidRPr="008573C5">
        <w:t xml:space="preserve"> Other variables </w:t>
      </w:r>
      <w:r w:rsidR="00F80C70" w:rsidRPr="008573C5">
        <w:t>are</w:t>
      </w:r>
      <w:r w:rsidR="002E5A9F" w:rsidRPr="008573C5">
        <w:t xml:space="preserve"> found to be insignificant.</w:t>
      </w:r>
    </w:p>
    <w:p w:rsidR="007915F8" w:rsidRPr="008573C5" w:rsidRDefault="00413A19" w:rsidP="001F60B6">
      <w:pPr>
        <w:tabs>
          <w:tab w:val="left" w:pos="7320"/>
        </w:tabs>
        <w:spacing w:before="240" w:line="360" w:lineRule="auto"/>
        <w:jc w:val="both"/>
      </w:pPr>
      <w:r w:rsidRPr="008573C5">
        <w:t xml:space="preserve">The </w:t>
      </w:r>
      <w:r w:rsidR="00666702" w:rsidRPr="008573C5">
        <w:t>c</w:t>
      </w:r>
      <w:r w:rsidRPr="008573C5">
        <w:t>ompany size</w:t>
      </w:r>
      <w:r w:rsidR="007915F8" w:rsidRPr="008573C5">
        <w:t xml:space="preserve"> is found to be</w:t>
      </w:r>
      <w:r w:rsidR="00C6630C" w:rsidRPr="008573C5">
        <w:t xml:space="preserve"> s</w:t>
      </w:r>
      <w:r w:rsidR="00D957DD" w:rsidRPr="008573C5">
        <w:t>ignificantly associated with di</w:t>
      </w:r>
      <w:r w:rsidR="00C6630C" w:rsidRPr="008573C5">
        <w:t>sc</w:t>
      </w:r>
      <w:r w:rsidR="00D957DD" w:rsidRPr="008573C5">
        <w:t>l</w:t>
      </w:r>
      <w:r w:rsidR="00C6630C" w:rsidRPr="008573C5">
        <w:t>osure co</w:t>
      </w:r>
      <w:r w:rsidR="00D957DD" w:rsidRPr="008573C5">
        <w:t>m</w:t>
      </w:r>
      <w:r w:rsidR="00C6630C" w:rsidRPr="008573C5">
        <w:t>pli</w:t>
      </w:r>
      <w:r w:rsidR="00D957DD" w:rsidRPr="008573C5">
        <w:t xml:space="preserve">ance, </w:t>
      </w:r>
      <w:r w:rsidR="00C6630C" w:rsidRPr="008573C5">
        <w:t xml:space="preserve">suggesting </w:t>
      </w:r>
      <w:r w:rsidR="00D957DD" w:rsidRPr="008573C5">
        <w:t>t</w:t>
      </w:r>
      <w:r w:rsidR="00C6630C" w:rsidRPr="008573C5">
        <w:t xml:space="preserve">hat large </w:t>
      </w:r>
      <w:r w:rsidR="00D957DD" w:rsidRPr="008573C5">
        <w:t>companies</w:t>
      </w:r>
      <w:r w:rsidR="00C6630C" w:rsidRPr="008573C5">
        <w:t xml:space="preserve"> </w:t>
      </w:r>
      <w:r w:rsidR="005A5281" w:rsidRPr="008573C5">
        <w:t xml:space="preserve">comply </w:t>
      </w:r>
      <w:r w:rsidR="00C6630C" w:rsidRPr="008573C5">
        <w:t xml:space="preserve">more strongly with national accounting standard disclosure </w:t>
      </w:r>
      <w:r w:rsidR="00D957DD" w:rsidRPr="008573C5">
        <w:t>requirements</w:t>
      </w:r>
      <w:r w:rsidR="007915F8" w:rsidRPr="008573C5">
        <w:t xml:space="preserve"> </w:t>
      </w:r>
      <w:r w:rsidR="00C6630C" w:rsidRPr="008573C5">
        <w:t>in these coun</w:t>
      </w:r>
      <w:r w:rsidR="00D957DD" w:rsidRPr="008573C5">
        <w:t>tries.</w:t>
      </w:r>
      <w:r w:rsidR="00B61978" w:rsidRPr="008573C5">
        <w:t xml:space="preserve"> </w:t>
      </w:r>
      <w:r w:rsidR="00D957DD" w:rsidRPr="008573C5">
        <w:t xml:space="preserve">The positive </w:t>
      </w:r>
      <w:r w:rsidR="00FE1A16" w:rsidRPr="008573C5">
        <w:t xml:space="preserve">and significant </w:t>
      </w:r>
      <w:r w:rsidR="00D957DD" w:rsidRPr="008573C5">
        <w:t>association bet</w:t>
      </w:r>
      <w:r w:rsidR="008E78C9" w:rsidRPr="008573C5">
        <w:t xml:space="preserve">ween company size and </w:t>
      </w:r>
      <w:r w:rsidR="00D957DD" w:rsidRPr="008573C5">
        <w:t>disclosure is</w:t>
      </w:r>
      <w:r w:rsidR="008E78C9" w:rsidRPr="008573C5">
        <w:t xml:space="preserve"> </w:t>
      </w:r>
      <w:r w:rsidR="00D957DD" w:rsidRPr="008573C5">
        <w:t>consiste</w:t>
      </w:r>
      <w:r w:rsidR="006A1D08" w:rsidRPr="008573C5">
        <w:t xml:space="preserve">nt with prior findings (see, Wallace et al., </w:t>
      </w:r>
      <w:r w:rsidR="006A1D08" w:rsidRPr="008573C5">
        <w:rPr>
          <w:bCs/>
        </w:rPr>
        <w:t xml:space="preserve">1994:50; </w:t>
      </w:r>
      <w:r w:rsidR="008E78C9" w:rsidRPr="008573C5">
        <w:t>Ali et al</w:t>
      </w:r>
      <w:r w:rsidR="006A1D08" w:rsidRPr="008573C5">
        <w:t xml:space="preserve">., </w:t>
      </w:r>
      <w:r w:rsidR="008E78C9" w:rsidRPr="008573C5">
        <w:t>2004</w:t>
      </w:r>
      <w:r w:rsidR="007C6576" w:rsidRPr="008573C5">
        <w:t>:188</w:t>
      </w:r>
      <w:r w:rsidR="006A1D08" w:rsidRPr="008573C5">
        <w:t>;</w:t>
      </w:r>
      <w:r w:rsidR="008E78C9" w:rsidRPr="008573C5">
        <w:t xml:space="preserve"> Al-Shammari</w:t>
      </w:r>
      <w:r w:rsidR="006A1D08" w:rsidRPr="008573C5">
        <w:t xml:space="preserve">, </w:t>
      </w:r>
      <w:r w:rsidR="008E78C9" w:rsidRPr="008573C5">
        <w:t>2005</w:t>
      </w:r>
      <w:r w:rsidR="006A1D08" w:rsidRPr="008573C5">
        <w:t>:</w:t>
      </w:r>
      <w:r w:rsidR="007C6576" w:rsidRPr="008573C5">
        <w:t>140</w:t>
      </w:r>
      <w:r w:rsidR="006A1D08" w:rsidRPr="008573C5">
        <w:t xml:space="preserve"> and Barako, </w:t>
      </w:r>
      <w:r w:rsidR="008E78C9" w:rsidRPr="008573C5">
        <w:t>2007</w:t>
      </w:r>
      <w:r w:rsidR="007C6576" w:rsidRPr="008573C5">
        <w:t>:124</w:t>
      </w:r>
      <w:r w:rsidR="008E78C9" w:rsidRPr="008573C5">
        <w:t>). However</w:t>
      </w:r>
      <w:r w:rsidR="005A5281" w:rsidRPr="008573C5">
        <w:t>,</w:t>
      </w:r>
      <w:r w:rsidR="008E78C9" w:rsidRPr="008573C5">
        <w:t xml:space="preserve"> the result contradicts Glaum and Street</w:t>
      </w:r>
      <w:r w:rsidR="00537E4D" w:rsidRPr="008573C5">
        <w:t xml:space="preserve"> </w:t>
      </w:r>
      <w:r w:rsidR="00AC3444" w:rsidRPr="008573C5">
        <w:t>(</w:t>
      </w:r>
      <w:r w:rsidR="008E78C9" w:rsidRPr="008573C5">
        <w:t>2003:86), who f</w:t>
      </w:r>
      <w:r w:rsidR="005A5281" w:rsidRPr="008573C5">
        <w:t>ind</w:t>
      </w:r>
      <w:r w:rsidR="00AC3444" w:rsidRPr="008573C5">
        <w:t xml:space="preserve"> </w:t>
      </w:r>
      <w:r w:rsidR="008E78C9" w:rsidRPr="008573C5">
        <w:t xml:space="preserve">a negative association that is not significantly related to disclosure. On the positive, it can be argued that since large companies usually operate over wide geographical area and deal with </w:t>
      </w:r>
      <w:r w:rsidR="00671412" w:rsidRPr="008573C5">
        <w:t xml:space="preserve">several branches and </w:t>
      </w:r>
      <w:r w:rsidR="008E78C9" w:rsidRPr="008573C5">
        <w:t>multiple products</w:t>
      </w:r>
      <w:r w:rsidR="00671412" w:rsidRPr="008573C5">
        <w:t>, they are likely to have a well built information system that can enable them track all necessary and essential accounting information for internal and external purposes.</w:t>
      </w:r>
      <w:r w:rsidR="008E78C9" w:rsidRPr="008573C5">
        <w:t xml:space="preserve"> This will </w:t>
      </w:r>
      <w:r w:rsidR="00671412" w:rsidRPr="008573C5">
        <w:t>enable t</w:t>
      </w:r>
      <w:r w:rsidR="008E78C9" w:rsidRPr="008573C5">
        <w:t xml:space="preserve">hem disclose more </w:t>
      </w:r>
      <w:r w:rsidR="00671412" w:rsidRPr="008573C5">
        <w:t xml:space="preserve">accounting </w:t>
      </w:r>
      <w:r w:rsidR="008E78C9" w:rsidRPr="008573C5">
        <w:t>information than their smaller counterpart</w:t>
      </w:r>
      <w:r w:rsidR="005A5281" w:rsidRPr="008573C5">
        <w:t>s</w:t>
      </w:r>
      <w:r w:rsidR="00671412" w:rsidRPr="008573C5">
        <w:t>.</w:t>
      </w:r>
    </w:p>
    <w:p w:rsidR="00FE082A" w:rsidRPr="008573C5" w:rsidRDefault="00FE082A" w:rsidP="001F60B6">
      <w:pPr>
        <w:autoSpaceDE w:val="0"/>
        <w:autoSpaceDN w:val="0"/>
        <w:adjustRightInd w:val="0"/>
        <w:spacing w:line="360" w:lineRule="auto"/>
        <w:jc w:val="both"/>
      </w:pPr>
    </w:p>
    <w:p w:rsidR="00666702" w:rsidRPr="008573C5" w:rsidRDefault="00B61978" w:rsidP="001F60B6">
      <w:pPr>
        <w:autoSpaceDE w:val="0"/>
        <w:autoSpaceDN w:val="0"/>
        <w:adjustRightInd w:val="0"/>
        <w:spacing w:line="360" w:lineRule="auto"/>
        <w:jc w:val="both"/>
      </w:pPr>
      <w:r w:rsidRPr="008573C5">
        <w:t xml:space="preserve">Profitability </w:t>
      </w:r>
      <w:r w:rsidR="00C6630C" w:rsidRPr="008573C5">
        <w:t xml:space="preserve">is </w:t>
      </w:r>
      <w:r w:rsidRPr="008573C5">
        <w:t>n</w:t>
      </w:r>
      <w:r w:rsidR="00C6630C" w:rsidRPr="008573C5">
        <w:t xml:space="preserve">ot </w:t>
      </w:r>
      <w:r w:rsidRPr="008573C5">
        <w:t xml:space="preserve">found to be </w:t>
      </w:r>
      <w:r w:rsidR="00C6630C" w:rsidRPr="008573C5">
        <w:t>significant</w:t>
      </w:r>
      <w:r w:rsidR="00F579B5" w:rsidRPr="008573C5">
        <w:t>. T</w:t>
      </w:r>
      <w:r w:rsidR="00671412" w:rsidRPr="008573C5">
        <w:t xml:space="preserve">his </w:t>
      </w:r>
      <w:r w:rsidR="00C6630C" w:rsidRPr="008573C5">
        <w:t>indicat</w:t>
      </w:r>
      <w:r w:rsidR="00671412" w:rsidRPr="008573C5">
        <w:t xml:space="preserve">es </w:t>
      </w:r>
      <w:r w:rsidR="00C6630C" w:rsidRPr="008573C5">
        <w:t>tha</w:t>
      </w:r>
      <w:r w:rsidRPr="008573C5">
        <w:t>t profitability</w:t>
      </w:r>
      <w:r w:rsidR="00D957DD" w:rsidRPr="008573C5">
        <w:t xml:space="preserve"> </w:t>
      </w:r>
      <w:r w:rsidR="00C6630C" w:rsidRPr="008573C5">
        <w:t>ha</w:t>
      </w:r>
      <w:r w:rsidR="00F579B5" w:rsidRPr="008573C5">
        <w:t>s</w:t>
      </w:r>
      <w:r w:rsidR="00C6630C" w:rsidRPr="008573C5">
        <w:t xml:space="preserve"> no impact on</w:t>
      </w:r>
      <w:r w:rsidR="00666702" w:rsidRPr="008573C5">
        <w:t xml:space="preserve"> </w:t>
      </w:r>
      <w:r w:rsidR="00C6630C" w:rsidRPr="008573C5">
        <w:t xml:space="preserve">disclosure compliance. This result </w:t>
      </w:r>
      <w:r w:rsidR="00666702" w:rsidRPr="008573C5">
        <w:t>contradicts</w:t>
      </w:r>
      <w:r w:rsidRPr="008573C5">
        <w:t xml:space="preserve"> the </w:t>
      </w:r>
      <w:r w:rsidR="00D957DD" w:rsidRPr="008573C5">
        <w:t>pr</w:t>
      </w:r>
      <w:r w:rsidR="004C010C" w:rsidRPr="008573C5">
        <w:t>ior</w:t>
      </w:r>
      <w:r w:rsidR="00D957DD" w:rsidRPr="008573C5">
        <w:t xml:space="preserve"> empirical studies</w:t>
      </w:r>
      <w:r w:rsidR="00B43CCD" w:rsidRPr="008573C5">
        <w:t xml:space="preserve"> (see e.g Owusu-Ansah</w:t>
      </w:r>
      <w:r w:rsidR="0001794B" w:rsidRPr="008573C5">
        <w:t>,1998</w:t>
      </w:r>
      <w:r w:rsidR="007C6576" w:rsidRPr="008573C5">
        <w:t>:620</w:t>
      </w:r>
      <w:r w:rsidR="0001794B" w:rsidRPr="008573C5">
        <w:t>;</w:t>
      </w:r>
      <w:r w:rsidR="00B43CCD" w:rsidRPr="008573C5">
        <w:t xml:space="preserve"> Ali et al</w:t>
      </w:r>
      <w:r w:rsidR="0001794B" w:rsidRPr="008573C5">
        <w:t xml:space="preserve">, </w:t>
      </w:r>
      <w:r w:rsidR="00B43CCD" w:rsidRPr="008573C5">
        <w:t>2004</w:t>
      </w:r>
      <w:r w:rsidR="007C6576" w:rsidRPr="008573C5">
        <w:t>:190</w:t>
      </w:r>
      <w:r w:rsidR="00B43CCD" w:rsidRPr="008573C5">
        <w:t xml:space="preserve">) and </w:t>
      </w:r>
      <w:r w:rsidR="00D957DD" w:rsidRPr="008573C5">
        <w:t xml:space="preserve"> </w:t>
      </w:r>
      <w:r w:rsidRPr="008573C5">
        <w:t xml:space="preserve">signaling </w:t>
      </w:r>
      <w:r w:rsidR="00AA3CEF" w:rsidRPr="008573C5">
        <w:t>theory</w:t>
      </w:r>
      <w:r w:rsidR="00D957DD" w:rsidRPr="008573C5">
        <w:t xml:space="preserve"> </w:t>
      </w:r>
      <w:r w:rsidR="00AA3CEF" w:rsidRPr="008573C5">
        <w:t xml:space="preserve">which </w:t>
      </w:r>
      <w:r w:rsidR="00666702" w:rsidRPr="008573C5">
        <w:t xml:space="preserve">assert that companies use financial statement </w:t>
      </w:r>
      <w:r w:rsidR="00F579B5" w:rsidRPr="008573C5">
        <w:t>as a signaling tool to express</w:t>
      </w:r>
      <w:r w:rsidR="00666702" w:rsidRPr="008573C5">
        <w:t xml:space="preserve"> their expectations and intentions. A</w:t>
      </w:r>
      <w:r w:rsidR="002109FB" w:rsidRPr="008573C5">
        <w:t>ccording to Singhvi and Desai (</w:t>
      </w:r>
      <w:r w:rsidR="00666702" w:rsidRPr="008573C5">
        <w:t>1971: 135)</w:t>
      </w:r>
      <w:r w:rsidR="005A5281" w:rsidRPr="008573C5">
        <w:t>,</w:t>
      </w:r>
      <w:r w:rsidR="00666702" w:rsidRPr="008573C5">
        <w:t xml:space="preserve"> the corporation may disclose more information when its profitability is above industry average in order to </w:t>
      </w:r>
      <w:r w:rsidR="005A5281" w:rsidRPr="008573C5">
        <w:t>inform</w:t>
      </w:r>
      <w:r w:rsidR="00666702" w:rsidRPr="008573C5">
        <w:t xml:space="preserve"> the shareholders and other stakeholders about the corporation’s strong </w:t>
      </w:r>
      <w:r w:rsidR="00666702" w:rsidRPr="008573C5">
        <w:rPr>
          <w:bCs/>
        </w:rPr>
        <w:t xml:space="preserve">position to survive. Contrary to this, profitability of Nigerian listed firms does not depict disclosure. Results suggest that </w:t>
      </w:r>
      <w:r w:rsidR="00666702" w:rsidRPr="008573C5">
        <w:t>informed expert manager</w:t>
      </w:r>
      <w:r w:rsidR="005A5281" w:rsidRPr="008573C5">
        <w:t>s</w:t>
      </w:r>
      <w:r w:rsidR="00666702" w:rsidRPr="008573C5">
        <w:t xml:space="preserve"> in Nigeria whose compensation is likely linked to the profit of the business, ha</w:t>
      </w:r>
      <w:r w:rsidR="005A5281" w:rsidRPr="008573C5">
        <w:t>ve</w:t>
      </w:r>
      <w:r w:rsidR="00666702" w:rsidRPr="008573C5">
        <w:t xml:space="preserve"> an incentive to inflat</w:t>
      </w:r>
      <w:r w:rsidR="005A5281" w:rsidRPr="008573C5">
        <w:t>e the reported earnings. That i</w:t>
      </w:r>
      <w:r w:rsidR="00666702" w:rsidRPr="008573C5">
        <w:t xml:space="preserve">s </w:t>
      </w:r>
      <w:r w:rsidR="00D957DD" w:rsidRPr="008573C5">
        <w:t xml:space="preserve">probably </w:t>
      </w:r>
      <w:r w:rsidR="00666702" w:rsidRPr="008573C5">
        <w:t>why profitability does not have any bearing with either mandatory or voluntary disclosure.</w:t>
      </w:r>
    </w:p>
    <w:p w:rsidR="00666702" w:rsidRPr="008573C5" w:rsidRDefault="00666702" w:rsidP="007C4184">
      <w:pPr>
        <w:autoSpaceDE w:val="0"/>
        <w:autoSpaceDN w:val="0"/>
        <w:adjustRightInd w:val="0"/>
        <w:spacing w:line="360" w:lineRule="auto"/>
        <w:jc w:val="both"/>
      </w:pPr>
    </w:p>
    <w:p w:rsidR="00537E4D" w:rsidRPr="008573C5" w:rsidRDefault="00D957DD" w:rsidP="007C4184">
      <w:pPr>
        <w:autoSpaceDE w:val="0"/>
        <w:autoSpaceDN w:val="0"/>
        <w:adjustRightInd w:val="0"/>
        <w:spacing w:line="360" w:lineRule="auto"/>
        <w:jc w:val="both"/>
      </w:pPr>
      <w:r w:rsidRPr="008573C5">
        <w:t>Leverage is not statistically associ</w:t>
      </w:r>
      <w:r w:rsidR="004C010C" w:rsidRPr="008573C5">
        <w:t xml:space="preserve">ated with the overall disclosure level but found to be </w:t>
      </w:r>
      <w:r w:rsidR="0025542B" w:rsidRPr="008573C5">
        <w:t>significant at 10% level for only SAS disclosure level. The non significance of this result is related to the works of</w:t>
      </w:r>
      <w:r w:rsidR="001F38D6" w:rsidRPr="008573C5">
        <w:t xml:space="preserve"> Chau and Gray</w:t>
      </w:r>
      <w:r w:rsidR="001B00A8" w:rsidRPr="008573C5">
        <w:t xml:space="preserve"> </w:t>
      </w:r>
      <w:r w:rsidR="001F38D6" w:rsidRPr="008573C5">
        <w:t>(2002</w:t>
      </w:r>
      <w:r w:rsidR="007C6576" w:rsidRPr="008573C5">
        <w:t>:260</w:t>
      </w:r>
      <w:r w:rsidR="001F38D6" w:rsidRPr="008573C5">
        <w:t>) and Ali et al</w:t>
      </w:r>
      <w:r w:rsidR="001B00A8" w:rsidRPr="008573C5">
        <w:t xml:space="preserve"> </w:t>
      </w:r>
      <w:r w:rsidR="001F38D6" w:rsidRPr="008573C5">
        <w:t>(2004</w:t>
      </w:r>
      <w:r w:rsidR="007C6576" w:rsidRPr="008573C5">
        <w:t>:188</w:t>
      </w:r>
      <w:r w:rsidR="001F38D6" w:rsidRPr="008573C5">
        <w:t>)</w:t>
      </w:r>
      <w:r w:rsidR="0025542B" w:rsidRPr="008573C5">
        <w:t xml:space="preserve">. </w:t>
      </w:r>
      <w:r w:rsidR="0049568C" w:rsidRPr="008573C5">
        <w:rPr>
          <w:bCs/>
        </w:rPr>
        <w:t>Contrary to this, l</w:t>
      </w:r>
      <w:r w:rsidR="0049568C" w:rsidRPr="008573C5">
        <w:t xml:space="preserve">everage was found to be </w:t>
      </w:r>
      <w:r w:rsidR="0025542B" w:rsidRPr="008573C5">
        <w:t xml:space="preserve">significance </w:t>
      </w:r>
      <w:r w:rsidR="0049568C" w:rsidRPr="008573C5">
        <w:t xml:space="preserve">in the works of </w:t>
      </w:r>
      <w:r w:rsidR="001F38D6" w:rsidRPr="008573C5">
        <w:t xml:space="preserve"> Prencipe</w:t>
      </w:r>
      <w:r w:rsidR="001B00A8" w:rsidRPr="008573C5">
        <w:t xml:space="preserve"> </w:t>
      </w:r>
      <w:r w:rsidR="001F38D6" w:rsidRPr="008573C5">
        <w:t>(2004</w:t>
      </w:r>
      <w:r w:rsidR="007C6576" w:rsidRPr="008573C5">
        <w:t>:334</w:t>
      </w:r>
      <w:r w:rsidR="001F38D6" w:rsidRPr="008573C5">
        <w:t>) and Al-Shammari</w:t>
      </w:r>
      <w:r w:rsidR="001B00A8" w:rsidRPr="008573C5">
        <w:t xml:space="preserve"> </w:t>
      </w:r>
      <w:r w:rsidR="001F38D6" w:rsidRPr="008573C5">
        <w:t>(2005</w:t>
      </w:r>
      <w:r w:rsidR="007C6576" w:rsidRPr="008573C5">
        <w:t>:131</w:t>
      </w:r>
      <w:r w:rsidR="002109FB" w:rsidRPr="008573C5">
        <w:t>)</w:t>
      </w:r>
      <w:r w:rsidR="001F38D6" w:rsidRPr="008573C5">
        <w:t>.</w:t>
      </w:r>
      <w:r w:rsidR="0025542B" w:rsidRPr="008573C5">
        <w:t xml:space="preserve"> </w:t>
      </w:r>
      <w:r w:rsidR="001F38D6" w:rsidRPr="008573C5">
        <w:t>Our result contradicts agency theory in which</w:t>
      </w:r>
      <w:r w:rsidR="0025542B" w:rsidRPr="008573C5">
        <w:t xml:space="preserve"> Jenson and Meckling</w:t>
      </w:r>
      <w:r w:rsidR="001B00A8" w:rsidRPr="008573C5">
        <w:t xml:space="preserve"> </w:t>
      </w:r>
      <w:r w:rsidR="0025542B" w:rsidRPr="008573C5">
        <w:t>(1976</w:t>
      </w:r>
      <w:r w:rsidR="007C6576" w:rsidRPr="008573C5">
        <w:t>:305</w:t>
      </w:r>
      <w:r w:rsidR="005A5281" w:rsidRPr="008573C5">
        <w:t>), propound</w:t>
      </w:r>
      <w:r w:rsidR="0025542B" w:rsidRPr="008573C5">
        <w:t xml:space="preserve"> that agency costs are higher for companies </w:t>
      </w:r>
      <w:r w:rsidR="001F38D6" w:rsidRPr="008573C5">
        <w:t xml:space="preserve">with </w:t>
      </w:r>
      <w:r w:rsidR="0025542B" w:rsidRPr="008573C5">
        <w:t>more debt and disclosures are expected to increase with leverage.</w:t>
      </w:r>
      <w:r w:rsidR="001F38D6" w:rsidRPr="008573C5">
        <w:t xml:space="preserve"> </w:t>
      </w:r>
    </w:p>
    <w:p w:rsidR="00C44F34" w:rsidRPr="008573C5" w:rsidRDefault="00537E4D" w:rsidP="007C4184">
      <w:pPr>
        <w:autoSpaceDE w:val="0"/>
        <w:autoSpaceDN w:val="0"/>
        <w:adjustRightInd w:val="0"/>
        <w:spacing w:line="360" w:lineRule="auto"/>
        <w:jc w:val="both"/>
      </w:pPr>
      <w:r w:rsidRPr="008573C5">
        <w:t xml:space="preserve"> </w:t>
      </w:r>
    </w:p>
    <w:p w:rsidR="00D45938" w:rsidRPr="008573C5" w:rsidRDefault="00D45938" w:rsidP="00E74D71">
      <w:pPr>
        <w:spacing w:line="360" w:lineRule="auto"/>
        <w:jc w:val="both"/>
        <w:rPr>
          <w:lang w:val="en-GB"/>
        </w:rPr>
      </w:pPr>
      <w:r w:rsidRPr="008573C5">
        <w:rPr>
          <w:lang w:val="en-GB"/>
        </w:rPr>
        <w:t>The result</w:t>
      </w:r>
      <w:r w:rsidR="00AC3444" w:rsidRPr="008573C5">
        <w:rPr>
          <w:lang w:val="en-GB"/>
        </w:rPr>
        <w:t>s reveal</w:t>
      </w:r>
      <w:r w:rsidRPr="008573C5">
        <w:rPr>
          <w:lang w:val="en-GB"/>
        </w:rPr>
        <w:t xml:space="preserve"> </w:t>
      </w:r>
      <w:r w:rsidR="0021163B" w:rsidRPr="008573C5">
        <w:rPr>
          <w:lang w:val="en-GB"/>
        </w:rPr>
        <w:t xml:space="preserve">that </w:t>
      </w:r>
      <w:r w:rsidRPr="008573C5">
        <w:rPr>
          <w:lang w:val="en-GB"/>
        </w:rPr>
        <w:t xml:space="preserve">the company listing age is not a significant variable for both mandatory and voluntary disclosures. This finding is in congruence with the findings </w:t>
      </w:r>
      <w:r w:rsidR="005A5281" w:rsidRPr="008573C5">
        <w:rPr>
          <w:lang w:val="en-GB"/>
        </w:rPr>
        <w:t xml:space="preserve">of </w:t>
      </w:r>
      <w:r w:rsidR="007C4184" w:rsidRPr="008573C5">
        <w:t xml:space="preserve">Akhtarudin (2005: 413) for mandatory disclosures and </w:t>
      </w:r>
      <w:r w:rsidR="007C4184" w:rsidRPr="008573C5">
        <w:rPr>
          <w:rFonts w:eastAsia="Calibri"/>
        </w:rPr>
        <w:t>Glaum and Street</w:t>
      </w:r>
      <w:r w:rsidR="001B00A8" w:rsidRPr="008573C5">
        <w:rPr>
          <w:rFonts w:eastAsia="Calibri"/>
        </w:rPr>
        <w:t xml:space="preserve"> </w:t>
      </w:r>
      <w:r w:rsidR="007C4184" w:rsidRPr="008573C5">
        <w:rPr>
          <w:rFonts w:eastAsia="Calibri"/>
        </w:rPr>
        <w:t>(2003:340) for voluntary disclosures. This is not in line with the fin</w:t>
      </w:r>
      <w:r w:rsidR="00ED1C68" w:rsidRPr="008573C5">
        <w:rPr>
          <w:rFonts w:eastAsia="Calibri"/>
        </w:rPr>
        <w:t>d</w:t>
      </w:r>
      <w:r w:rsidR="007C4184" w:rsidRPr="008573C5">
        <w:rPr>
          <w:rFonts w:eastAsia="Calibri"/>
        </w:rPr>
        <w:t xml:space="preserve">ings of </w:t>
      </w:r>
      <w:r w:rsidR="007C4184" w:rsidRPr="008573C5">
        <w:t>Owusu Ansah (1998: 619) and Prencipe</w:t>
      </w:r>
      <w:r w:rsidR="001B00A8" w:rsidRPr="008573C5">
        <w:t xml:space="preserve"> </w:t>
      </w:r>
      <w:r w:rsidR="007C4184" w:rsidRPr="008573C5">
        <w:t xml:space="preserve">(2004:333). The result </w:t>
      </w:r>
      <w:r w:rsidR="0029043A" w:rsidRPr="008573C5">
        <w:t xml:space="preserve">confirms </w:t>
      </w:r>
      <w:r w:rsidR="007C4184" w:rsidRPr="008573C5">
        <w:t>that there is no significant relationship between company listing age and accounting disclosures.</w:t>
      </w:r>
      <w:r w:rsidR="00E74D71" w:rsidRPr="008573C5">
        <w:rPr>
          <w:lang w:val="en-GB"/>
        </w:rPr>
        <w:t xml:space="preserve"> </w:t>
      </w:r>
    </w:p>
    <w:p w:rsidR="00D45938" w:rsidRPr="008573C5" w:rsidRDefault="00D45938" w:rsidP="001F60B6">
      <w:pPr>
        <w:autoSpaceDE w:val="0"/>
        <w:autoSpaceDN w:val="0"/>
        <w:adjustRightInd w:val="0"/>
        <w:spacing w:line="360" w:lineRule="auto"/>
        <w:jc w:val="both"/>
      </w:pPr>
    </w:p>
    <w:p w:rsidR="002E5A9F" w:rsidRPr="008573C5" w:rsidRDefault="002E5A9F" w:rsidP="001F60B6">
      <w:pPr>
        <w:autoSpaceDE w:val="0"/>
        <w:autoSpaceDN w:val="0"/>
        <w:adjustRightInd w:val="0"/>
        <w:spacing w:line="360" w:lineRule="auto"/>
        <w:jc w:val="both"/>
      </w:pPr>
      <w:r w:rsidRPr="008573C5">
        <w:t>The results show that industry type is insigni</w:t>
      </w:r>
      <w:r w:rsidR="00BC1598" w:rsidRPr="008573C5">
        <w:t>fi</w:t>
      </w:r>
      <w:r w:rsidRPr="008573C5">
        <w:t>cant in explaining disclosures</w:t>
      </w:r>
      <w:r w:rsidR="00A5079C" w:rsidRPr="008573C5">
        <w:t>, i</w:t>
      </w:r>
      <w:r w:rsidRPr="008573C5">
        <w:t xml:space="preserve">ndicating </w:t>
      </w:r>
      <w:r w:rsidR="00C835BC" w:rsidRPr="008573C5">
        <w:t xml:space="preserve">that industry </w:t>
      </w:r>
      <w:r w:rsidR="00BC1598" w:rsidRPr="008573C5">
        <w:t xml:space="preserve">has no consequence </w:t>
      </w:r>
      <w:r w:rsidRPr="008573C5">
        <w:t xml:space="preserve">on the mandatory </w:t>
      </w:r>
      <w:r w:rsidR="00BC1598" w:rsidRPr="008573C5">
        <w:t xml:space="preserve">and voluntary </w:t>
      </w:r>
      <w:r w:rsidRPr="008573C5">
        <w:t>disclosure practices of the sample companies</w:t>
      </w:r>
      <w:r w:rsidR="00BC1598" w:rsidRPr="008573C5">
        <w:t xml:space="preserve"> This result somewhat contradicts </w:t>
      </w:r>
      <w:r w:rsidR="00A5079C" w:rsidRPr="008573C5">
        <w:t>the result of Al-Shammari</w:t>
      </w:r>
      <w:r w:rsidR="001B00A8" w:rsidRPr="008573C5">
        <w:t xml:space="preserve"> </w:t>
      </w:r>
      <w:r w:rsidR="00A5079C" w:rsidRPr="008573C5">
        <w:t>(2005:131), where industr</w:t>
      </w:r>
      <w:r w:rsidR="00ED1C68" w:rsidRPr="008573C5">
        <w:t>ies</w:t>
      </w:r>
      <w:r w:rsidR="00A5079C" w:rsidRPr="008573C5">
        <w:t xml:space="preserve"> are classified into four groups, namely, banking and investment, insurance, manufacturing and service. </w:t>
      </w:r>
      <w:r w:rsidR="0021163B" w:rsidRPr="008573C5">
        <w:t xml:space="preserve">Al-Shammari </w:t>
      </w:r>
      <w:r w:rsidR="00BC1598" w:rsidRPr="008573C5">
        <w:t>f</w:t>
      </w:r>
      <w:r w:rsidR="00F13A95" w:rsidRPr="008573C5">
        <w:t>inds</w:t>
      </w:r>
      <w:r w:rsidR="00BC1598" w:rsidRPr="008573C5">
        <w:t xml:space="preserve"> that disclosure compliance </w:t>
      </w:r>
      <w:r w:rsidR="00A5079C" w:rsidRPr="008573C5">
        <w:t xml:space="preserve">is </w:t>
      </w:r>
      <w:r w:rsidR="003C2E7D" w:rsidRPr="008573C5">
        <w:t xml:space="preserve">positively </w:t>
      </w:r>
      <w:r w:rsidR="00A5079C" w:rsidRPr="008573C5">
        <w:t>rel</w:t>
      </w:r>
      <w:r w:rsidR="0021163B" w:rsidRPr="008573C5">
        <w:t>ated to industry type. The work</w:t>
      </w:r>
      <w:r w:rsidR="00A5079C" w:rsidRPr="008573C5">
        <w:t xml:space="preserve"> of Naser et al (2002</w:t>
      </w:r>
      <w:r w:rsidR="00AB4042" w:rsidRPr="008573C5">
        <w:t>:147</w:t>
      </w:r>
      <w:r w:rsidR="00A5079C" w:rsidRPr="008573C5">
        <w:t>)</w:t>
      </w:r>
      <w:r w:rsidR="0021163B" w:rsidRPr="008573C5">
        <w:t xml:space="preserve"> is consistent with our finding</w:t>
      </w:r>
      <w:r w:rsidR="00F13A95" w:rsidRPr="008573C5">
        <w:t>s</w:t>
      </w:r>
      <w:r w:rsidR="00A5079C" w:rsidRPr="008573C5">
        <w:t xml:space="preserve"> that industry type is an insignificant factor.</w:t>
      </w:r>
    </w:p>
    <w:p w:rsidR="003C2E7D" w:rsidRPr="008573C5" w:rsidRDefault="003C2E7D" w:rsidP="001F60B6">
      <w:pPr>
        <w:autoSpaceDE w:val="0"/>
        <w:autoSpaceDN w:val="0"/>
        <w:adjustRightInd w:val="0"/>
        <w:spacing w:line="360" w:lineRule="auto"/>
        <w:jc w:val="both"/>
      </w:pPr>
    </w:p>
    <w:p w:rsidR="00D41145" w:rsidRPr="008573C5" w:rsidRDefault="003F2720" w:rsidP="001F60B6">
      <w:pPr>
        <w:autoSpaceDE w:val="0"/>
        <w:autoSpaceDN w:val="0"/>
        <w:adjustRightInd w:val="0"/>
        <w:spacing w:line="360" w:lineRule="auto"/>
        <w:jc w:val="both"/>
        <w:rPr>
          <w:lang w:val="en-GB"/>
        </w:rPr>
      </w:pPr>
      <w:r w:rsidRPr="008573C5">
        <w:t xml:space="preserve">In agreement with prior studies </w:t>
      </w:r>
      <w:r w:rsidR="0021163B" w:rsidRPr="008573C5">
        <w:t>by</w:t>
      </w:r>
      <w:r w:rsidR="00CE7781" w:rsidRPr="008573C5">
        <w:t xml:space="preserve"> Glaum and Street(2003</w:t>
      </w:r>
      <w:r w:rsidR="00AB4042" w:rsidRPr="008573C5">
        <w:t>:86</w:t>
      </w:r>
      <w:r w:rsidR="00CE7781" w:rsidRPr="008573C5">
        <w:t>) and Barako</w:t>
      </w:r>
      <w:r w:rsidR="001B00A8" w:rsidRPr="008573C5">
        <w:t xml:space="preserve"> </w:t>
      </w:r>
      <w:r w:rsidR="00CE7781" w:rsidRPr="008573C5">
        <w:t>(2007</w:t>
      </w:r>
      <w:r w:rsidR="00AB4042" w:rsidRPr="008573C5">
        <w:t>:124</w:t>
      </w:r>
      <w:r w:rsidR="00F13A95" w:rsidRPr="008573C5">
        <w:t xml:space="preserve">) </w:t>
      </w:r>
      <w:r w:rsidR="00CE7781" w:rsidRPr="008573C5">
        <w:t>a positive and significant association between auditor size and extent of disclosure</w:t>
      </w:r>
      <w:r w:rsidR="00F13A95" w:rsidRPr="008573C5">
        <w:t xml:space="preserve"> is recognised</w:t>
      </w:r>
      <w:r w:rsidR="00CE7781" w:rsidRPr="008573C5">
        <w:t>.</w:t>
      </w:r>
      <w:r w:rsidR="00F13A95" w:rsidRPr="008573C5">
        <w:t xml:space="preserve"> </w:t>
      </w:r>
      <w:r w:rsidR="00CE7781" w:rsidRPr="008573C5">
        <w:t xml:space="preserve"> It has been found that financial statements audited by any Big</w:t>
      </w:r>
      <w:r w:rsidR="0021163B" w:rsidRPr="008573C5">
        <w:t xml:space="preserve"> </w:t>
      </w:r>
      <w:r w:rsidR="00CE7781" w:rsidRPr="008573C5">
        <w:t>Four firm carry more information than those audited by non-Big</w:t>
      </w:r>
      <w:r w:rsidR="0021163B" w:rsidRPr="008573C5">
        <w:t xml:space="preserve"> </w:t>
      </w:r>
      <w:r w:rsidR="00CE7781" w:rsidRPr="008573C5">
        <w:t xml:space="preserve">Four firms. From </w:t>
      </w:r>
      <w:r w:rsidR="00F13A95" w:rsidRPr="008573C5">
        <w:t>the</w:t>
      </w:r>
      <w:r w:rsidR="00CE7781" w:rsidRPr="008573C5">
        <w:t xml:space="preserve"> analysis</w:t>
      </w:r>
      <w:r w:rsidR="00F13A95" w:rsidRPr="008573C5">
        <w:t>,</w:t>
      </w:r>
      <w:r w:rsidR="00CE7781" w:rsidRPr="008573C5">
        <w:t xml:space="preserve"> out of </w:t>
      </w:r>
      <w:r w:rsidR="00CE7781" w:rsidRPr="008573C5">
        <w:rPr>
          <w:lang w:val="en-GB"/>
        </w:rPr>
        <w:t xml:space="preserve">the 90 sample companies, 66 (73.3%) are audited by the Big </w:t>
      </w:r>
      <w:r w:rsidR="0021163B" w:rsidRPr="008573C5">
        <w:rPr>
          <w:lang w:val="en-GB"/>
        </w:rPr>
        <w:t xml:space="preserve">Four </w:t>
      </w:r>
      <w:r w:rsidR="00CE7781" w:rsidRPr="008573C5">
        <w:rPr>
          <w:lang w:val="en-GB"/>
        </w:rPr>
        <w:t xml:space="preserve">audit firms with international affliation and 24 (26.7%) are audited by other firms. Of the 66 audited by the Big </w:t>
      </w:r>
      <w:r w:rsidR="0021163B" w:rsidRPr="008573C5">
        <w:rPr>
          <w:lang w:val="en-GB"/>
        </w:rPr>
        <w:t>Four</w:t>
      </w:r>
      <w:r w:rsidR="00CE7781" w:rsidRPr="008573C5">
        <w:rPr>
          <w:lang w:val="en-GB"/>
        </w:rPr>
        <w:t xml:space="preserve"> 36 (54%) </w:t>
      </w:r>
      <w:r w:rsidR="00AC3444" w:rsidRPr="008573C5">
        <w:rPr>
          <w:lang w:val="en-GB"/>
        </w:rPr>
        <w:t>are</w:t>
      </w:r>
      <w:r w:rsidR="00CE7781" w:rsidRPr="008573C5">
        <w:rPr>
          <w:lang w:val="en-GB"/>
        </w:rPr>
        <w:t xml:space="preserve"> </w:t>
      </w:r>
      <w:r w:rsidR="0047485F" w:rsidRPr="008573C5">
        <w:rPr>
          <w:lang w:val="en-GB"/>
        </w:rPr>
        <w:t>audited by Akintola Williams De</w:t>
      </w:r>
      <w:r w:rsidR="00CE7781" w:rsidRPr="008573C5">
        <w:rPr>
          <w:lang w:val="en-GB"/>
        </w:rPr>
        <w:t xml:space="preserve">loite, Ernst and Young 5 (8%), KPMG 6(9%), and PricewaterhouseCoopers 19 (29%). </w:t>
      </w:r>
      <w:r w:rsidR="006E4F88" w:rsidRPr="008573C5">
        <w:rPr>
          <w:lang w:val="en-GB"/>
        </w:rPr>
        <w:t>This implies that audit quality of the listed companies is influenced by the auditor size</w:t>
      </w:r>
      <w:r w:rsidR="00D41145" w:rsidRPr="008573C5">
        <w:rPr>
          <w:lang w:val="en-GB"/>
        </w:rPr>
        <w:t>. The quality of audit can be attributable to the modern information system audit currently adopted by these Big audit firms</w:t>
      </w:r>
      <w:r w:rsidR="00D32E16" w:rsidRPr="008573C5">
        <w:rPr>
          <w:lang w:val="en-GB"/>
        </w:rPr>
        <w:t xml:space="preserve"> in Nigeria</w:t>
      </w:r>
      <w:r w:rsidR="00D41145" w:rsidRPr="008573C5">
        <w:rPr>
          <w:lang w:val="en-GB"/>
        </w:rPr>
        <w:t>.</w:t>
      </w:r>
    </w:p>
    <w:p w:rsidR="00D41145" w:rsidRPr="008573C5" w:rsidRDefault="00D41145" w:rsidP="001F60B6">
      <w:pPr>
        <w:autoSpaceDE w:val="0"/>
        <w:autoSpaceDN w:val="0"/>
        <w:adjustRightInd w:val="0"/>
        <w:spacing w:line="360" w:lineRule="auto"/>
        <w:jc w:val="both"/>
        <w:rPr>
          <w:lang w:val="en-GB"/>
        </w:rPr>
      </w:pPr>
    </w:p>
    <w:p w:rsidR="000A6F8B" w:rsidRPr="008573C5" w:rsidRDefault="00D41145" w:rsidP="001F60B6">
      <w:pPr>
        <w:autoSpaceDE w:val="0"/>
        <w:autoSpaceDN w:val="0"/>
        <w:adjustRightInd w:val="0"/>
        <w:spacing w:line="360" w:lineRule="auto"/>
        <w:jc w:val="both"/>
        <w:rPr>
          <w:lang w:val="en-GB"/>
        </w:rPr>
      </w:pPr>
      <w:r w:rsidRPr="008573C5">
        <w:rPr>
          <w:lang w:val="en-GB"/>
        </w:rPr>
        <w:t>The results of this study confirm that for both mandatory and voluntary disclosure</w:t>
      </w:r>
      <w:r w:rsidR="0021163B" w:rsidRPr="008573C5">
        <w:rPr>
          <w:lang w:val="en-GB"/>
        </w:rPr>
        <w:t>,</w:t>
      </w:r>
      <w:r w:rsidRPr="008573C5">
        <w:rPr>
          <w:lang w:val="en-GB"/>
        </w:rPr>
        <w:t xml:space="preserve"> multinational</w:t>
      </w:r>
      <w:r w:rsidR="00F13A95" w:rsidRPr="008573C5">
        <w:rPr>
          <w:lang w:val="en-GB"/>
        </w:rPr>
        <w:t>ilty</w:t>
      </w:r>
      <w:r w:rsidR="00210422" w:rsidRPr="008573C5">
        <w:rPr>
          <w:lang w:val="en-GB"/>
        </w:rPr>
        <w:t xml:space="preserve"> is an</w:t>
      </w:r>
      <w:r w:rsidRPr="008573C5">
        <w:rPr>
          <w:lang w:val="en-GB"/>
        </w:rPr>
        <w:t xml:space="preserve"> insignificant factor, but </w:t>
      </w:r>
      <w:r w:rsidR="00D32E16" w:rsidRPr="008573C5">
        <w:rPr>
          <w:lang w:val="en-GB"/>
        </w:rPr>
        <w:t>when</w:t>
      </w:r>
      <w:r w:rsidRPr="008573C5">
        <w:rPr>
          <w:lang w:val="en-GB"/>
        </w:rPr>
        <w:t xml:space="preserve"> </w:t>
      </w:r>
      <w:r w:rsidR="00D32E16" w:rsidRPr="008573C5">
        <w:rPr>
          <w:lang w:val="en-GB"/>
        </w:rPr>
        <w:t>considering the voluntary items alone</w:t>
      </w:r>
      <w:r w:rsidR="0021163B" w:rsidRPr="008573C5">
        <w:rPr>
          <w:lang w:val="en-GB"/>
        </w:rPr>
        <w:t>,</w:t>
      </w:r>
      <w:r w:rsidR="00007155" w:rsidRPr="008573C5">
        <w:rPr>
          <w:lang w:val="en-GB"/>
        </w:rPr>
        <w:t xml:space="preserve"> </w:t>
      </w:r>
      <w:r w:rsidR="00D32E16" w:rsidRPr="008573C5">
        <w:rPr>
          <w:lang w:val="en-GB"/>
        </w:rPr>
        <w:t>multinational</w:t>
      </w:r>
      <w:r w:rsidR="00F13A95" w:rsidRPr="008573C5">
        <w:rPr>
          <w:lang w:val="en-GB"/>
        </w:rPr>
        <w:t xml:space="preserve">ity </w:t>
      </w:r>
      <w:r w:rsidR="00D32E16" w:rsidRPr="008573C5">
        <w:rPr>
          <w:lang w:val="en-GB"/>
        </w:rPr>
        <w:t xml:space="preserve">emerged </w:t>
      </w:r>
      <w:r w:rsidR="0021163B" w:rsidRPr="008573C5">
        <w:rPr>
          <w:lang w:val="en-GB"/>
        </w:rPr>
        <w:t>as</w:t>
      </w:r>
      <w:r w:rsidR="00D32E16" w:rsidRPr="008573C5">
        <w:rPr>
          <w:lang w:val="en-GB"/>
        </w:rPr>
        <w:t xml:space="preserve"> marginally significant at a 10% level.</w:t>
      </w:r>
      <w:r w:rsidR="00007155" w:rsidRPr="008573C5">
        <w:rPr>
          <w:lang w:val="en-GB"/>
        </w:rPr>
        <w:t xml:space="preserve"> Th</w:t>
      </w:r>
      <w:r w:rsidR="00ED1C68" w:rsidRPr="008573C5">
        <w:rPr>
          <w:lang w:val="en-GB"/>
        </w:rPr>
        <w:t>is</w:t>
      </w:r>
      <w:r w:rsidR="00007155" w:rsidRPr="008573C5">
        <w:rPr>
          <w:lang w:val="en-GB"/>
        </w:rPr>
        <w:t xml:space="preserve"> is quite unlike the result from Chau and Gray</w:t>
      </w:r>
      <w:r w:rsidR="00210422" w:rsidRPr="008573C5">
        <w:rPr>
          <w:lang w:val="en-GB"/>
        </w:rPr>
        <w:t xml:space="preserve"> </w:t>
      </w:r>
      <w:r w:rsidR="00F13A95" w:rsidRPr="008573C5">
        <w:rPr>
          <w:lang w:val="en-GB"/>
        </w:rPr>
        <w:t xml:space="preserve">(2002:256), </w:t>
      </w:r>
      <w:r w:rsidR="00007155" w:rsidRPr="008573C5">
        <w:rPr>
          <w:lang w:val="en-GB"/>
        </w:rPr>
        <w:t>that f</w:t>
      </w:r>
      <w:r w:rsidR="00AC3444" w:rsidRPr="008573C5">
        <w:rPr>
          <w:lang w:val="en-GB"/>
        </w:rPr>
        <w:t>inds</w:t>
      </w:r>
      <w:r w:rsidR="00007155" w:rsidRPr="008573C5">
        <w:rPr>
          <w:lang w:val="en-GB"/>
        </w:rPr>
        <w:t xml:space="preserve"> multinational factor to be insignificant for voluntary disclosures of Singapore and Hong Kong</w:t>
      </w:r>
      <w:r w:rsidR="00BF7818" w:rsidRPr="008573C5">
        <w:rPr>
          <w:lang w:val="en-GB"/>
        </w:rPr>
        <w:t>.</w:t>
      </w:r>
    </w:p>
    <w:p w:rsidR="00CE74D2" w:rsidRPr="008573C5" w:rsidRDefault="00CE74D2" w:rsidP="001F60B6">
      <w:pPr>
        <w:autoSpaceDE w:val="0"/>
        <w:autoSpaceDN w:val="0"/>
        <w:adjustRightInd w:val="0"/>
        <w:spacing w:line="360" w:lineRule="auto"/>
        <w:jc w:val="both"/>
        <w:rPr>
          <w:lang w:val="en-GB"/>
        </w:rPr>
      </w:pPr>
    </w:p>
    <w:p w:rsidR="00CE74D2" w:rsidRPr="008573C5" w:rsidRDefault="00CE74D2" w:rsidP="00CE74D2">
      <w:pPr>
        <w:autoSpaceDE w:val="0"/>
        <w:autoSpaceDN w:val="0"/>
        <w:adjustRightInd w:val="0"/>
        <w:spacing w:line="360" w:lineRule="auto"/>
        <w:jc w:val="both"/>
      </w:pPr>
      <w:r w:rsidRPr="008573C5">
        <w:t>In summary, the estimation results obtained through the ran</w:t>
      </w:r>
      <w:r w:rsidR="00F13A95" w:rsidRPr="008573C5">
        <w:t>ked regression analysis suggest</w:t>
      </w:r>
      <w:r w:rsidRPr="008573C5">
        <w:t xml:space="preserve"> that company size and auditor type, both related to positive accounting theory,  provide a satisfactory basis for explaining the attitude of listed Nigerian companies regarding disclosure of accounting informat</w:t>
      </w:r>
      <w:r w:rsidR="00C04D6E" w:rsidRPr="008573C5">
        <w:t>ion (</w:t>
      </w:r>
      <w:r w:rsidR="00210422" w:rsidRPr="008573C5">
        <w:t xml:space="preserve">mandatory and voluntary). </w:t>
      </w:r>
      <w:r w:rsidRPr="008573C5">
        <w:t>The remaining variables (profitability, leverage, company listing age, industry type and multinational parent) made no significant contribution.</w:t>
      </w:r>
    </w:p>
    <w:p w:rsidR="00CE74D2" w:rsidRPr="008573C5" w:rsidRDefault="00CE74D2" w:rsidP="001F60B6">
      <w:pPr>
        <w:autoSpaceDE w:val="0"/>
        <w:autoSpaceDN w:val="0"/>
        <w:adjustRightInd w:val="0"/>
        <w:spacing w:line="360" w:lineRule="auto"/>
        <w:jc w:val="both"/>
        <w:rPr>
          <w:lang w:val="en-GB"/>
        </w:rPr>
      </w:pPr>
    </w:p>
    <w:p w:rsidR="00FE082A" w:rsidRPr="008573C5" w:rsidRDefault="00FE082A" w:rsidP="00FE082A">
      <w:pPr>
        <w:autoSpaceDE w:val="0"/>
        <w:autoSpaceDN w:val="0"/>
        <w:adjustRightInd w:val="0"/>
        <w:spacing w:line="360" w:lineRule="auto"/>
        <w:jc w:val="both"/>
      </w:pPr>
    </w:p>
    <w:p w:rsidR="003F14C0" w:rsidRPr="008573C5" w:rsidRDefault="002F526B" w:rsidP="007A27A9">
      <w:pPr>
        <w:spacing w:before="100" w:beforeAutospacing="1" w:after="100" w:afterAutospacing="1"/>
        <w:jc w:val="both"/>
        <w:rPr>
          <w:b/>
        </w:rPr>
      </w:pPr>
      <w:r w:rsidRPr="008573C5">
        <w:rPr>
          <w:b/>
        </w:rPr>
        <w:t>Research Question 5</w:t>
      </w:r>
      <w:r w:rsidR="006A2127" w:rsidRPr="008573C5">
        <w:rPr>
          <w:b/>
        </w:rPr>
        <w:t xml:space="preserve">: </w:t>
      </w:r>
      <w:r w:rsidR="003F14C0" w:rsidRPr="008573C5">
        <w:rPr>
          <w:b/>
        </w:rPr>
        <w:t>Are there differences in the perception of preparers, auditors and users of accounting information on disclosure practices of listed Nigerian companies?</w:t>
      </w:r>
    </w:p>
    <w:p w:rsidR="002F526B" w:rsidRPr="008573C5" w:rsidRDefault="007D7CAE" w:rsidP="007D7CAE">
      <w:pPr>
        <w:spacing w:line="360" w:lineRule="auto"/>
        <w:jc w:val="both"/>
        <w:rPr>
          <w:lang w:val="en-GB"/>
        </w:rPr>
      </w:pPr>
      <w:r w:rsidRPr="008573C5">
        <w:t xml:space="preserve">The multivariate test of significance is conducted using Wilks’ Lamda. </w:t>
      </w:r>
      <w:r w:rsidR="00D74B4F" w:rsidRPr="008573C5">
        <w:t>A</w:t>
      </w:r>
      <w:r w:rsidRPr="008573C5">
        <w:t xml:space="preserve"> significant value of </w:t>
      </w:r>
      <w:r w:rsidR="00537E4D" w:rsidRPr="008573C5">
        <w:t>0</w:t>
      </w:r>
      <w:r w:rsidRPr="008573C5">
        <w:t>.374 shows there is no statistically</w:t>
      </w:r>
      <w:r w:rsidRPr="008573C5">
        <w:rPr>
          <w:rFonts w:ascii="Times" w:hAnsi="Times" w:cs="Times"/>
        </w:rPr>
        <w:t xml:space="preserve"> significant difference in the perception</w:t>
      </w:r>
      <w:r w:rsidRPr="008573C5">
        <w:t xml:space="preserve"> of preparers, auditors and users of accounting information on </w:t>
      </w:r>
      <w:r w:rsidR="00694CD7" w:rsidRPr="008573C5">
        <w:t xml:space="preserve">disclosure practices relating to extent of disclosure by </w:t>
      </w:r>
      <w:r w:rsidRPr="008573C5">
        <w:t xml:space="preserve">listed Nigerian companies. </w:t>
      </w:r>
      <w:r w:rsidR="00694CD7" w:rsidRPr="008573C5">
        <w:rPr>
          <w:lang w:val="en-GB"/>
        </w:rPr>
        <w:t xml:space="preserve">The questionnaire survey reveals the mean </w:t>
      </w:r>
      <w:r w:rsidR="0034309C" w:rsidRPr="008573C5">
        <w:rPr>
          <w:lang w:val="en-GB"/>
        </w:rPr>
        <w:t>score of prepares auditors and users to be 2.98. 2.95 and 2.84 respectively, for compliance of financial companies with SASs. A mean score of 2.56, 2.69 and 2.59 is reported for the three groups respectively for compliance of non-financial companies with SASs. For compliance with IASs/IFRSs the mean score</w:t>
      </w:r>
      <w:r w:rsidR="00F13A95" w:rsidRPr="008573C5">
        <w:rPr>
          <w:lang w:val="en-GB"/>
        </w:rPr>
        <w:t>s</w:t>
      </w:r>
      <w:r w:rsidR="0034309C" w:rsidRPr="008573C5">
        <w:rPr>
          <w:lang w:val="en-GB"/>
        </w:rPr>
        <w:t xml:space="preserve"> of 3.04, 3.05 and 2.92 </w:t>
      </w:r>
      <w:r w:rsidR="00F13A95" w:rsidRPr="008573C5">
        <w:rPr>
          <w:lang w:val="en-GB"/>
        </w:rPr>
        <w:t>are</w:t>
      </w:r>
      <w:r w:rsidR="0034309C" w:rsidRPr="008573C5">
        <w:rPr>
          <w:lang w:val="en-GB"/>
        </w:rPr>
        <w:t xml:space="preserve"> reported for the financial companies while </w:t>
      </w:r>
      <w:r w:rsidR="002F526B" w:rsidRPr="008573C5">
        <w:rPr>
          <w:lang w:val="en-GB"/>
        </w:rPr>
        <w:t xml:space="preserve">scores of 2.70, 2.76 and 2.59 </w:t>
      </w:r>
      <w:r w:rsidR="00F13A95" w:rsidRPr="008573C5">
        <w:rPr>
          <w:lang w:val="en-GB"/>
        </w:rPr>
        <w:t>are</w:t>
      </w:r>
      <w:r w:rsidR="002F526B" w:rsidRPr="008573C5">
        <w:rPr>
          <w:lang w:val="en-GB"/>
        </w:rPr>
        <w:t xml:space="preserve"> reported for non-financial companies.</w:t>
      </w:r>
      <w:r w:rsidR="00955B70" w:rsidRPr="008573C5">
        <w:rPr>
          <w:lang w:val="en-GB"/>
        </w:rPr>
        <w:t xml:space="preserve"> </w:t>
      </w:r>
      <w:r w:rsidR="002F526B" w:rsidRPr="008573C5">
        <w:rPr>
          <w:lang w:val="en-GB"/>
        </w:rPr>
        <w:t>This result is quite in line with the findings of Research question</w:t>
      </w:r>
      <w:r w:rsidR="00F13A95" w:rsidRPr="008573C5">
        <w:rPr>
          <w:lang w:val="en-GB"/>
        </w:rPr>
        <w:t>s 1 and 2 which find</w:t>
      </w:r>
      <w:r w:rsidR="002F526B" w:rsidRPr="008573C5">
        <w:rPr>
          <w:lang w:val="en-GB"/>
        </w:rPr>
        <w:t xml:space="preserve"> that listed companies do not fully comply with the disclosure requirements of the SASs and IASs/IFRSs and that accounting disclosures of financial companies is higher than the non-financial companies.</w:t>
      </w:r>
    </w:p>
    <w:p w:rsidR="002F526B" w:rsidRPr="008573C5" w:rsidRDefault="002F526B" w:rsidP="007D7CAE">
      <w:pPr>
        <w:spacing w:line="360" w:lineRule="auto"/>
        <w:jc w:val="both"/>
        <w:rPr>
          <w:lang w:val="en-GB"/>
        </w:rPr>
      </w:pPr>
    </w:p>
    <w:p w:rsidR="00955B70" w:rsidRPr="008573C5" w:rsidRDefault="00955B70" w:rsidP="00955B70">
      <w:pPr>
        <w:spacing w:line="360" w:lineRule="auto"/>
        <w:jc w:val="both"/>
      </w:pPr>
      <w:r w:rsidRPr="008573C5">
        <w:t>For voluntary disclosure practices and factors influencing disclosures, there is no statistically</w:t>
      </w:r>
      <w:r w:rsidRPr="008573C5">
        <w:rPr>
          <w:rFonts w:ascii="Times" w:hAnsi="Times" w:cs="Times"/>
        </w:rPr>
        <w:t xml:space="preserve"> significant difference in the perception</w:t>
      </w:r>
      <w:r w:rsidRPr="008573C5">
        <w:t xml:space="preserve"> of preparers, auditors and users of accounting information. More than half of the respondents asserted that, inadequate training of preparers, poor audit quality by external auditors, ineffective and inefficient monitoring mechanisms, inadequate sanctions to deter non-compliance, and cumbersome accounting standards</w:t>
      </w:r>
      <w:r w:rsidR="00D47349" w:rsidRPr="008573C5">
        <w:t>,</w:t>
      </w:r>
      <w:r w:rsidRPr="008573C5">
        <w:t xml:space="preserve"> a</w:t>
      </w:r>
      <w:r w:rsidR="00D47349" w:rsidRPr="008573C5">
        <w:t>re also</w:t>
      </w:r>
      <w:r w:rsidRPr="008573C5">
        <w:t xml:space="preserve"> factors influencing compliance.</w:t>
      </w:r>
    </w:p>
    <w:p w:rsidR="005E7583" w:rsidRPr="008573C5" w:rsidRDefault="005E7583" w:rsidP="00955B70">
      <w:pPr>
        <w:spacing w:line="360" w:lineRule="auto"/>
        <w:jc w:val="both"/>
        <w:rPr>
          <w:b/>
        </w:rPr>
      </w:pPr>
    </w:p>
    <w:p w:rsidR="002F526B" w:rsidRPr="008573C5" w:rsidRDefault="002F526B" w:rsidP="00537E4D">
      <w:pPr>
        <w:jc w:val="both"/>
        <w:rPr>
          <w:b/>
        </w:rPr>
      </w:pPr>
      <w:r w:rsidRPr="008573C5">
        <w:rPr>
          <w:b/>
        </w:rPr>
        <w:t>Research Question 6: What are the consequences of non-compliance with the disclosure requirements of accounting standards?</w:t>
      </w:r>
    </w:p>
    <w:p w:rsidR="002F526B" w:rsidRPr="008573C5" w:rsidRDefault="002F526B" w:rsidP="007D7CAE">
      <w:pPr>
        <w:spacing w:line="360" w:lineRule="auto"/>
        <w:jc w:val="both"/>
        <w:rPr>
          <w:lang w:val="en-GB"/>
        </w:rPr>
      </w:pPr>
    </w:p>
    <w:p w:rsidR="00FC31EB" w:rsidRPr="008573C5" w:rsidRDefault="005E7583" w:rsidP="00D47349">
      <w:pPr>
        <w:spacing w:line="360" w:lineRule="auto"/>
        <w:jc w:val="both"/>
      </w:pPr>
      <w:r w:rsidRPr="008573C5">
        <w:rPr>
          <w:lang w:val="en-GB"/>
        </w:rPr>
        <w:t>About sixty seven percent o</w:t>
      </w:r>
      <w:r w:rsidR="00D47349" w:rsidRPr="008573C5">
        <w:rPr>
          <w:lang w:val="en-GB"/>
        </w:rPr>
        <w:t xml:space="preserve">f the respondents </w:t>
      </w:r>
      <w:r w:rsidR="00491FA6" w:rsidRPr="008573C5">
        <w:rPr>
          <w:lang w:val="en-GB"/>
        </w:rPr>
        <w:t>are</w:t>
      </w:r>
      <w:r w:rsidR="00D47349" w:rsidRPr="008573C5">
        <w:rPr>
          <w:lang w:val="en-GB"/>
        </w:rPr>
        <w:t xml:space="preserve"> affirmative that the </w:t>
      </w:r>
      <w:r w:rsidR="00D47349" w:rsidRPr="008573C5">
        <w:t xml:space="preserve">failure of some Nigerian listed companies </w:t>
      </w:r>
      <w:r w:rsidR="00491FA6" w:rsidRPr="008573C5">
        <w:t>is</w:t>
      </w:r>
      <w:r w:rsidR="00D47349" w:rsidRPr="008573C5">
        <w:t xml:space="preserve"> due to partial or non-disclosure of relevant accounting information. </w:t>
      </w:r>
      <w:r w:rsidRPr="008573C5">
        <w:t xml:space="preserve">Not less than </w:t>
      </w:r>
      <w:r w:rsidRPr="008573C5">
        <w:rPr>
          <w:lang w:val="en-GB"/>
        </w:rPr>
        <w:t xml:space="preserve">78.9% </w:t>
      </w:r>
      <w:r w:rsidR="00491FA6" w:rsidRPr="008573C5">
        <w:rPr>
          <w:lang w:val="en-GB"/>
        </w:rPr>
        <w:t>are</w:t>
      </w:r>
      <w:r w:rsidR="00D47349" w:rsidRPr="008573C5">
        <w:rPr>
          <w:lang w:val="en-GB"/>
        </w:rPr>
        <w:t xml:space="preserve"> affirmative that p</w:t>
      </w:r>
      <w:r w:rsidR="00D47349" w:rsidRPr="008573C5">
        <w:t>artial or non-disclosure of relevant accounting information impedes investors’ decisions.</w:t>
      </w:r>
      <w:r w:rsidRPr="008573C5">
        <w:t xml:space="preserve"> About sixty four percent</w:t>
      </w:r>
      <w:r w:rsidR="00D47349" w:rsidRPr="008573C5">
        <w:t xml:space="preserve"> of the respondents </w:t>
      </w:r>
      <w:r w:rsidR="00491FA6" w:rsidRPr="008573C5">
        <w:t>are</w:t>
      </w:r>
      <w:r w:rsidR="00D47349" w:rsidRPr="008573C5">
        <w:t xml:space="preserve"> of the view that </w:t>
      </w:r>
      <w:r w:rsidR="00FC31EB" w:rsidRPr="008573C5">
        <w:t>non</w:t>
      </w:r>
      <w:r w:rsidR="00D47349" w:rsidRPr="008573C5">
        <w:t xml:space="preserve"> disclosure of relevant accounting standards </w:t>
      </w:r>
      <w:r w:rsidR="00FC31EB" w:rsidRPr="008573C5">
        <w:t xml:space="preserve">encourages </w:t>
      </w:r>
      <w:r w:rsidR="00D47349" w:rsidRPr="008573C5">
        <w:t>fraud</w:t>
      </w:r>
      <w:r w:rsidR="00FC31EB" w:rsidRPr="008573C5">
        <w:t xml:space="preserve">, 62.1% </w:t>
      </w:r>
      <w:r w:rsidR="003133A3" w:rsidRPr="008573C5">
        <w:t xml:space="preserve">of </w:t>
      </w:r>
      <w:r w:rsidR="00FC31EB" w:rsidRPr="008573C5">
        <w:t>the respondents agree that partial or non-disclosure of relevant accounting information limits prudent allocation of resources</w:t>
      </w:r>
      <w:r w:rsidR="00491FA6" w:rsidRPr="008573C5">
        <w:t xml:space="preserve">, and 76.8% </w:t>
      </w:r>
      <w:r w:rsidR="00FC31EB" w:rsidRPr="008573C5">
        <w:t>acced</w:t>
      </w:r>
      <w:r w:rsidR="00491FA6" w:rsidRPr="008573C5">
        <w:t>es</w:t>
      </w:r>
      <w:r w:rsidR="00FC31EB" w:rsidRPr="008573C5">
        <w:t xml:space="preserve"> to the fact that partial or non-disclosure of relevant accounting information erodes investors' confidence. </w:t>
      </w:r>
      <w:r w:rsidR="00D47349" w:rsidRPr="008573C5">
        <w:t>No statistically</w:t>
      </w:r>
      <w:r w:rsidR="00D47349" w:rsidRPr="008573C5">
        <w:rPr>
          <w:rFonts w:ascii="Times" w:hAnsi="Times" w:cs="Times"/>
        </w:rPr>
        <w:t xml:space="preserve"> significant difference </w:t>
      </w:r>
      <w:r w:rsidR="00CB6A0A" w:rsidRPr="008573C5">
        <w:rPr>
          <w:rFonts w:ascii="Times" w:hAnsi="Times" w:cs="Times"/>
        </w:rPr>
        <w:t>is</w:t>
      </w:r>
      <w:r w:rsidR="00D47349" w:rsidRPr="008573C5">
        <w:rPr>
          <w:rFonts w:ascii="Times" w:hAnsi="Times" w:cs="Times"/>
        </w:rPr>
        <w:t xml:space="preserve"> fo</w:t>
      </w:r>
      <w:r w:rsidR="00FC31EB" w:rsidRPr="008573C5">
        <w:rPr>
          <w:rFonts w:ascii="Times" w:hAnsi="Times" w:cs="Times"/>
        </w:rPr>
        <w:t>und in</w:t>
      </w:r>
      <w:r w:rsidR="00D47349" w:rsidRPr="008573C5">
        <w:rPr>
          <w:rFonts w:ascii="Times" w:hAnsi="Times" w:cs="Times"/>
        </w:rPr>
        <w:t xml:space="preserve"> the perception</w:t>
      </w:r>
      <w:r w:rsidR="00D47349" w:rsidRPr="008573C5">
        <w:t xml:space="preserve"> of preparers, auditors and users of accounting information</w:t>
      </w:r>
      <w:r w:rsidR="00FC31EB" w:rsidRPr="008573C5">
        <w:t>.</w:t>
      </w:r>
      <w:r w:rsidR="00D47349" w:rsidRPr="008573C5">
        <w:t xml:space="preserve"> </w:t>
      </w:r>
      <w:r w:rsidR="00FC31EB" w:rsidRPr="008573C5">
        <w:t xml:space="preserve">These findings reveal that all the respondents </w:t>
      </w:r>
      <w:r w:rsidR="00CB6A0A" w:rsidRPr="008573C5">
        <w:t>are</w:t>
      </w:r>
      <w:r w:rsidR="00C433BC" w:rsidRPr="008573C5">
        <w:t xml:space="preserve"> convinced of</w:t>
      </w:r>
      <w:r w:rsidR="00FC31EB" w:rsidRPr="008573C5">
        <w:t xml:space="preserve"> the adverse effect of not disclosing adequate and relevant accounting information.</w:t>
      </w:r>
      <w:r w:rsidR="004A21F5" w:rsidRPr="008573C5">
        <w:t xml:space="preserve"> Disclosing relevant accounting information </w:t>
      </w:r>
      <w:r w:rsidR="0099765D" w:rsidRPr="008573C5">
        <w:t>cannot be over empha</w:t>
      </w:r>
      <w:r w:rsidR="00C02496" w:rsidRPr="008573C5">
        <w:t>si</w:t>
      </w:r>
      <w:r w:rsidR="00CB6A0A" w:rsidRPr="008573C5">
        <w:t>sed</w:t>
      </w:r>
      <w:r w:rsidRPr="008573C5">
        <w:t xml:space="preserve">, it circumvents fraud, </w:t>
      </w:r>
      <w:r w:rsidR="0099765D" w:rsidRPr="008573C5">
        <w:t>serves as an early warning tool and</w:t>
      </w:r>
      <w:r w:rsidR="004A21F5" w:rsidRPr="008573C5">
        <w:t xml:space="preserve"> </w:t>
      </w:r>
      <w:r w:rsidR="0099765D" w:rsidRPr="008573C5">
        <w:t xml:space="preserve">is </w:t>
      </w:r>
      <w:r w:rsidR="004A21F5" w:rsidRPr="008573C5">
        <w:t xml:space="preserve">useful in making </w:t>
      </w:r>
      <w:r w:rsidR="0099765D" w:rsidRPr="008573C5">
        <w:t>vital and p</w:t>
      </w:r>
      <w:r w:rsidR="004A21F5" w:rsidRPr="008573C5">
        <w:t xml:space="preserve">rudent </w:t>
      </w:r>
      <w:r w:rsidR="0099765D" w:rsidRPr="008573C5">
        <w:t>decisions.</w:t>
      </w:r>
    </w:p>
    <w:p w:rsidR="00FC31EB" w:rsidRPr="008573C5" w:rsidRDefault="00FC31EB" w:rsidP="00D47349">
      <w:pPr>
        <w:spacing w:line="360" w:lineRule="auto"/>
        <w:jc w:val="both"/>
      </w:pPr>
    </w:p>
    <w:p w:rsidR="00156250" w:rsidRPr="008573C5" w:rsidRDefault="001F60B6" w:rsidP="007A27A9">
      <w:pPr>
        <w:spacing w:before="100" w:beforeAutospacing="1" w:after="100" w:afterAutospacing="1" w:line="360" w:lineRule="auto"/>
        <w:rPr>
          <w:b/>
          <w:sz w:val="28"/>
          <w:szCs w:val="28"/>
        </w:rPr>
      </w:pPr>
      <w:r w:rsidRPr="008573C5">
        <w:rPr>
          <w:b/>
          <w:sz w:val="28"/>
          <w:szCs w:val="28"/>
        </w:rPr>
        <w:t>5.</w:t>
      </w:r>
      <w:r w:rsidR="008E710E" w:rsidRPr="008573C5">
        <w:rPr>
          <w:b/>
          <w:sz w:val="28"/>
          <w:szCs w:val="28"/>
        </w:rPr>
        <w:t>3</w:t>
      </w:r>
      <w:r w:rsidRPr="008573C5">
        <w:rPr>
          <w:b/>
          <w:sz w:val="28"/>
          <w:szCs w:val="28"/>
        </w:rPr>
        <w:tab/>
      </w:r>
      <w:r w:rsidR="008E710E" w:rsidRPr="008573C5">
        <w:rPr>
          <w:b/>
          <w:sz w:val="28"/>
          <w:szCs w:val="28"/>
        </w:rPr>
        <w:t xml:space="preserve"> </w:t>
      </w:r>
      <w:r w:rsidR="00156250" w:rsidRPr="008573C5">
        <w:rPr>
          <w:b/>
          <w:sz w:val="28"/>
          <w:szCs w:val="28"/>
        </w:rPr>
        <w:t>R</w:t>
      </w:r>
      <w:r w:rsidR="00CD6A25" w:rsidRPr="008573C5">
        <w:rPr>
          <w:b/>
          <w:sz w:val="28"/>
          <w:szCs w:val="28"/>
        </w:rPr>
        <w:t>ecommendations</w:t>
      </w:r>
    </w:p>
    <w:p w:rsidR="00156250" w:rsidRPr="008573C5" w:rsidRDefault="00156250" w:rsidP="00B12E35">
      <w:pPr>
        <w:spacing w:before="100" w:beforeAutospacing="1" w:after="100" w:afterAutospacing="1" w:line="360" w:lineRule="auto"/>
        <w:jc w:val="both"/>
      </w:pPr>
      <w:r w:rsidRPr="008573C5">
        <w:t>The following</w:t>
      </w:r>
      <w:r w:rsidR="00925EFB" w:rsidRPr="008573C5">
        <w:t xml:space="preserve"> recommendations </w:t>
      </w:r>
      <w:r w:rsidR="00C06548" w:rsidRPr="008573C5">
        <w:t>are</w:t>
      </w:r>
      <w:r w:rsidR="00925EFB" w:rsidRPr="008573C5">
        <w:t xml:space="preserve"> outlined</w:t>
      </w:r>
      <w:r w:rsidR="00C06548" w:rsidRPr="008573C5">
        <w:t>, this will b</w:t>
      </w:r>
      <w:r w:rsidR="00925EFB" w:rsidRPr="008573C5">
        <w:t>e useful to stakeholders such as accountants, auditors, company manage</w:t>
      </w:r>
      <w:r w:rsidR="0035112E" w:rsidRPr="008573C5">
        <w:t>rs,</w:t>
      </w:r>
      <w:r w:rsidR="00925EFB" w:rsidRPr="008573C5">
        <w:t xml:space="preserve"> investors, financial analyst</w:t>
      </w:r>
      <w:r w:rsidR="00C433BC" w:rsidRPr="008573C5">
        <w:t>s</w:t>
      </w:r>
      <w:r w:rsidR="00925EFB" w:rsidRPr="008573C5">
        <w:t>, stock brokers and the regulatory bodies responsible for accounting standard setting and stock market regulation</w:t>
      </w:r>
      <w:r w:rsidR="00B12E35" w:rsidRPr="008573C5">
        <w:t>s</w:t>
      </w:r>
      <w:r w:rsidR="00925EFB" w:rsidRPr="008573C5">
        <w:t>.</w:t>
      </w:r>
    </w:p>
    <w:p w:rsidR="003F7E5D" w:rsidRPr="008573C5" w:rsidRDefault="00925EFB" w:rsidP="00DA5C49">
      <w:pPr>
        <w:pStyle w:val="ListParagraph"/>
        <w:numPr>
          <w:ilvl w:val="0"/>
          <w:numId w:val="31"/>
        </w:numPr>
        <w:autoSpaceDE w:val="0"/>
        <w:autoSpaceDN w:val="0"/>
        <w:adjustRightInd w:val="0"/>
        <w:spacing w:before="100" w:beforeAutospacing="1" w:after="100" w:afterAutospacing="1" w:line="360" w:lineRule="auto"/>
        <w:jc w:val="both"/>
        <w:rPr>
          <w:rFonts w:ascii="Times New Roman" w:hAnsi="Times New Roman"/>
          <w:b/>
          <w:sz w:val="24"/>
          <w:szCs w:val="24"/>
        </w:rPr>
      </w:pPr>
      <w:r w:rsidRPr="008573C5">
        <w:rPr>
          <w:rFonts w:ascii="Times New Roman" w:hAnsi="Times New Roman"/>
          <w:sz w:val="24"/>
          <w:szCs w:val="24"/>
        </w:rPr>
        <w:t xml:space="preserve">Adequate steps should be taken by </w:t>
      </w:r>
      <w:r w:rsidR="00537E4D" w:rsidRPr="008573C5">
        <w:rPr>
          <w:rFonts w:ascii="Times New Roman" w:hAnsi="Times New Roman"/>
          <w:sz w:val="24"/>
          <w:szCs w:val="24"/>
        </w:rPr>
        <w:t xml:space="preserve">the </w:t>
      </w:r>
      <w:r w:rsidRPr="008573C5">
        <w:rPr>
          <w:rFonts w:ascii="Times New Roman" w:hAnsi="Times New Roman"/>
          <w:sz w:val="24"/>
          <w:szCs w:val="24"/>
        </w:rPr>
        <w:t>Nigerian Accounting Standards Board (NASB), Securities Exchange Commission (SEC), Nigerian Stock Exchange (NSE) and other regulatory bodies to ensure full compliance with relevant na</w:t>
      </w:r>
      <w:r w:rsidR="00EB3395" w:rsidRPr="008573C5">
        <w:rPr>
          <w:rFonts w:ascii="Times New Roman" w:hAnsi="Times New Roman"/>
          <w:sz w:val="24"/>
          <w:szCs w:val="24"/>
        </w:rPr>
        <w:t xml:space="preserve">tional </w:t>
      </w:r>
      <w:r w:rsidRPr="008573C5">
        <w:rPr>
          <w:rFonts w:ascii="Times New Roman" w:hAnsi="Times New Roman"/>
          <w:sz w:val="24"/>
          <w:szCs w:val="24"/>
        </w:rPr>
        <w:t>accounting disclosure requirements.</w:t>
      </w:r>
      <w:r w:rsidR="00EB3395" w:rsidRPr="008573C5">
        <w:rPr>
          <w:rFonts w:ascii="Times New Roman" w:hAnsi="Times New Roman"/>
          <w:sz w:val="24"/>
          <w:szCs w:val="24"/>
        </w:rPr>
        <w:t xml:space="preserve"> An increase in the quality of infor</w:t>
      </w:r>
      <w:r w:rsidR="003F7E5D" w:rsidRPr="008573C5">
        <w:rPr>
          <w:rFonts w:ascii="Times New Roman" w:hAnsi="Times New Roman"/>
          <w:sz w:val="24"/>
          <w:szCs w:val="24"/>
        </w:rPr>
        <w:t xml:space="preserve">mation disclosure will help the users make informed predictions and </w:t>
      </w:r>
      <w:r w:rsidR="008E3CED" w:rsidRPr="008573C5">
        <w:rPr>
          <w:rFonts w:ascii="Times New Roman" w:hAnsi="Times New Roman"/>
          <w:sz w:val="24"/>
          <w:szCs w:val="24"/>
        </w:rPr>
        <w:t xml:space="preserve">aid the </w:t>
      </w:r>
      <w:r w:rsidR="003F7E5D" w:rsidRPr="008573C5">
        <w:rPr>
          <w:rFonts w:ascii="Times New Roman" w:hAnsi="Times New Roman"/>
          <w:sz w:val="24"/>
          <w:szCs w:val="24"/>
        </w:rPr>
        <w:t xml:space="preserve">evaluation of the </w:t>
      </w:r>
      <w:r w:rsidR="008E3CED" w:rsidRPr="008573C5">
        <w:rPr>
          <w:rFonts w:ascii="Times New Roman" w:hAnsi="Times New Roman"/>
          <w:sz w:val="24"/>
          <w:szCs w:val="24"/>
        </w:rPr>
        <w:t xml:space="preserve">company’s </w:t>
      </w:r>
      <w:r w:rsidR="003F7E5D" w:rsidRPr="008573C5">
        <w:rPr>
          <w:rFonts w:ascii="Times New Roman" w:hAnsi="Times New Roman"/>
          <w:sz w:val="24"/>
          <w:szCs w:val="24"/>
        </w:rPr>
        <w:t xml:space="preserve">progress which invariably </w:t>
      </w:r>
      <w:r w:rsidR="008E3CED" w:rsidRPr="008573C5">
        <w:rPr>
          <w:rFonts w:ascii="Times New Roman" w:hAnsi="Times New Roman"/>
          <w:sz w:val="24"/>
          <w:szCs w:val="24"/>
        </w:rPr>
        <w:t>would reinforce the stock</w:t>
      </w:r>
      <w:r w:rsidR="00EB3395" w:rsidRPr="008573C5">
        <w:rPr>
          <w:rFonts w:ascii="Times New Roman" w:hAnsi="Times New Roman"/>
          <w:sz w:val="24"/>
          <w:szCs w:val="24"/>
        </w:rPr>
        <w:t xml:space="preserve"> market </w:t>
      </w:r>
      <w:r w:rsidR="008E3CED" w:rsidRPr="008573C5">
        <w:rPr>
          <w:rFonts w:ascii="Times New Roman" w:hAnsi="Times New Roman"/>
          <w:sz w:val="24"/>
          <w:szCs w:val="24"/>
        </w:rPr>
        <w:t xml:space="preserve">development. </w:t>
      </w:r>
      <w:r w:rsidR="00CE4C0B" w:rsidRPr="008573C5">
        <w:rPr>
          <w:rFonts w:ascii="Times New Roman" w:hAnsi="Times New Roman"/>
          <w:sz w:val="24"/>
          <w:szCs w:val="24"/>
        </w:rPr>
        <w:t>Effective enforcement</w:t>
      </w:r>
      <w:r w:rsidRPr="008573C5">
        <w:rPr>
          <w:rFonts w:ascii="Times New Roman" w:hAnsi="Times New Roman"/>
          <w:sz w:val="24"/>
          <w:szCs w:val="24"/>
        </w:rPr>
        <w:t xml:space="preserve"> program</w:t>
      </w:r>
      <w:r w:rsidR="00C433BC" w:rsidRPr="008573C5">
        <w:rPr>
          <w:rFonts w:ascii="Times New Roman" w:hAnsi="Times New Roman"/>
          <w:sz w:val="24"/>
          <w:szCs w:val="24"/>
        </w:rPr>
        <w:t>mes</w:t>
      </w:r>
      <w:r w:rsidRPr="008573C5">
        <w:rPr>
          <w:rFonts w:ascii="Times New Roman" w:hAnsi="Times New Roman"/>
          <w:sz w:val="24"/>
          <w:szCs w:val="24"/>
        </w:rPr>
        <w:t xml:space="preserve"> should be put in place to </w:t>
      </w:r>
      <w:r w:rsidR="008E3CED" w:rsidRPr="008573C5">
        <w:rPr>
          <w:rFonts w:ascii="Times New Roman" w:hAnsi="Times New Roman"/>
          <w:sz w:val="24"/>
          <w:szCs w:val="24"/>
        </w:rPr>
        <w:t>protect the interest of the diverse user groups. Stringent reward/punishment program</w:t>
      </w:r>
      <w:r w:rsidR="00A37CA4" w:rsidRPr="008573C5">
        <w:rPr>
          <w:rFonts w:ascii="Times New Roman" w:hAnsi="Times New Roman"/>
          <w:sz w:val="24"/>
          <w:szCs w:val="24"/>
        </w:rPr>
        <w:t>me</w:t>
      </w:r>
      <w:r w:rsidR="008E3CED" w:rsidRPr="008573C5">
        <w:rPr>
          <w:rFonts w:ascii="Times New Roman" w:hAnsi="Times New Roman"/>
          <w:sz w:val="24"/>
          <w:szCs w:val="24"/>
        </w:rPr>
        <w:t xml:space="preserve"> should be introduced in order to e</w:t>
      </w:r>
      <w:r w:rsidRPr="008573C5">
        <w:rPr>
          <w:rFonts w:ascii="Times New Roman" w:hAnsi="Times New Roman"/>
          <w:sz w:val="24"/>
          <w:szCs w:val="24"/>
        </w:rPr>
        <w:t xml:space="preserve">nsure that all listed companies </w:t>
      </w:r>
      <w:r w:rsidR="00EB3395" w:rsidRPr="008573C5">
        <w:rPr>
          <w:rFonts w:ascii="Times New Roman" w:hAnsi="Times New Roman"/>
          <w:sz w:val="24"/>
          <w:szCs w:val="24"/>
        </w:rPr>
        <w:t>comply with the mandatory accounting standards in Nigeria.</w:t>
      </w:r>
    </w:p>
    <w:p w:rsidR="00EB3395" w:rsidRPr="008573C5" w:rsidRDefault="00DA5C49" w:rsidP="007A27A9">
      <w:pPr>
        <w:pStyle w:val="ListParagraph"/>
        <w:numPr>
          <w:ilvl w:val="0"/>
          <w:numId w:val="31"/>
        </w:numPr>
        <w:autoSpaceDE w:val="0"/>
        <w:autoSpaceDN w:val="0"/>
        <w:adjustRightInd w:val="0"/>
        <w:spacing w:before="100" w:beforeAutospacing="1" w:after="100" w:afterAutospacing="1" w:line="360" w:lineRule="auto"/>
        <w:jc w:val="both"/>
        <w:rPr>
          <w:rFonts w:ascii="Times New Roman" w:hAnsi="Times New Roman"/>
          <w:sz w:val="24"/>
          <w:szCs w:val="24"/>
        </w:rPr>
      </w:pPr>
      <w:r w:rsidRPr="008573C5">
        <w:rPr>
          <w:rFonts w:ascii="Times New Roman" w:hAnsi="Times New Roman"/>
          <w:sz w:val="24"/>
          <w:szCs w:val="24"/>
        </w:rPr>
        <w:t>T</w:t>
      </w:r>
      <w:r w:rsidR="00CE4C0B" w:rsidRPr="008573C5">
        <w:rPr>
          <w:rFonts w:ascii="Times New Roman" w:hAnsi="Times New Roman"/>
          <w:sz w:val="24"/>
          <w:szCs w:val="24"/>
        </w:rPr>
        <w:t>he high compliance of large listed companies can be related to low information costs</w:t>
      </w:r>
      <w:r w:rsidR="009013E2" w:rsidRPr="008573C5">
        <w:rPr>
          <w:rFonts w:ascii="Times New Roman" w:hAnsi="Times New Roman"/>
          <w:sz w:val="24"/>
          <w:szCs w:val="24"/>
        </w:rPr>
        <w:t xml:space="preserve"> which could have resulted from the use of modern information technology </w:t>
      </w:r>
      <w:r w:rsidR="005C15DE" w:rsidRPr="008573C5">
        <w:rPr>
          <w:rFonts w:ascii="Times New Roman" w:hAnsi="Times New Roman"/>
          <w:sz w:val="24"/>
          <w:szCs w:val="24"/>
        </w:rPr>
        <w:t>(IT)</w:t>
      </w:r>
      <w:r w:rsidR="009013E2" w:rsidRPr="008573C5">
        <w:rPr>
          <w:rFonts w:ascii="Times New Roman" w:hAnsi="Times New Roman"/>
          <w:sz w:val="24"/>
          <w:szCs w:val="24"/>
        </w:rPr>
        <w:t>.</w:t>
      </w:r>
      <w:r w:rsidR="00CE4C0B" w:rsidRPr="008573C5">
        <w:rPr>
          <w:rFonts w:ascii="Times New Roman" w:hAnsi="Times New Roman"/>
          <w:sz w:val="24"/>
          <w:szCs w:val="24"/>
        </w:rPr>
        <w:t xml:space="preserve"> The government </w:t>
      </w:r>
      <w:r w:rsidR="009013E2" w:rsidRPr="008573C5">
        <w:rPr>
          <w:rFonts w:ascii="Times New Roman" w:hAnsi="Times New Roman"/>
          <w:sz w:val="24"/>
          <w:szCs w:val="24"/>
        </w:rPr>
        <w:t>should</w:t>
      </w:r>
      <w:r w:rsidR="00440FCE" w:rsidRPr="008573C5">
        <w:rPr>
          <w:rFonts w:ascii="Times New Roman" w:hAnsi="Times New Roman"/>
          <w:sz w:val="24"/>
          <w:szCs w:val="24"/>
        </w:rPr>
        <w:t xml:space="preserve"> </w:t>
      </w:r>
      <w:r w:rsidR="009013E2" w:rsidRPr="008573C5">
        <w:rPr>
          <w:rFonts w:ascii="Times New Roman" w:hAnsi="Times New Roman"/>
          <w:sz w:val="24"/>
          <w:szCs w:val="24"/>
        </w:rPr>
        <w:t xml:space="preserve">encourage </w:t>
      </w:r>
      <w:r w:rsidR="00440FCE" w:rsidRPr="008573C5">
        <w:rPr>
          <w:rFonts w:ascii="Times New Roman" w:hAnsi="Times New Roman"/>
          <w:sz w:val="24"/>
          <w:szCs w:val="24"/>
        </w:rPr>
        <w:t xml:space="preserve">smaller </w:t>
      </w:r>
      <w:r w:rsidR="009013E2" w:rsidRPr="008573C5">
        <w:rPr>
          <w:rFonts w:ascii="Times New Roman" w:hAnsi="Times New Roman"/>
          <w:sz w:val="24"/>
          <w:szCs w:val="24"/>
        </w:rPr>
        <w:t xml:space="preserve">companies by </w:t>
      </w:r>
      <w:r w:rsidR="00440FCE" w:rsidRPr="008573C5">
        <w:rPr>
          <w:rFonts w:ascii="Times New Roman" w:hAnsi="Times New Roman"/>
          <w:sz w:val="24"/>
          <w:szCs w:val="24"/>
        </w:rPr>
        <w:t>promoting</w:t>
      </w:r>
      <w:r w:rsidR="009013E2" w:rsidRPr="008573C5">
        <w:rPr>
          <w:rFonts w:ascii="Times New Roman" w:hAnsi="Times New Roman"/>
          <w:sz w:val="24"/>
          <w:szCs w:val="24"/>
        </w:rPr>
        <w:t xml:space="preserve"> the developm</w:t>
      </w:r>
      <w:r w:rsidR="005C15DE" w:rsidRPr="008573C5">
        <w:rPr>
          <w:rFonts w:ascii="Times New Roman" w:hAnsi="Times New Roman"/>
          <w:sz w:val="24"/>
          <w:szCs w:val="24"/>
        </w:rPr>
        <w:t>ent of I</w:t>
      </w:r>
      <w:r w:rsidR="00F556E3" w:rsidRPr="008573C5">
        <w:rPr>
          <w:rFonts w:ascii="Times New Roman" w:hAnsi="Times New Roman"/>
          <w:sz w:val="24"/>
          <w:szCs w:val="24"/>
        </w:rPr>
        <w:t>T</w:t>
      </w:r>
      <w:r w:rsidR="009013E2" w:rsidRPr="008573C5">
        <w:rPr>
          <w:rFonts w:ascii="Times New Roman" w:hAnsi="Times New Roman"/>
          <w:sz w:val="24"/>
          <w:szCs w:val="24"/>
        </w:rPr>
        <w:t xml:space="preserve"> in Nigeria</w:t>
      </w:r>
      <w:r w:rsidR="00440FCE" w:rsidRPr="008573C5">
        <w:rPr>
          <w:rFonts w:ascii="Times New Roman" w:hAnsi="Times New Roman"/>
          <w:sz w:val="24"/>
          <w:szCs w:val="24"/>
        </w:rPr>
        <w:t xml:space="preserve">. Every </w:t>
      </w:r>
      <w:r w:rsidR="009013E2" w:rsidRPr="008573C5">
        <w:rPr>
          <w:rFonts w:ascii="Times New Roman" w:hAnsi="Times New Roman"/>
          <w:sz w:val="24"/>
          <w:szCs w:val="24"/>
        </w:rPr>
        <w:t xml:space="preserve">organization </w:t>
      </w:r>
      <w:r w:rsidR="00440FCE" w:rsidRPr="008573C5">
        <w:rPr>
          <w:rFonts w:ascii="Times New Roman" w:hAnsi="Times New Roman"/>
          <w:sz w:val="24"/>
          <w:szCs w:val="24"/>
        </w:rPr>
        <w:t xml:space="preserve">should be able to afford </w:t>
      </w:r>
      <w:r w:rsidR="009013E2" w:rsidRPr="008573C5">
        <w:rPr>
          <w:rFonts w:ascii="Times New Roman" w:hAnsi="Times New Roman"/>
          <w:sz w:val="24"/>
          <w:szCs w:val="24"/>
        </w:rPr>
        <w:t>state-of-the-art IT tools</w:t>
      </w:r>
      <w:r w:rsidR="00ED1C68" w:rsidRPr="008573C5">
        <w:rPr>
          <w:rFonts w:ascii="Times New Roman" w:hAnsi="Times New Roman"/>
          <w:sz w:val="24"/>
          <w:szCs w:val="24"/>
        </w:rPr>
        <w:t>. T</w:t>
      </w:r>
      <w:r w:rsidR="009013E2" w:rsidRPr="008573C5">
        <w:rPr>
          <w:rFonts w:ascii="Times New Roman" w:hAnsi="Times New Roman"/>
          <w:sz w:val="24"/>
          <w:szCs w:val="24"/>
        </w:rPr>
        <w:t xml:space="preserve">his will reduce information cost and encourage </w:t>
      </w:r>
      <w:r w:rsidR="00440FCE" w:rsidRPr="008573C5">
        <w:rPr>
          <w:rFonts w:ascii="Times New Roman" w:hAnsi="Times New Roman"/>
          <w:sz w:val="24"/>
          <w:szCs w:val="24"/>
        </w:rPr>
        <w:t>the disclosure of adequate accounting information.</w:t>
      </w:r>
    </w:p>
    <w:p w:rsidR="006F6638" w:rsidRPr="008573C5" w:rsidRDefault="00DA5C49" w:rsidP="00DA5C49">
      <w:pPr>
        <w:pStyle w:val="ListParagraph"/>
        <w:numPr>
          <w:ilvl w:val="0"/>
          <w:numId w:val="31"/>
        </w:numPr>
        <w:autoSpaceDE w:val="0"/>
        <w:autoSpaceDN w:val="0"/>
        <w:adjustRightInd w:val="0"/>
        <w:spacing w:before="100" w:beforeAutospacing="1" w:after="100" w:afterAutospacing="1" w:line="360" w:lineRule="auto"/>
        <w:jc w:val="both"/>
        <w:rPr>
          <w:rFonts w:ascii="Times New Roman" w:hAnsi="Times New Roman"/>
          <w:sz w:val="24"/>
          <w:szCs w:val="24"/>
        </w:rPr>
      </w:pPr>
      <w:r w:rsidRPr="008573C5">
        <w:rPr>
          <w:rFonts w:ascii="Times New Roman" w:hAnsi="Times New Roman"/>
          <w:sz w:val="24"/>
          <w:szCs w:val="24"/>
        </w:rPr>
        <w:t>T</w:t>
      </w:r>
      <w:r w:rsidR="006F6638" w:rsidRPr="008573C5">
        <w:rPr>
          <w:rFonts w:ascii="Times New Roman" w:hAnsi="Times New Roman"/>
          <w:sz w:val="24"/>
          <w:szCs w:val="24"/>
        </w:rPr>
        <w:t xml:space="preserve">he Big four audited 73.4% of the sampled listed companies and auditor type is quite crucial in explaining disclosure practices. Therefore small audit firms should be encouraged to grow up, through merger or acquisition. With </w:t>
      </w:r>
      <w:r w:rsidR="00A37CA4" w:rsidRPr="008573C5">
        <w:rPr>
          <w:rFonts w:ascii="Times New Roman" w:hAnsi="Times New Roman"/>
          <w:sz w:val="24"/>
          <w:szCs w:val="24"/>
        </w:rPr>
        <w:t>consolidation</w:t>
      </w:r>
      <w:r w:rsidR="006F6638" w:rsidRPr="008573C5">
        <w:rPr>
          <w:rFonts w:ascii="Times New Roman" w:hAnsi="Times New Roman"/>
          <w:sz w:val="24"/>
          <w:szCs w:val="24"/>
        </w:rPr>
        <w:t xml:space="preserve"> audit firms can b</w:t>
      </w:r>
      <w:r w:rsidR="005C15DE" w:rsidRPr="008573C5">
        <w:rPr>
          <w:rFonts w:ascii="Times New Roman" w:hAnsi="Times New Roman"/>
          <w:sz w:val="24"/>
          <w:szCs w:val="24"/>
        </w:rPr>
        <w:t>e equipped with the necessary</w:t>
      </w:r>
      <w:r w:rsidR="00C06548" w:rsidRPr="008573C5">
        <w:rPr>
          <w:rFonts w:ascii="Times New Roman" w:hAnsi="Times New Roman"/>
          <w:sz w:val="24"/>
          <w:szCs w:val="24"/>
        </w:rPr>
        <w:t xml:space="preserve"> skilled staff,</w:t>
      </w:r>
      <w:r w:rsidR="005C15DE" w:rsidRPr="008573C5">
        <w:rPr>
          <w:rFonts w:ascii="Times New Roman" w:hAnsi="Times New Roman"/>
          <w:sz w:val="24"/>
          <w:szCs w:val="24"/>
        </w:rPr>
        <w:t xml:space="preserve"> </w:t>
      </w:r>
      <w:r w:rsidR="006F6638" w:rsidRPr="008573C5">
        <w:rPr>
          <w:rFonts w:ascii="Times New Roman" w:hAnsi="Times New Roman"/>
          <w:sz w:val="24"/>
          <w:szCs w:val="24"/>
        </w:rPr>
        <w:t xml:space="preserve">software and hardware that will enable them </w:t>
      </w:r>
      <w:r w:rsidR="00A37CA4" w:rsidRPr="008573C5">
        <w:rPr>
          <w:rFonts w:ascii="Times New Roman" w:hAnsi="Times New Roman"/>
          <w:sz w:val="24"/>
          <w:szCs w:val="24"/>
        </w:rPr>
        <w:t xml:space="preserve">to </w:t>
      </w:r>
      <w:r w:rsidR="006F6638" w:rsidRPr="008573C5">
        <w:rPr>
          <w:rFonts w:ascii="Times New Roman" w:hAnsi="Times New Roman"/>
          <w:sz w:val="24"/>
          <w:szCs w:val="24"/>
        </w:rPr>
        <w:t xml:space="preserve">compete with the Big four firms. Information cost can be reduced, and </w:t>
      </w:r>
      <w:r w:rsidR="003F7E5D" w:rsidRPr="008573C5">
        <w:rPr>
          <w:rFonts w:ascii="Times New Roman" w:hAnsi="Times New Roman"/>
          <w:sz w:val="24"/>
          <w:szCs w:val="24"/>
        </w:rPr>
        <w:t xml:space="preserve">moreover </w:t>
      </w:r>
      <w:r w:rsidR="006F6638" w:rsidRPr="008573C5">
        <w:rPr>
          <w:rFonts w:ascii="Times New Roman" w:hAnsi="Times New Roman"/>
          <w:sz w:val="24"/>
          <w:szCs w:val="24"/>
        </w:rPr>
        <w:t>the</w:t>
      </w:r>
      <w:r w:rsidR="003F7E5D" w:rsidRPr="008573C5">
        <w:rPr>
          <w:rFonts w:ascii="Times New Roman" w:hAnsi="Times New Roman"/>
          <w:sz w:val="24"/>
          <w:szCs w:val="24"/>
        </w:rPr>
        <w:t xml:space="preserve"> audit firms</w:t>
      </w:r>
      <w:r w:rsidR="006F6638" w:rsidRPr="008573C5">
        <w:rPr>
          <w:rFonts w:ascii="Times New Roman" w:hAnsi="Times New Roman"/>
          <w:sz w:val="24"/>
          <w:szCs w:val="24"/>
        </w:rPr>
        <w:t xml:space="preserve"> would not have to compromise</w:t>
      </w:r>
      <w:r w:rsidR="003F7E5D" w:rsidRPr="008573C5">
        <w:rPr>
          <w:rFonts w:ascii="Times New Roman" w:hAnsi="Times New Roman"/>
          <w:sz w:val="24"/>
          <w:szCs w:val="24"/>
        </w:rPr>
        <w:t xml:space="preserve"> the level of disclosure out of fear.</w:t>
      </w:r>
    </w:p>
    <w:p w:rsidR="00F6599A" w:rsidRPr="008573C5" w:rsidRDefault="00DA5C49" w:rsidP="00DA5C49">
      <w:pPr>
        <w:pStyle w:val="ListParagraph"/>
        <w:numPr>
          <w:ilvl w:val="0"/>
          <w:numId w:val="31"/>
        </w:numPr>
        <w:autoSpaceDE w:val="0"/>
        <w:autoSpaceDN w:val="0"/>
        <w:adjustRightInd w:val="0"/>
        <w:spacing w:before="100" w:beforeAutospacing="1" w:after="100" w:afterAutospacing="1" w:line="360" w:lineRule="auto"/>
        <w:jc w:val="both"/>
        <w:rPr>
          <w:rFonts w:ascii="Times New Roman" w:hAnsi="Times New Roman"/>
          <w:sz w:val="24"/>
          <w:szCs w:val="24"/>
        </w:rPr>
      </w:pPr>
      <w:r w:rsidRPr="008573C5">
        <w:rPr>
          <w:rFonts w:ascii="Times New Roman" w:hAnsi="Times New Roman"/>
          <w:sz w:val="24"/>
          <w:szCs w:val="24"/>
        </w:rPr>
        <w:t>N</w:t>
      </w:r>
      <w:r w:rsidR="00F67719" w:rsidRPr="008573C5">
        <w:rPr>
          <w:rFonts w:ascii="Times New Roman" w:hAnsi="Times New Roman"/>
          <w:sz w:val="24"/>
          <w:szCs w:val="24"/>
        </w:rPr>
        <w:t xml:space="preserve">ASB should improve its standards to gain relevance and enhance the acceptance of financial statements prepared using the SASs by diverse users. There are many </w:t>
      </w:r>
      <w:r w:rsidR="004A019C" w:rsidRPr="008573C5">
        <w:rPr>
          <w:rFonts w:ascii="Times New Roman" w:hAnsi="Times New Roman"/>
          <w:sz w:val="24"/>
          <w:szCs w:val="24"/>
        </w:rPr>
        <w:t>accounting issues covered by IFRSs which are omitted in SASs. Therefore all SASs</w:t>
      </w:r>
      <w:r w:rsidR="00F67719" w:rsidRPr="008573C5">
        <w:rPr>
          <w:rFonts w:ascii="Times New Roman" w:hAnsi="Times New Roman"/>
          <w:sz w:val="24"/>
          <w:szCs w:val="24"/>
        </w:rPr>
        <w:t xml:space="preserve"> should be overhauled by incorporating all relevan</w:t>
      </w:r>
      <w:r w:rsidR="00ED1C68" w:rsidRPr="008573C5">
        <w:rPr>
          <w:rFonts w:ascii="Times New Roman" w:hAnsi="Times New Roman"/>
          <w:sz w:val="24"/>
          <w:szCs w:val="24"/>
        </w:rPr>
        <w:t>t</w:t>
      </w:r>
      <w:r w:rsidR="00F67719" w:rsidRPr="008573C5">
        <w:rPr>
          <w:rFonts w:ascii="Times New Roman" w:hAnsi="Times New Roman"/>
          <w:sz w:val="24"/>
          <w:szCs w:val="24"/>
        </w:rPr>
        <w:t xml:space="preserve"> </w:t>
      </w:r>
      <w:r w:rsidR="004A019C" w:rsidRPr="008573C5">
        <w:rPr>
          <w:rFonts w:ascii="Times New Roman" w:hAnsi="Times New Roman"/>
          <w:sz w:val="24"/>
          <w:szCs w:val="24"/>
        </w:rPr>
        <w:t xml:space="preserve">sections and paragraphs in IFRSs not yet addressed by it. </w:t>
      </w:r>
      <w:r w:rsidR="00F6599A" w:rsidRPr="008573C5">
        <w:rPr>
          <w:rFonts w:ascii="Times New Roman" w:hAnsi="Times New Roman"/>
          <w:sz w:val="24"/>
          <w:szCs w:val="24"/>
        </w:rPr>
        <w:t xml:space="preserve">Alternatively, the NASB should seriously consider </w:t>
      </w:r>
      <w:r w:rsidR="004A019C" w:rsidRPr="008573C5">
        <w:rPr>
          <w:rFonts w:ascii="Times New Roman" w:hAnsi="Times New Roman"/>
          <w:sz w:val="24"/>
          <w:szCs w:val="24"/>
        </w:rPr>
        <w:t xml:space="preserve">adopting the IFRSs </w:t>
      </w:r>
      <w:r w:rsidR="00F6599A" w:rsidRPr="008573C5">
        <w:rPr>
          <w:rFonts w:ascii="Times New Roman" w:hAnsi="Times New Roman"/>
          <w:sz w:val="24"/>
          <w:szCs w:val="24"/>
        </w:rPr>
        <w:t>in order for Nigeria</w:t>
      </w:r>
      <w:r w:rsidR="004A019C" w:rsidRPr="008573C5">
        <w:rPr>
          <w:rFonts w:ascii="Times New Roman" w:hAnsi="Times New Roman"/>
          <w:sz w:val="24"/>
          <w:szCs w:val="24"/>
        </w:rPr>
        <w:t xml:space="preserve"> to keep up with the </w:t>
      </w:r>
      <w:r w:rsidR="00F6599A" w:rsidRPr="008573C5">
        <w:rPr>
          <w:rFonts w:ascii="Times New Roman" w:hAnsi="Times New Roman"/>
          <w:sz w:val="24"/>
          <w:szCs w:val="24"/>
        </w:rPr>
        <w:t>global</w:t>
      </w:r>
      <w:r w:rsidR="004A019C" w:rsidRPr="008573C5">
        <w:rPr>
          <w:rFonts w:ascii="Times New Roman" w:hAnsi="Times New Roman"/>
          <w:sz w:val="24"/>
          <w:szCs w:val="24"/>
        </w:rPr>
        <w:t xml:space="preserve"> trend.</w:t>
      </w:r>
    </w:p>
    <w:p w:rsidR="00B95CDE" w:rsidRPr="008573C5" w:rsidRDefault="00DA5C49" w:rsidP="00DA5C49">
      <w:pPr>
        <w:pStyle w:val="ListParagraph"/>
        <w:numPr>
          <w:ilvl w:val="0"/>
          <w:numId w:val="31"/>
        </w:numPr>
        <w:autoSpaceDE w:val="0"/>
        <w:autoSpaceDN w:val="0"/>
        <w:adjustRightInd w:val="0"/>
        <w:spacing w:before="100" w:beforeAutospacing="1" w:after="100" w:afterAutospacing="1" w:line="360" w:lineRule="auto"/>
        <w:jc w:val="both"/>
        <w:rPr>
          <w:rFonts w:ascii="Times New Roman" w:hAnsi="Times New Roman"/>
          <w:sz w:val="24"/>
          <w:szCs w:val="24"/>
        </w:rPr>
      </w:pPr>
      <w:r w:rsidRPr="008573C5">
        <w:rPr>
          <w:rFonts w:ascii="Times New Roman" w:hAnsi="Times New Roman"/>
          <w:sz w:val="24"/>
          <w:szCs w:val="24"/>
        </w:rPr>
        <w:t>A</w:t>
      </w:r>
      <w:r w:rsidR="004A019C" w:rsidRPr="008573C5">
        <w:rPr>
          <w:rFonts w:ascii="Times New Roman" w:hAnsi="Times New Roman"/>
          <w:sz w:val="24"/>
          <w:szCs w:val="24"/>
        </w:rPr>
        <w:t>ll Nigerian listed companies should c</w:t>
      </w:r>
      <w:r w:rsidR="00F6599A" w:rsidRPr="008573C5">
        <w:rPr>
          <w:rFonts w:ascii="Times New Roman" w:hAnsi="Times New Roman"/>
          <w:sz w:val="24"/>
          <w:szCs w:val="24"/>
        </w:rPr>
        <w:t xml:space="preserve">onsider maintaining </w:t>
      </w:r>
      <w:r w:rsidR="005910CB" w:rsidRPr="008573C5">
        <w:rPr>
          <w:rFonts w:ascii="Times New Roman" w:hAnsi="Times New Roman"/>
          <w:sz w:val="24"/>
          <w:szCs w:val="24"/>
        </w:rPr>
        <w:t xml:space="preserve">two sets of report in the annual report document. The first set should be a report using SASs which is the national requirement while the second set of report should </w:t>
      </w:r>
      <w:r w:rsidR="00ED1C68" w:rsidRPr="008573C5">
        <w:rPr>
          <w:rFonts w:ascii="Times New Roman" w:hAnsi="Times New Roman"/>
          <w:sz w:val="24"/>
          <w:szCs w:val="24"/>
        </w:rPr>
        <w:t xml:space="preserve">use </w:t>
      </w:r>
      <w:r w:rsidR="005910CB" w:rsidRPr="008573C5">
        <w:rPr>
          <w:rFonts w:ascii="Times New Roman" w:hAnsi="Times New Roman"/>
          <w:sz w:val="24"/>
          <w:szCs w:val="24"/>
        </w:rPr>
        <w:t xml:space="preserve">IFRSs, in particular for </w:t>
      </w:r>
      <w:r w:rsidR="00F6599A" w:rsidRPr="008573C5">
        <w:rPr>
          <w:rFonts w:ascii="Times New Roman" w:hAnsi="Times New Roman"/>
          <w:sz w:val="24"/>
          <w:szCs w:val="24"/>
        </w:rPr>
        <w:t xml:space="preserve">international </w:t>
      </w:r>
      <w:r w:rsidR="005910CB" w:rsidRPr="008573C5">
        <w:rPr>
          <w:rFonts w:ascii="Times New Roman" w:hAnsi="Times New Roman"/>
          <w:sz w:val="24"/>
          <w:szCs w:val="24"/>
        </w:rPr>
        <w:t>audience</w:t>
      </w:r>
      <w:r w:rsidR="00F6599A" w:rsidRPr="008573C5">
        <w:rPr>
          <w:rFonts w:ascii="Times New Roman" w:hAnsi="Times New Roman"/>
          <w:sz w:val="24"/>
          <w:szCs w:val="24"/>
        </w:rPr>
        <w:t xml:space="preserve">. </w:t>
      </w:r>
      <w:r w:rsidR="005910CB" w:rsidRPr="008573C5">
        <w:rPr>
          <w:rFonts w:ascii="Times New Roman" w:hAnsi="Times New Roman"/>
          <w:sz w:val="24"/>
          <w:szCs w:val="24"/>
        </w:rPr>
        <w:t xml:space="preserve">This will </w:t>
      </w:r>
      <w:r w:rsidR="00BA17C8" w:rsidRPr="008573C5">
        <w:rPr>
          <w:rFonts w:ascii="Times New Roman" w:hAnsi="Times New Roman"/>
          <w:sz w:val="24"/>
          <w:szCs w:val="24"/>
        </w:rPr>
        <w:t xml:space="preserve">make the financial statements comparable and will therefore </w:t>
      </w:r>
      <w:r w:rsidR="005910CB" w:rsidRPr="008573C5">
        <w:rPr>
          <w:rFonts w:ascii="Times New Roman" w:hAnsi="Times New Roman"/>
          <w:sz w:val="24"/>
          <w:szCs w:val="24"/>
        </w:rPr>
        <w:t>enhance global competition</w:t>
      </w:r>
      <w:r w:rsidR="00BA17C8" w:rsidRPr="008573C5">
        <w:rPr>
          <w:rFonts w:ascii="Times New Roman" w:hAnsi="Times New Roman"/>
          <w:sz w:val="24"/>
          <w:szCs w:val="24"/>
        </w:rPr>
        <w:t>,</w:t>
      </w:r>
      <w:r w:rsidR="005910CB" w:rsidRPr="008573C5">
        <w:rPr>
          <w:rFonts w:ascii="Times New Roman" w:hAnsi="Times New Roman"/>
          <w:sz w:val="24"/>
          <w:szCs w:val="24"/>
        </w:rPr>
        <w:t xml:space="preserve"> inflow </w:t>
      </w:r>
      <w:r w:rsidR="00BA17C8" w:rsidRPr="008573C5">
        <w:rPr>
          <w:rFonts w:ascii="Times New Roman" w:hAnsi="Times New Roman"/>
          <w:sz w:val="24"/>
          <w:szCs w:val="24"/>
        </w:rPr>
        <w:t>of</w:t>
      </w:r>
      <w:r w:rsidR="005910CB" w:rsidRPr="008573C5">
        <w:rPr>
          <w:rFonts w:ascii="Times New Roman" w:hAnsi="Times New Roman"/>
          <w:sz w:val="24"/>
          <w:szCs w:val="24"/>
        </w:rPr>
        <w:t xml:space="preserve"> foreign direct investment</w:t>
      </w:r>
      <w:r w:rsidR="00BA17C8" w:rsidRPr="008573C5">
        <w:rPr>
          <w:rFonts w:ascii="Times New Roman" w:hAnsi="Times New Roman"/>
          <w:sz w:val="24"/>
          <w:szCs w:val="24"/>
        </w:rPr>
        <w:t xml:space="preserve">, and </w:t>
      </w:r>
      <w:r w:rsidR="005910CB" w:rsidRPr="008573C5">
        <w:rPr>
          <w:rFonts w:ascii="Times New Roman" w:hAnsi="Times New Roman"/>
          <w:sz w:val="24"/>
          <w:szCs w:val="24"/>
        </w:rPr>
        <w:t>international listings.</w:t>
      </w:r>
    </w:p>
    <w:p w:rsidR="008E710E" w:rsidRPr="008573C5" w:rsidRDefault="008E710E" w:rsidP="008E710E">
      <w:pPr>
        <w:spacing w:before="100" w:beforeAutospacing="1" w:after="100" w:afterAutospacing="1" w:line="360" w:lineRule="auto"/>
        <w:jc w:val="both"/>
        <w:rPr>
          <w:b/>
          <w:sz w:val="28"/>
          <w:szCs w:val="28"/>
        </w:rPr>
      </w:pPr>
      <w:r w:rsidRPr="008573C5">
        <w:rPr>
          <w:b/>
          <w:sz w:val="28"/>
          <w:szCs w:val="28"/>
        </w:rPr>
        <w:t>5.4</w:t>
      </w:r>
      <w:r w:rsidRPr="008573C5">
        <w:rPr>
          <w:b/>
          <w:sz w:val="28"/>
          <w:szCs w:val="28"/>
        </w:rPr>
        <w:tab/>
      </w:r>
      <w:r w:rsidRPr="008573C5">
        <w:rPr>
          <w:b/>
          <w:sz w:val="28"/>
          <w:szCs w:val="28"/>
        </w:rPr>
        <w:tab/>
        <w:t>Conclusion</w:t>
      </w:r>
      <w:r w:rsidR="00F556E3" w:rsidRPr="008573C5">
        <w:rPr>
          <w:b/>
          <w:sz w:val="28"/>
          <w:szCs w:val="28"/>
        </w:rPr>
        <w:t>s</w:t>
      </w:r>
    </w:p>
    <w:p w:rsidR="008E710E" w:rsidRPr="008573C5" w:rsidRDefault="008E710E" w:rsidP="007A27A9">
      <w:pPr>
        <w:spacing w:before="100" w:beforeAutospacing="1" w:after="100" w:afterAutospacing="1" w:line="360" w:lineRule="auto"/>
        <w:jc w:val="both"/>
        <w:rPr>
          <w:bCs/>
        </w:rPr>
      </w:pPr>
      <w:r w:rsidRPr="008573C5">
        <w:t xml:space="preserve">Findings of empirical studies on disclosure practices </w:t>
      </w:r>
      <w:r w:rsidR="0035112E" w:rsidRPr="008573C5">
        <w:t>are</w:t>
      </w:r>
      <w:r w:rsidRPr="008573C5">
        <w:t xml:space="preserve"> varied and conflicting. Variations ha</w:t>
      </w:r>
      <w:r w:rsidR="00280A1A" w:rsidRPr="008573C5">
        <w:t>ve</w:t>
      </w:r>
      <w:r w:rsidRPr="008573C5">
        <w:t xml:space="preserve"> emerged</w:t>
      </w:r>
      <w:r w:rsidRPr="008573C5">
        <w:rPr>
          <w:bCs/>
        </w:rPr>
        <w:t xml:space="preserve"> in the compliance levels of companies, the myriad factors influencing disclosure, the overall fit of the model, the coefficient of determination, the t- statistics of each independent variable, the significance or non-significance of the model. The results also vary from country to country. It is obvious that studies on disclosure practices are more prevalent in developed countries than developing ones. In Nigeria, relatively few attempts have been made to investigate the extent of information disclosure and the factors influencing disclosures.  In this study, the result of the traditional multivariate regression analysis suggest</w:t>
      </w:r>
      <w:r w:rsidR="00280A1A" w:rsidRPr="008573C5">
        <w:rPr>
          <w:bCs/>
        </w:rPr>
        <w:t>s</w:t>
      </w:r>
      <w:r w:rsidRPr="008573C5">
        <w:rPr>
          <w:bCs/>
        </w:rPr>
        <w:t xml:space="preserve">, that the listed companies with huge assets are the trendsetters in providing mandatory and voluntary disclosures while the big audit firms are the trailblazers in ensuring that the disclosures are in accordance with accounting standards and other relevant requirements. </w:t>
      </w:r>
    </w:p>
    <w:p w:rsidR="003E6721" w:rsidRPr="008573C5" w:rsidRDefault="001F60B6" w:rsidP="001F60B6">
      <w:pPr>
        <w:spacing w:before="100" w:beforeAutospacing="1" w:after="100" w:afterAutospacing="1" w:line="360" w:lineRule="auto"/>
        <w:jc w:val="both"/>
        <w:rPr>
          <w:b/>
          <w:sz w:val="28"/>
          <w:szCs w:val="28"/>
        </w:rPr>
      </w:pPr>
      <w:r w:rsidRPr="008573C5">
        <w:rPr>
          <w:b/>
          <w:sz w:val="28"/>
          <w:szCs w:val="28"/>
        </w:rPr>
        <w:t>5.5</w:t>
      </w:r>
      <w:r w:rsidRPr="008573C5">
        <w:rPr>
          <w:b/>
          <w:sz w:val="28"/>
          <w:szCs w:val="28"/>
        </w:rPr>
        <w:tab/>
      </w:r>
      <w:r w:rsidR="008E710E" w:rsidRPr="008573C5">
        <w:rPr>
          <w:b/>
          <w:sz w:val="28"/>
          <w:szCs w:val="28"/>
        </w:rPr>
        <w:t>Contribution to Knowledge</w:t>
      </w:r>
    </w:p>
    <w:p w:rsidR="00CE74D2" w:rsidRPr="008573C5" w:rsidRDefault="00EC1EC6" w:rsidP="007A27A9">
      <w:pPr>
        <w:spacing w:before="100" w:beforeAutospacing="1" w:after="100" w:afterAutospacing="1" w:line="360" w:lineRule="auto"/>
        <w:jc w:val="both"/>
        <w:rPr>
          <w:bCs/>
        </w:rPr>
      </w:pPr>
      <w:r w:rsidRPr="008573C5">
        <w:t xml:space="preserve">This research </w:t>
      </w:r>
      <w:r w:rsidR="00C06548" w:rsidRPr="008573C5">
        <w:t>makes theoretical and practical contributions to the field of accounting</w:t>
      </w:r>
      <w:r w:rsidR="00215992" w:rsidRPr="008573C5">
        <w:t>. It</w:t>
      </w:r>
      <w:r w:rsidR="00C06548" w:rsidRPr="008573C5">
        <w:t xml:space="preserve"> will enhance</w:t>
      </w:r>
      <w:r w:rsidRPr="008573C5">
        <w:t xml:space="preserve"> the quality of literature on accounting disclosures and the factors influencing them</w:t>
      </w:r>
      <w:r w:rsidR="00FB354D" w:rsidRPr="008573C5">
        <w:t xml:space="preserve">. </w:t>
      </w:r>
      <w:r w:rsidR="00843BB6" w:rsidRPr="008573C5">
        <w:rPr>
          <w:lang w:val="en-GB"/>
        </w:rPr>
        <w:t xml:space="preserve">This </w:t>
      </w:r>
      <w:r w:rsidR="00215992" w:rsidRPr="008573C5">
        <w:rPr>
          <w:lang w:val="en-GB"/>
        </w:rPr>
        <w:t>study</w:t>
      </w:r>
      <w:r w:rsidR="00843BB6" w:rsidRPr="008573C5">
        <w:rPr>
          <w:lang w:val="en-GB"/>
        </w:rPr>
        <w:t xml:space="preserve"> </w:t>
      </w:r>
      <w:r w:rsidRPr="008573C5">
        <w:t xml:space="preserve">throws more light and adds to understanding on the corporate disclosure practices of listed companies in Nigeria. </w:t>
      </w:r>
      <w:r w:rsidR="00280A1A" w:rsidRPr="008573C5">
        <w:t xml:space="preserve">This investigation </w:t>
      </w:r>
      <w:r w:rsidR="00FB354D" w:rsidRPr="008573C5">
        <w:t>wi</w:t>
      </w:r>
      <w:r w:rsidR="00280A1A" w:rsidRPr="008573C5">
        <w:t>ll facilitate the improvement of</w:t>
      </w:r>
      <w:r w:rsidR="00FB354D" w:rsidRPr="008573C5">
        <w:t xml:space="preserve"> disclosure </w:t>
      </w:r>
      <w:r w:rsidR="00C07AAA" w:rsidRPr="008573C5">
        <w:t xml:space="preserve">practices </w:t>
      </w:r>
      <w:r w:rsidR="00280A1A" w:rsidRPr="008573C5">
        <w:t>in</w:t>
      </w:r>
      <w:r w:rsidR="00C07AAA" w:rsidRPr="008573C5">
        <w:t xml:space="preserve"> Nigerian companies </w:t>
      </w:r>
      <w:r w:rsidR="00215992" w:rsidRPr="008573C5">
        <w:t xml:space="preserve">and also </w:t>
      </w:r>
      <w:r w:rsidR="00215992" w:rsidRPr="008573C5">
        <w:rPr>
          <w:lang w:val="en-GB"/>
        </w:rPr>
        <w:t xml:space="preserve">serves as bench mark for future researches on corporate disclosures. </w:t>
      </w:r>
      <w:r w:rsidR="00CE74D2" w:rsidRPr="008573C5">
        <w:t xml:space="preserve"> This study has the following implications</w:t>
      </w:r>
      <w:r w:rsidR="00CE74D2" w:rsidRPr="008573C5">
        <w:rPr>
          <w:bCs/>
        </w:rPr>
        <w:t xml:space="preserve">: </w:t>
      </w:r>
    </w:p>
    <w:p w:rsidR="00CE74D2" w:rsidRPr="008573C5" w:rsidRDefault="00CE74D2" w:rsidP="00CE74D2">
      <w:pPr>
        <w:pStyle w:val="ListParagraph"/>
        <w:numPr>
          <w:ilvl w:val="0"/>
          <w:numId w:val="40"/>
        </w:numPr>
        <w:autoSpaceDE w:val="0"/>
        <w:autoSpaceDN w:val="0"/>
        <w:adjustRightInd w:val="0"/>
        <w:spacing w:line="360" w:lineRule="auto"/>
        <w:jc w:val="both"/>
        <w:rPr>
          <w:rFonts w:ascii="Times New Roman" w:hAnsi="Times New Roman"/>
          <w:sz w:val="24"/>
          <w:szCs w:val="24"/>
        </w:rPr>
      </w:pPr>
      <w:r w:rsidRPr="008573C5">
        <w:rPr>
          <w:rFonts w:ascii="Times New Roman" w:hAnsi="Times New Roman"/>
          <w:sz w:val="24"/>
          <w:szCs w:val="24"/>
        </w:rPr>
        <w:t xml:space="preserve">This study has implications for the regulators and enforcement agencies such as Nigerian Accounting Standards Board (NASB), the Securities Exchange Commission (SEC), the Nigerian Stock Exchange (NSE). It provides evidence for compliance levels of listed companies and factors associated with different levels of compliance. </w:t>
      </w:r>
      <w:r w:rsidR="00215992" w:rsidRPr="008573C5">
        <w:rPr>
          <w:rFonts w:ascii="Times New Roman" w:hAnsi="Times New Roman"/>
          <w:sz w:val="24"/>
          <w:szCs w:val="24"/>
        </w:rPr>
        <w:t>It</w:t>
      </w:r>
      <w:r w:rsidRPr="008573C5">
        <w:rPr>
          <w:rFonts w:ascii="Times New Roman" w:hAnsi="Times New Roman"/>
          <w:sz w:val="24"/>
          <w:szCs w:val="24"/>
        </w:rPr>
        <w:t xml:space="preserve"> </w:t>
      </w:r>
      <w:r w:rsidR="00215992" w:rsidRPr="008573C5">
        <w:rPr>
          <w:rFonts w:ascii="Times New Roman" w:hAnsi="Times New Roman"/>
          <w:sz w:val="24"/>
          <w:szCs w:val="24"/>
        </w:rPr>
        <w:t xml:space="preserve">will </w:t>
      </w:r>
      <w:r w:rsidRPr="008573C5">
        <w:rPr>
          <w:rFonts w:ascii="Times New Roman" w:hAnsi="Times New Roman"/>
          <w:sz w:val="24"/>
          <w:szCs w:val="24"/>
        </w:rPr>
        <w:t xml:space="preserve">enable </w:t>
      </w:r>
      <w:r w:rsidR="00934C20" w:rsidRPr="008573C5">
        <w:rPr>
          <w:rFonts w:ascii="Times New Roman" w:hAnsi="Times New Roman"/>
          <w:sz w:val="24"/>
          <w:szCs w:val="24"/>
        </w:rPr>
        <w:t>the regulatory agencies to</w:t>
      </w:r>
      <w:r w:rsidRPr="008573C5">
        <w:rPr>
          <w:rFonts w:ascii="Times New Roman" w:hAnsi="Times New Roman"/>
          <w:sz w:val="24"/>
          <w:szCs w:val="24"/>
        </w:rPr>
        <w:t xml:space="preserve"> aim at greater compliance with the local and international standards</w:t>
      </w:r>
      <w:r w:rsidR="00215992" w:rsidRPr="008573C5">
        <w:rPr>
          <w:rFonts w:ascii="Times New Roman" w:hAnsi="Times New Roman"/>
          <w:sz w:val="24"/>
          <w:szCs w:val="24"/>
        </w:rPr>
        <w:t xml:space="preserve"> and </w:t>
      </w:r>
      <w:r w:rsidR="00934C20" w:rsidRPr="008573C5">
        <w:rPr>
          <w:rFonts w:ascii="Times New Roman" w:hAnsi="Times New Roman"/>
          <w:sz w:val="24"/>
          <w:szCs w:val="24"/>
        </w:rPr>
        <w:t xml:space="preserve">will also enable them to </w:t>
      </w:r>
      <w:r w:rsidR="00215992" w:rsidRPr="008573C5">
        <w:rPr>
          <w:rFonts w:ascii="Times New Roman" w:hAnsi="Times New Roman"/>
          <w:sz w:val="24"/>
          <w:szCs w:val="24"/>
        </w:rPr>
        <w:t>enforce p</w:t>
      </w:r>
      <w:r w:rsidRPr="008573C5">
        <w:rPr>
          <w:rFonts w:ascii="Times New Roman" w:hAnsi="Times New Roman"/>
          <w:sz w:val="24"/>
          <w:szCs w:val="24"/>
        </w:rPr>
        <w:t>enalties for non-compliance</w:t>
      </w:r>
      <w:r w:rsidR="00215992" w:rsidRPr="008573C5">
        <w:rPr>
          <w:rFonts w:ascii="Times New Roman" w:hAnsi="Times New Roman"/>
          <w:sz w:val="24"/>
          <w:szCs w:val="24"/>
        </w:rPr>
        <w:t>.</w:t>
      </w:r>
      <w:r w:rsidRPr="008573C5">
        <w:rPr>
          <w:rFonts w:ascii="Times New Roman" w:hAnsi="Times New Roman"/>
          <w:sz w:val="24"/>
          <w:szCs w:val="24"/>
        </w:rPr>
        <w:t xml:space="preserve"> </w:t>
      </w:r>
      <w:r w:rsidR="000D6C9D" w:rsidRPr="008573C5">
        <w:rPr>
          <w:rFonts w:ascii="Times New Roman" w:hAnsi="Times New Roman"/>
          <w:sz w:val="24"/>
          <w:szCs w:val="24"/>
        </w:rPr>
        <w:t xml:space="preserve">Efforts can particularly focus </w:t>
      </w:r>
      <w:r w:rsidRPr="008573C5">
        <w:rPr>
          <w:rFonts w:ascii="Times New Roman" w:hAnsi="Times New Roman"/>
          <w:sz w:val="24"/>
          <w:szCs w:val="24"/>
        </w:rPr>
        <w:t xml:space="preserve">on smaller companies audited by non-big auditing </w:t>
      </w:r>
      <w:r w:rsidR="000D6C9D" w:rsidRPr="008573C5">
        <w:rPr>
          <w:rFonts w:ascii="Times New Roman" w:hAnsi="Times New Roman"/>
          <w:sz w:val="24"/>
          <w:szCs w:val="24"/>
        </w:rPr>
        <w:t>firms.</w:t>
      </w:r>
    </w:p>
    <w:p w:rsidR="00CE74D2" w:rsidRPr="008573C5" w:rsidRDefault="00CE74D2" w:rsidP="00CE74D2">
      <w:pPr>
        <w:pStyle w:val="ListParagraph"/>
        <w:numPr>
          <w:ilvl w:val="0"/>
          <w:numId w:val="40"/>
        </w:numPr>
        <w:autoSpaceDE w:val="0"/>
        <w:autoSpaceDN w:val="0"/>
        <w:adjustRightInd w:val="0"/>
        <w:spacing w:line="360" w:lineRule="auto"/>
        <w:jc w:val="both"/>
        <w:rPr>
          <w:rFonts w:ascii="Times New Roman" w:hAnsi="Times New Roman"/>
          <w:sz w:val="24"/>
          <w:szCs w:val="24"/>
        </w:rPr>
      </w:pPr>
      <w:r w:rsidRPr="008573C5">
        <w:rPr>
          <w:rFonts w:ascii="Times New Roman" w:hAnsi="Times New Roman"/>
          <w:sz w:val="24"/>
          <w:szCs w:val="24"/>
        </w:rPr>
        <w:t>The disclosure index developed for this study can be utilised by preparers and auditors in assessing the extent of compliance by their companies.</w:t>
      </w:r>
    </w:p>
    <w:p w:rsidR="00CE74D2" w:rsidRPr="008573C5" w:rsidRDefault="00CE74D2" w:rsidP="00CE74D2">
      <w:pPr>
        <w:pStyle w:val="ListParagraph"/>
        <w:numPr>
          <w:ilvl w:val="0"/>
          <w:numId w:val="40"/>
        </w:numPr>
        <w:autoSpaceDE w:val="0"/>
        <w:autoSpaceDN w:val="0"/>
        <w:adjustRightInd w:val="0"/>
        <w:spacing w:line="360" w:lineRule="auto"/>
        <w:jc w:val="both"/>
        <w:rPr>
          <w:rFonts w:ascii="Times New Roman" w:hAnsi="Times New Roman"/>
          <w:sz w:val="24"/>
          <w:szCs w:val="24"/>
        </w:rPr>
      </w:pPr>
      <w:r w:rsidRPr="008573C5">
        <w:rPr>
          <w:rFonts w:ascii="Times New Roman" w:hAnsi="Times New Roman"/>
          <w:sz w:val="24"/>
          <w:szCs w:val="24"/>
        </w:rPr>
        <w:t xml:space="preserve"> The findings offer current and prospective, local and foreign investors an objective assessment of the degree of compliance with SASs and IFRSs by listed companies in Nigeria. </w:t>
      </w:r>
    </w:p>
    <w:p w:rsidR="00CE74D2" w:rsidRPr="008573C5" w:rsidRDefault="00CE74D2" w:rsidP="00CE74D2">
      <w:pPr>
        <w:pStyle w:val="ListParagraph"/>
        <w:numPr>
          <w:ilvl w:val="0"/>
          <w:numId w:val="40"/>
        </w:numPr>
        <w:autoSpaceDE w:val="0"/>
        <w:autoSpaceDN w:val="0"/>
        <w:adjustRightInd w:val="0"/>
        <w:spacing w:line="360" w:lineRule="auto"/>
        <w:jc w:val="both"/>
        <w:rPr>
          <w:rFonts w:ascii="Times New Roman" w:hAnsi="Times New Roman"/>
          <w:sz w:val="24"/>
          <w:szCs w:val="24"/>
        </w:rPr>
      </w:pPr>
      <w:r w:rsidRPr="008573C5">
        <w:rPr>
          <w:rFonts w:ascii="Times New Roman" w:hAnsi="Times New Roman"/>
          <w:sz w:val="24"/>
          <w:szCs w:val="24"/>
        </w:rPr>
        <w:t>This study also provides useful information to international organizations interested in spreading of IFRSs in developing countries.</w:t>
      </w:r>
    </w:p>
    <w:p w:rsidR="008E710E" w:rsidRPr="008573C5" w:rsidRDefault="008E710E" w:rsidP="008E710E">
      <w:pPr>
        <w:spacing w:before="100" w:beforeAutospacing="1" w:after="100" w:afterAutospacing="1" w:line="360" w:lineRule="auto"/>
        <w:jc w:val="both"/>
        <w:rPr>
          <w:b/>
          <w:sz w:val="28"/>
          <w:szCs w:val="28"/>
        </w:rPr>
      </w:pPr>
      <w:r w:rsidRPr="008573C5">
        <w:rPr>
          <w:b/>
          <w:sz w:val="28"/>
          <w:szCs w:val="28"/>
        </w:rPr>
        <w:t>5.</w:t>
      </w:r>
      <w:r w:rsidR="00C07AAA" w:rsidRPr="008573C5">
        <w:rPr>
          <w:b/>
          <w:sz w:val="28"/>
          <w:szCs w:val="28"/>
        </w:rPr>
        <w:t>6</w:t>
      </w:r>
      <w:r w:rsidRPr="008573C5">
        <w:rPr>
          <w:b/>
          <w:sz w:val="28"/>
          <w:szCs w:val="28"/>
        </w:rPr>
        <w:tab/>
        <w:t>Suggestions for further Study</w:t>
      </w:r>
    </w:p>
    <w:p w:rsidR="00E52E7F" w:rsidRPr="008573C5" w:rsidRDefault="003C3A10" w:rsidP="001F60B6">
      <w:pPr>
        <w:spacing w:line="360" w:lineRule="auto"/>
        <w:jc w:val="both"/>
        <w:rPr>
          <w:lang w:val="en-GB"/>
        </w:rPr>
      </w:pPr>
      <w:r w:rsidRPr="008573C5">
        <w:rPr>
          <w:lang w:val="en-GB"/>
        </w:rPr>
        <w:t xml:space="preserve">In view of the </w:t>
      </w:r>
      <w:r w:rsidR="0043481F" w:rsidRPr="008573C5">
        <w:rPr>
          <w:lang w:val="en-GB"/>
        </w:rPr>
        <w:t>limitations of this research, t</w:t>
      </w:r>
      <w:r w:rsidRPr="008573C5">
        <w:rPr>
          <w:lang w:val="en-GB"/>
        </w:rPr>
        <w:t xml:space="preserve">he </w:t>
      </w:r>
      <w:r w:rsidR="0043481F" w:rsidRPr="008573C5">
        <w:rPr>
          <w:lang w:val="en-GB"/>
        </w:rPr>
        <w:t>f</w:t>
      </w:r>
      <w:r w:rsidRPr="008573C5">
        <w:rPr>
          <w:lang w:val="en-GB"/>
        </w:rPr>
        <w:t xml:space="preserve">ollowing suggestions </w:t>
      </w:r>
      <w:r w:rsidR="0043481F" w:rsidRPr="008573C5">
        <w:rPr>
          <w:lang w:val="en-GB"/>
        </w:rPr>
        <w:t xml:space="preserve">are recommended </w:t>
      </w:r>
      <w:r w:rsidRPr="008573C5">
        <w:rPr>
          <w:lang w:val="en-GB"/>
        </w:rPr>
        <w:t>for further study:</w:t>
      </w:r>
    </w:p>
    <w:p w:rsidR="003F23B1" w:rsidRPr="008573C5" w:rsidRDefault="00671E7F" w:rsidP="00F649FA">
      <w:pPr>
        <w:pStyle w:val="ListParagraph"/>
        <w:numPr>
          <w:ilvl w:val="0"/>
          <w:numId w:val="24"/>
        </w:numPr>
        <w:spacing w:before="100" w:beforeAutospacing="1" w:after="100" w:afterAutospacing="1" w:line="360" w:lineRule="auto"/>
        <w:jc w:val="both"/>
        <w:rPr>
          <w:rFonts w:ascii="Times New Roman" w:hAnsi="Times New Roman"/>
          <w:sz w:val="24"/>
          <w:szCs w:val="24"/>
        </w:rPr>
      </w:pPr>
      <w:r w:rsidRPr="008573C5">
        <w:rPr>
          <w:rFonts w:ascii="Times New Roman" w:hAnsi="Times New Roman"/>
          <w:sz w:val="24"/>
          <w:szCs w:val="24"/>
        </w:rPr>
        <w:t xml:space="preserve">The opinion survey of </w:t>
      </w:r>
      <w:r w:rsidR="002C05DC" w:rsidRPr="008573C5">
        <w:rPr>
          <w:rFonts w:ascii="Times New Roman" w:hAnsi="Times New Roman"/>
          <w:sz w:val="24"/>
          <w:szCs w:val="24"/>
        </w:rPr>
        <w:t>1000 accountants, creditors, stockbrokers,</w:t>
      </w:r>
      <w:r w:rsidR="00280A1A" w:rsidRPr="008573C5">
        <w:rPr>
          <w:rFonts w:ascii="Times New Roman" w:hAnsi="Times New Roman"/>
          <w:sz w:val="24"/>
          <w:szCs w:val="24"/>
        </w:rPr>
        <w:t xml:space="preserve"> auditors and regulators i</w:t>
      </w:r>
      <w:r w:rsidR="00A37CA4" w:rsidRPr="008573C5">
        <w:rPr>
          <w:rFonts w:ascii="Times New Roman" w:hAnsi="Times New Roman"/>
          <w:sz w:val="24"/>
          <w:szCs w:val="24"/>
        </w:rPr>
        <w:t>s</w:t>
      </w:r>
      <w:r w:rsidRPr="008573C5">
        <w:rPr>
          <w:rFonts w:ascii="Times New Roman" w:hAnsi="Times New Roman"/>
          <w:sz w:val="24"/>
          <w:szCs w:val="24"/>
        </w:rPr>
        <w:t xml:space="preserve"> used for the study. Future research can </w:t>
      </w:r>
      <w:r w:rsidR="00440FCE" w:rsidRPr="008573C5">
        <w:rPr>
          <w:rFonts w:ascii="Times New Roman" w:hAnsi="Times New Roman"/>
          <w:sz w:val="24"/>
          <w:szCs w:val="24"/>
        </w:rPr>
        <w:t xml:space="preserve">consider </w:t>
      </w:r>
      <w:r w:rsidRPr="008573C5">
        <w:rPr>
          <w:rFonts w:ascii="Times New Roman" w:hAnsi="Times New Roman"/>
          <w:sz w:val="24"/>
          <w:szCs w:val="24"/>
        </w:rPr>
        <w:t>increas</w:t>
      </w:r>
      <w:r w:rsidR="00440FCE" w:rsidRPr="008573C5">
        <w:rPr>
          <w:rFonts w:ascii="Times New Roman" w:hAnsi="Times New Roman"/>
          <w:sz w:val="24"/>
          <w:szCs w:val="24"/>
        </w:rPr>
        <w:t>ing</w:t>
      </w:r>
      <w:r w:rsidRPr="008573C5">
        <w:rPr>
          <w:rFonts w:ascii="Times New Roman" w:hAnsi="Times New Roman"/>
          <w:sz w:val="24"/>
          <w:szCs w:val="24"/>
        </w:rPr>
        <w:t xml:space="preserve"> the scope to include investors, financial analyst</w:t>
      </w:r>
      <w:r w:rsidR="00A37CA4" w:rsidRPr="008573C5">
        <w:rPr>
          <w:rFonts w:ascii="Times New Roman" w:hAnsi="Times New Roman"/>
          <w:sz w:val="24"/>
          <w:szCs w:val="24"/>
        </w:rPr>
        <w:t>s</w:t>
      </w:r>
      <w:r w:rsidRPr="008573C5">
        <w:rPr>
          <w:rFonts w:ascii="Times New Roman" w:hAnsi="Times New Roman"/>
          <w:sz w:val="24"/>
          <w:szCs w:val="24"/>
        </w:rPr>
        <w:t xml:space="preserve"> and other related part</w:t>
      </w:r>
      <w:r w:rsidR="00D0751F" w:rsidRPr="008573C5">
        <w:rPr>
          <w:rFonts w:ascii="Times New Roman" w:hAnsi="Times New Roman"/>
          <w:sz w:val="24"/>
          <w:szCs w:val="24"/>
        </w:rPr>
        <w:t>ies</w:t>
      </w:r>
      <w:r w:rsidRPr="008573C5">
        <w:rPr>
          <w:rFonts w:ascii="Times New Roman" w:hAnsi="Times New Roman"/>
          <w:sz w:val="24"/>
          <w:szCs w:val="24"/>
        </w:rPr>
        <w:t xml:space="preserve">. This will provide additional evidence on accounting disclosure practices in Nigeria. </w:t>
      </w:r>
    </w:p>
    <w:p w:rsidR="003F23B1" w:rsidRPr="008573C5" w:rsidRDefault="00E52E7F" w:rsidP="000A4921">
      <w:pPr>
        <w:pStyle w:val="ListParagraph"/>
        <w:numPr>
          <w:ilvl w:val="0"/>
          <w:numId w:val="24"/>
        </w:numPr>
        <w:spacing w:before="100" w:beforeAutospacing="1" w:after="100" w:afterAutospacing="1" w:line="360" w:lineRule="auto"/>
        <w:jc w:val="both"/>
        <w:rPr>
          <w:rFonts w:ascii="Times New Roman" w:hAnsi="Times New Roman"/>
          <w:sz w:val="24"/>
          <w:szCs w:val="24"/>
        </w:rPr>
      </w:pPr>
      <w:r w:rsidRPr="008573C5">
        <w:rPr>
          <w:rFonts w:ascii="Times New Roman" w:hAnsi="Times New Roman"/>
          <w:sz w:val="24"/>
          <w:szCs w:val="24"/>
        </w:rPr>
        <w:t>T</w:t>
      </w:r>
      <w:r w:rsidR="00671E7F" w:rsidRPr="008573C5">
        <w:rPr>
          <w:rFonts w:ascii="Times New Roman" w:hAnsi="Times New Roman"/>
          <w:sz w:val="24"/>
          <w:szCs w:val="24"/>
        </w:rPr>
        <w:t>his study</w:t>
      </w:r>
      <w:r w:rsidR="003E6721" w:rsidRPr="008573C5">
        <w:rPr>
          <w:rFonts w:ascii="Times New Roman" w:hAnsi="Times New Roman"/>
          <w:sz w:val="24"/>
          <w:szCs w:val="24"/>
        </w:rPr>
        <w:t xml:space="preserve"> explore</w:t>
      </w:r>
      <w:r w:rsidR="00280A1A" w:rsidRPr="008573C5">
        <w:rPr>
          <w:rFonts w:ascii="Times New Roman" w:hAnsi="Times New Roman"/>
          <w:sz w:val="24"/>
          <w:szCs w:val="24"/>
        </w:rPr>
        <w:t>s</w:t>
      </w:r>
      <w:r w:rsidR="003E6721" w:rsidRPr="008573C5">
        <w:rPr>
          <w:rFonts w:ascii="Times New Roman" w:hAnsi="Times New Roman"/>
          <w:sz w:val="24"/>
          <w:szCs w:val="24"/>
        </w:rPr>
        <w:t xml:space="preserve"> only </w:t>
      </w:r>
      <w:r w:rsidR="004B061C" w:rsidRPr="008573C5">
        <w:rPr>
          <w:rFonts w:ascii="Times New Roman" w:hAnsi="Times New Roman"/>
          <w:sz w:val="24"/>
          <w:szCs w:val="24"/>
        </w:rPr>
        <w:t>48</w:t>
      </w:r>
      <w:r w:rsidR="003E6721" w:rsidRPr="008573C5">
        <w:rPr>
          <w:rFonts w:ascii="Times New Roman" w:hAnsi="Times New Roman"/>
          <w:sz w:val="24"/>
          <w:szCs w:val="24"/>
        </w:rPr>
        <w:t xml:space="preserve">% of the companies listed on the </w:t>
      </w:r>
      <w:r w:rsidR="004B061C" w:rsidRPr="008573C5">
        <w:rPr>
          <w:rFonts w:ascii="Times New Roman" w:hAnsi="Times New Roman"/>
          <w:sz w:val="24"/>
          <w:szCs w:val="24"/>
        </w:rPr>
        <w:t xml:space="preserve">first tier </w:t>
      </w:r>
      <w:r w:rsidR="003E6721" w:rsidRPr="008573C5">
        <w:rPr>
          <w:rFonts w:ascii="Times New Roman" w:hAnsi="Times New Roman"/>
          <w:sz w:val="24"/>
          <w:szCs w:val="24"/>
        </w:rPr>
        <w:t xml:space="preserve">Nigerian </w:t>
      </w:r>
      <w:r w:rsidR="00ED1C68" w:rsidRPr="008573C5">
        <w:rPr>
          <w:rFonts w:ascii="Times New Roman" w:hAnsi="Times New Roman"/>
          <w:sz w:val="24"/>
          <w:szCs w:val="24"/>
        </w:rPr>
        <w:t>S</w:t>
      </w:r>
      <w:r w:rsidR="003E6721" w:rsidRPr="008573C5">
        <w:rPr>
          <w:rFonts w:ascii="Times New Roman" w:hAnsi="Times New Roman"/>
          <w:sz w:val="24"/>
          <w:szCs w:val="24"/>
        </w:rPr>
        <w:t>tock</w:t>
      </w:r>
      <w:r w:rsidR="00671E7F" w:rsidRPr="008573C5">
        <w:rPr>
          <w:rFonts w:ascii="Times New Roman" w:hAnsi="Times New Roman"/>
          <w:sz w:val="24"/>
          <w:szCs w:val="24"/>
        </w:rPr>
        <w:t xml:space="preserve"> </w:t>
      </w:r>
      <w:r w:rsidR="00ED1C68" w:rsidRPr="008573C5">
        <w:rPr>
          <w:rFonts w:ascii="Times New Roman" w:hAnsi="Times New Roman"/>
          <w:sz w:val="24"/>
          <w:szCs w:val="24"/>
        </w:rPr>
        <w:t>E</w:t>
      </w:r>
      <w:r w:rsidR="003E6721" w:rsidRPr="008573C5">
        <w:rPr>
          <w:rFonts w:ascii="Times New Roman" w:hAnsi="Times New Roman"/>
          <w:sz w:val="24"/>
          <w:szCs w:val="24"/>
        </w:rPr>
        <w:t xml:space="preserve">xchange </w:t>
      </w:r>
      <w:r w:rsidR="004B061C" w:rsidRPr="008573C5">
        <w:rPr>
          <w:rFonts w:ascii="Times New Roman" w:hAnsi="Times New Roman"/>
          <w:sz w:val="24"/>
          <w:szCs w:val="24"/>
        </w:rPr>
        <w:t xml:space="preserve">market </w:t>
      </w:r>
      <w:r w:rsidR="003E6721" w:rsidRPr="008573C5">
        <w:rPr>
          <w:rFonts w:ascii="Times New Roman" w:hAnsi="Times New Roman"/>
          <w:sz w:val="24"/>
          <w:szCs w:val="24"/>
        </w:rPr>
        <w:t xml:space="preserve">as at December 2006. </w:t>
      </w:r>
      <w:r w:rsidR="007A58FB" w:rsidRPr="008573C5">
        <w:rPr>
          <w:rFonts w:ascii="Times New Roman" w:hAnsi="Times New Roman"/>
          <w:sz w:val="24"/>
          <w:szCs w:val="24"/>
        </w:rPr>
        <w:t>Future</w:t>
      </w:r>
      <w:r w:rsidR="003E6721" w:rsidRPr="008573C5">
        <w:rPr>
          <w:rFonts w:ascii="Times New Roman" w:hAnsi="Times New Roman"/>
          <w:sz w:val="24"/>
          <w:szCs w:val="24"/>
        </w:rPr>
        <w:t xml:space="preserve"> research could investigate the extent of compliance for all the listed companies</w:t>
      </w:r>
      <w:r w:rsidR="00ED0437" w:rsidRPr="008573C5">
        <w:rPr>
          <w:rFonts w:ascii="Times New Roman" w:hAnsi="Times New Roman"/>
          <w:sz w:val="24"/>
          <w:szCs w:val="24"/>
        </w:rPr>
        <w:t xml:space="preserve"> and also unlisted companies</w:t>
      </w:r>
      <w:r w:rsidR="003E6721" w:rsidRPr="008573C5">
        <w:rPr>
          <w:rFonts w:ascii="Times New Roman" w:hAnsi="Times New Roman"/>
          <w:sz w:val="24"/>
          <w:szCs w:val="24"/>
        </w:rPr>
        <w:t xml:space="preserve">. </w:t>
      </w:r>
    </w:p>
    <w:p w:rsidR="003F23B1" w:rsidRPr="008573C5" w:rsidRDefault="00E52E7F" w:rsidP="007A27A9">
      <w:pPr>
        <w:pStyle w:val="ListParagraph"/>
        <w:numPr>
          <w:ilvl w:val="0"/>
          <w:numId w:val="24"/>
        </w:numPr>
        <w:spacing w:before="100" w:beforeAutospacing="1" w:after="100" w:afterAutospacing="1" w:line="360" w:lineRule="auto"/>
        <w:jc w:val="both"/>
        <w:rPr>
          <w:rFonts w:ascii="Times New Roman" w:hAnsi="Times New Roman"/>
          <w:sz w:val="24"/>
          <w:szCs w:val="24"/>
        </w:rPr>
      </w:pPr>
      <w:r w:rsidRPr="008573C5">
        <w:rPr>
          <w:rFonts w:ascii="Times New Roman" w:hAnsi="Times New Roman"/>
          <w:sz w:val="24"/>
          <w:szCs w:val="24"/>
        </w:rPr>
        <w:t>T</w:t>
      </w:r>
      <w:r w:rsidR="002E2159" w:rsidRPr="008573C5">
        <w:rPr>
          <w:rFonts w:ascii="Times New Roman" w:hAnsi="Times New Roman"/>
          <w:sz w:val="24"/>
          <w:szCs w:val="24"/>
        </w:rPr>
        <w:t xml:space="preserve">he period of </w:t>
      </w:r>
      <w:r w:rsidRPr="008573C5">
        <w:rPr>
          <w:rFonts w:ascii="Times New Roman" w:hAnsi="Times New Roman"/>
          <w:sz w:val="24"/>
          <w:szCs w:val="24"/>
        </w:rPr>
        <w:t xml:space="preserve">the </w:t>
      </w:r>
      <w:r w:rsidR="002E2159" w:rsidRPr="008573C5">
        <w:rPr>
          <w:rFonts w:ascii="Times New Roman" w:hAnsi="Times New Roman"/>
          <w:sz w:val="24"/>
          <w:szCs w:val="24"/>
        </w:rPr>
        <w:t>study</w:t>
      </w:r>
      <w:r w:rsidR="004B061C" w:rsidRPr="008573C5">
        <w:rPr>
          <w:rFonts w:ascii="Times New Roman" w:hAnsi="Times New Roman"/>
          <w:sz w:val="24"/>
          <w:szCs w:val="24"/>
        </w:rPr>
        <w:t xml:space="preserve"> for this research</w:t>
      </w:r>
      <w:r w:rsidR="002E2159" w:rsidRPr="008573C5">
        <w:rPr>
          <w:rFonts w:ascii="Times New Roman" w:hAnsi="Times New Roman"/>
          <w:sz w:val="24"/>
          <w:szCs w:val="24"/>
        </w:rPr>
        <w:t xml:space="preserve"> </w:t>
      </w:r>
      <w:r w:rsidRPr="008573C5">
        <w:rPr>
          <w:rFonts w:ascii="Times New Roman" w:hAnsi="Times New Roman"/>
          <w:sz w:val="24"/>
          <w:szCs w:val="24"/>
        </w:rPr>
        <w:t xml:space="preserve">is a single period. Future studies can consider a longitudinal study </w:t>
      </w:r>
      <w:r w:rsidR="00ED1C68" w:rsidRPr="008573C5">
        <w:rPr>
          <w:rFonts w:ascii="Times New Roman" w:hAnsi="Times New Roman"/>
          <w:sz w:val="24"/>
          <w:szCs w:val="24"/>
        </w:rPr>
        <w:t xml:space="preserve">of annual reports. This </w:t>
      </w:r>
      <w:r w:rsidR="002E2159" w:rsidRPr="008573C5">
        <w:rPr>
          <w:rFonts w:ascii="Times New Roman" w:hAnsi="Times New Roman"/>
          <w:sz w:val="24"/>
          <w:szCs w:val="24"/>
        </w:rPr>
        <w:t xml:space="preserve">could </w:t>
      </w:r>
      <w:r w:rsidR="00ED1C68" w:rsidRPr="008573C5">
        <w:rPr>
          <w:rFonts w:ascii="Times New Roman" w:hAnsi="Times New Roman"/>
          <w:sz w:val="24"/>
          <w:szCs w:val="24"/>
        </w:rPr>
        <w:t xml:space="preserve">be used </w:t>
      </w:r>
      <w:r w:rsidR="002E2159" w:rsidRPr="008573C5">
        <w:rPr>
          <w:rFonts w:ascii="Times New Roman" w:hAnsi="Times New Roman"/>
          <w:sz w:val="24"/>
          <w:szCs w:val="24"/>
        </w:rPr>
        <w:t xml:space="preserve">to assess the trends </w:t>
      </w:r>
      <w:r w:rsidR="00521F2B" w:rsidRPr="008573C5">
        <w:rPr>
          <w:rFonts w:ascii="Times New Roman" w:hAnsi="Times New Roman"/>
          <w:sz w:val="24"/>
          <w:szCs w:val="24"/>
        </w:rPr>
        <w:t xml:space="preserve">of disclosure in order </w:t>
      </w:r>
      <w:r w:rsidR="002E2159" w:rsidRPr="008573C5">
        <w:rPr>
          <w:rFonts w:ascii="Times New Roman" w:hAnsi="Times New Roman"/>
          <w:sz w:val="24"/>
          <w:szCs w:val="24"/>
        </w:rPr>
        <w:t xml:space="preserve">to </w:t>
      </w:r>
      <w:r w:rsidR="00521F2B" w:rsidRPr="008573C5">
        <w:rPr>
          <w:rFonts w:ascii="Times New Roman" w:hAnsi="Times New Roman"/>
          <w:sz w:val="24"/>
          <w:szCs w:val="24"/>
        </w:rPr>
        <w:t>confirm</w:t>
      </w:r>
      <w:r w:rsidR="002E2159" w:rsidRPr="008573C5">
        <w:rPr>
          <w:rFonts w:ascii="Times New Roman" w:hAnsi="Times New Roman"/>
          <w:sz w:val="24"/>
          <w:szCs w:val="24"/>
        </w:rPr>
        <w:t xml:space="preserve"> if ther</w:t>
      </w:r>
      <w:r w:rsidRPr="008573C5">
        <w:rPr>
          <w:rFonts w:ascii="Times New Roman" w:hAnsi="Times New Roman"/>
          <w:sz w:val="24"/>
          <w:szCs w:val="24"/>
        </w:rPr>
        <w:t xml:space="preserve">e </w:t>
      </w:r>
      <w:r w:rsidR="00521F2B" w:rsidRPr="008573C5">
        <w:rPr>
          <w:rFonts w:ascii="Times New Roman" w:hAnsi="Times New Roman"/>
          <w:sz w:val="24"/>
          <w:szCs w:val="24"/>
        </w:rPr>
        <w:t>had been</w:t>
      </w:r>
      <w:r w:rsidRPr="008573C5">
        <w:rPr>
          <w:rFonts w:ascii="Times New Roman" w:hAnsi="Times New Roman"/>
          <w:sz w:val="24"/>
          <w:szCs w:val="24"/>
        </w:rPr>
        <w:t xml:space="preserve"> any improvement with time.</w:t>
      </w:r>
    </w:p>
    <w:p w:rsidR="00581901" w:rsidRPr="008573C5" w:rsidRDefault="00E52E7F" w:rsidP="00085210">
      <w:pPr>
        <w:pStyle w:val="ListParagraph"/>
        <w:numPr>
          <w:ilvl w:val="0"/>
          <w:numId w:val="24"/>
        </w:numPr>
        <w:spacing w:before="100" w:beforeAutospacing="1" w:after="100" w:afterAutospacing="1" w:line="360" w:lineRule="auto"/>
        <w:jc w:val="both"/>
        <w:rPr>
          <w:rFonts w:ascii="Times New Roman" w:hAnsi="Times New Roman"/>
          <w:sz w:val="24"/>
          <w:szCs w:val="24"/>
        </w:rPr>
      </w:pPr>
      <w:r w:rsidRPr="008573C5">
        <w:rPr>
          <w:rFonts w:ascii="Times New Roman" w:hAnsi="Times New Roman"/>
          <w:sz w:val="24"/>
          <w:szCs w:val="24"/>
        </w:rPr>
        <w:t xml:space="preserve">The coefficient of determination </w:t>
      </w:r>
      <w:r w:rsidR="004B061C" w:rsidRPr="008573C5">
        <w:rPr>
          <w:rFonts w:ascii="Times New Roman" w:hAnsi="Times New Roman"/>
          <w:sz w:val="24"/>
          <w:szCs w:val="24"/>
        </w:rPr>
        <w:t>(R</w:t>
      </w:r>
      <w:r w:rsidR="004B061C" w:rsidRPr="008573C5">
        <w:rPr>
          <w:rFonts w:ascii="Times New Roman" w:hAnsi="Times New Roman"/>
          <w:sz w:val="24"/>
          <w:szCs w:val="24"/>
          <w:vertAlign w:val="superscript"/>
        </w:rPr>
        <w:t>2</w:t>
      </w:r>
      <w:r w:rsidR="004B061C" w:rsidRPr="008573C5">
        <w:rPr>
          <w:rFonts w:ascii="Times New Roman" w:hAnsi="Times New Roman"/>
          <w:sz w:val="24"/>
          <w:szCs w:val="24"/>
        </w:rPr>
        <w:t xml:space="preserve">) </w:t>
      </w:r>
      <w:r w:rsidRPr="008573C5">
        <w:rPr>
          <w:rFonts w:ascii="Times New Roman" w:hAnsi="Times New Roman"/>
          <w:sz w:val="24"/>
          <w:szCs w:val="24"/>
        </w:rPr>
        <w:t>for all the</w:t>
      </w:r>
      <w:r w:rsidR="00280A1A" w:rsidRPr="008573C5">
        <w:rPr>
          <w:rFonts w:ascii="Times New Roman" w:hAnsi="Times New Roman"/>
          <w:sz w:val="24"/>
          <w:szCs w:val="24"/>
        </w:rPr>
        <w:t xml:space="preserve"> sixteen models estimated ranges</w:t>
      </w:r>
      <w:r w:rsidRPr="008573C5">
        <w:rPr>
          <w:rFonts w:ascii="Times New Roman" w:hAnsi="Times New Roman"/>
          <w:sz w:val="24"/>
          <w:szCs w:val="24"/>
        </w:rPr>
        <w:t xml:space="preserve"> between</w:t>
      </w:r>
      <w:r w:rsidR="00D0751F" w:rsidRPr="008573C5">
        <w:rPr>
          <w:rFonts w:ascii="Times New Roman" w:hAnsi="Times New Roman"/>
          <w:sz w:val="24"/>
          <w:szCs w:val="24"/>
        </w:rPr>
        <w:t xml:space="preserve"> </w:t>
      </w:r>
      <w:r w:rsidR="004B061C" w:rsidRPr="008573C5">
        <w:rPr>
          <w:rFonts w:ascii="Times New Roman" w:hAnsi="Times New Roman"/>
          <w:sz w:val="24"/>
          <w:szCs w:val="24"/>
        </w:rPr>
        <w:t>0.161 to 0.647</w:t>
      </w:r>
      <w:r w:rsidRPr="008573C5">
        <w:rPr>
          <w:rFonts w:ascii="Times New Roman" w:hAnsi="Times New Roman"/>
          <w:sz w:val="24"/>
          <w:szCs w:val="24"/>
        </w:rPr>
        <w:t>. This implies that there are s</w:t>
      </w:r>
      <w:r w:rsidR="00521F2B" w:rsidRPr="008573C5">
        <w:rPr>
          <w:rFonts w:ascii="Times New Roman" w:hAnsi="Times New Roman"/>
          <w:sz w:val="24"/>
          <w:szCs w:val="24"/>
        </w:rPr>
        <w:t>till s</w:t>
      </w:r>
      <w:r w:rsidRPr="008573C5">
        <w:rPr>
          <w:rFonts w:ascii="Times New Roman" w:hAnsi="Times New Roman"/>
          <w:sz w:val="24"/>
          <w:szCs w:val="24"/>
        </w:rPr>
        <w:t xml:space="preserve">ome </w:t>
      </w:r>
      <w:r w:rsidR="00521F2B" w:rsidRPr="008573C5">
        <w:rPr>
          <w:rFonts w:ascii="Times New Roman" w:hAnsi="Times New Roman"/>
          <w:sz w:val="24"/>
          <w:szCs w:val="24"/>
        </w:rPr>
        <w:t xml:space="preserve">other </w:t>
      </w:r>
      <w:r w:rsidRPr="008573C5">
        <w:rPr>
          <w:rFonts w:ascii="Times New Roman" w:hAnsi="Times New Roman"/>
          <w:sz w:val="24"/>
          <w:szCs w:val="24"/>
        </w:rPr>
        <w:t xml:space="preserve">factors influencing disclosure </w:t>
      </w:r>
      <w:r w:rsidR="00521F2B" w:rsidRPr="008573C5">
        <w:rPr>
          <w:rFonts w:ascii="Times New Roman" w:hAnsi="Times New Roman"/>
          <w:sz w:val="24"/>
          <w:szCs w:val="24"/>
        </w:rPr>
        <w:t xml:space="preserve">which </w:t>
      </w:r>
      <w:r w:rsidR="00280A1A" w:rsidRPr="008573C5">
        <w:rPr>
          <w:rFonts w:ascii="Times New Roman" w:hAnsi="Times New Roman"/>
          <w:sz w:val="24"/>
          <w:szCs w:val="24"/>
        </w:rPr>
        <w:t>are</w:t>
      </w:r>
      <w:r w:rsidR="00383F8C" w:rsidRPr="008573C5">
        <w:rPr>
          <w:rFonts w:ascii="Times New Roman" w:hAnsi="Times New Roman"/>
          <w:sz w:val="24"/>
          <w:szCs w:val="24"/>
        </w:rPr>
        <w:t xml:space="preserve"> no</w:t>
      </w:r>
      <w:r w:rsidR="007A58FB" w:rsidRPr="008573C5">
        <w:rPr>
          <w:rFonts w:ascii="Times New Roman" w:hAnsi="Times New Roman"/>
          <w:sz w:val="24"/>
          <w:szCs w:val="24"/>
        </w:rPr>
        <w:t>t</w:t>
      </w:r>
      <w:r w:rsidR="00521F2B" w:rsidRPr="008573C5">
        <w:rPr>
          <w:rFonts w:ascii="Times New Roman" w:hAnsi="Times New Roman"/>
          <w:sz w:val="24"/>
          <w:szCs w:val="24"/>
        </w:rPr>
        <w:t xml:space="preserve"> considered. </w:t>
      </w:r>
      <w:r w:rsidR="00A37CA4" w:rsidRPr="008573C5">
        <w:rPr>
          <w:rFonts w:ascii="Times New Roman" w:hAnsi="Times New Roman"/>
          <w:sz w:val="24"/>
          <w:szCs w:val="24"/>
        </w:rPr>
        <w:t>T</w:t>
      </w:r>
      <w:r w:rsidR="00280A1A" w:rsidRPr="008573C5">
        <w:rPr>
          <w:rFonts w:ascii="Times New Roman" w:hAnsi="Times New Roman"/>
          <w:sz w:val="24"/>
          <w:szCs w:val="24"/>
        </w:rPr>
        <w:t>he study explores</w:t>
      </w:r>
      <w:r w:rsidR="00581901" w:rsidRPr="008573C5">
        <w:rPr>
          <w:rFonts w:ascii="Times New Roman" w:hAnsi="Times New Roman"/>
          <w:sz w:val="24"/>
          <w:szCs w:val="24"/>
        </w:rPr>
        <w:t xml:space="preserve"> only seven </w:t>
      </w:r>
      <w:r w:rsidR="00521F2B" w:rsidRPr="008573C5">
        <w:rPr>
          <w:rFonts w:ascii="Times New Roman" w:hAnsi="Times New Roman"/>
          <w:sz w:val="24"/>
          <w:szCs w:val="24"/>
        </w:rPr>
        <w:t>independent corporate variables,</w:t>
      </w:r>
      <w:r w:rsidR="00581901" w:rsidRPr="008573C5">
        <w:rPr>
          <w:rFonts w:ascii="Times New Roman" w:hAnsi="Times New Roman"/>
          <w:sz w:val="24"/>
          <w:szCs w:val="24"/>
        </w:rPr>
        <w:t xml:space="preserve"> other factors influencing disclosure such as </w:t>
      </w:r>
      <w:r w:rsidR="0043481F" w:rsidRPr="008573C5">
        <w:rPr>
          <w:rFonts w:ascii="Times New Roman" w:hAnsi="Times New Roman"/>
          <w:sz w:val="24"/>
          <w:szCs w:val="24"/>
        </w:rPr>
        <w:t>number of foreign shareholders, company age,</w:t>
      </w:r>
      <w:r w:rsidR="00581901" w:rsidRPr="008573C5">
        <w:rPr>
          <w:rFonts w:ascii="Times New Roman" w:hAnsi="Times New Roman"/>
          <w:sz w:val="24"/>
          <w:szCs w:val="24"/>
        </w:rPr>
        <w:t xml:space="preserve"> and </w:t>
      </w:r>
      <w:r w:rsidR="0043481F" w:rsidRPr="008573C5">
        <w:rPr>
          <w:rFonts w:ascii="Times New Roman" w:hAnsi="Times New Roman"/>
          <w:sz w:val="24"/>
          <w:szCs w:val="24"/>
        </w:rPr>
        <w:t>auditors’ opinion could</w:t>
      </w:r>
      <w:r w:rsidR="00521F2B" w:rsidRPr="008573C5">
        <w:rPr>
          <w:rFonts w:ascii="Times New Roman" w:hAnsi="Times New Roman"/>
          <w:sz w:val="24"/>
          <w:szCs w:val="24"/>
        </w:rPr>
        <w:t xml:space="preserve"> be explored in fu</w:t>
      </w:r>
      <w:r w:rsidR="00FD25C1" w:rsidRPr="008573C5">
        <w:rPr>
          <w:rFonts w:ascii="Times New Roman" w:hAnsi="Times New Roman"/>
          <w:sz w:val="24"/>
          <w:szCs w:val="24"/>
        </w:rPr>
        <w:t>rther studies</w:t>
      </w:r>
      <w:r w:rsidR="00521F2B" w:rsidRPr="008573C5">
        <w:rPr>
          <w:rFonts w:ascii="Times New Roman" w:hAnsi="Times New Roman"/>
          <w:sz w:val="24"/>
          <w:szCs w:val="24"/>
        </w:rPr>
        <w:t>.</w:t>
      </w:r>
    </w:p>
    <w:p w:rsidR="003F23B1" w:rsidRPr="008573C5" w:rsidRDefault="00521F2B" w:rsidP="00085210">
      <w:pPr>
        <w:pStyle w:val="ListParagraph"/>
        <w:numPr>
          <w:ilvl w:val="0"/>
          <w:numId w:val="24"/>
        </w:numPr>
        <w:autoSpaceDE w:val="0"/>
        <w:autoSpaceDN w:val="0"/>
        <w:adjustRightInd w:val="0"/>
        <w:spacing w:before="100" w:beforeAutospacing="1" w:after="100" w:afterAutospacing="1" w:line="360" w:lineRule="auto"/>
        <w:jc w:val="both"/>
        <w:rPr>
          <w:rFonts w:ascii="Times New Roman" w:hAnsi="Times New Roman"/>
          <w:sz w:val="24"/>
          <w:szCs w:val="24"/>
        </w:rPr>
      </w:pPr>
      <w:r w:rsidRPr="008573C5">
        <w:rPr>
          <w:rFonts w:ascii="Times New Roman" w:hAnsi="Times New Roman"/>
          <w:sz w:val="24"/>
          <w:szCs w:val="24"/>
        </w:rPr>
        <w:t>A</w:t>
      </w:r>
      <w:r w:rsidR="00912C24" w:rsidRPr="008573C5">
        <w:rPr>
          <w:rFonts w:ascii="Times New Roman" w:hAnsi="Times New Roman"/>
          <w:sz w:val="24"/>
          <w:szCs w:val="24"/>
        </w:rPr>
        <w:t>uditor</w:t>
      </w:r>
      <w:r w:rsidR="003F23B1" w:rsidRPr="008573C5">
        <w:rPr>
          <w:rFonts w:ascii="Times New Roman" w:hAnsi="Times New Roman"/>
          <w:sz w:val="24"/>
          <w:szCs w:val="24"/>
        </w:rPr>
        <w:t xml:space="preserve"> type </w:t>
      </w:r>
      <w:r w:rsidR="00383F8C" w:rsidRPr="008573C5">
        <w:rPr>
          <w:rFonts w:ascii="Times New Roman" w:hAnsi="Times New Roman"/>
          <w:sz w:val="24"/>
          <w:szCs w:val="24"/>
        </w:rPr>
        <w:t>i</w:t>
      </w:r>
      <w:r w:rsidR="00912C24" w:rsidRPr="008573C5">
        <w:rPr>
          <w:rFonts w:ascii="Times New Roman" w:hAnsi="Times New Roman"/>
          <w:sz w:val="24"/>
          <w:szCs w:val="24"/>
        </w:rPr>
        <w:t xml:space="preserve">s </w:t>
      </w:r>
      <w:r w:rsidR="003F23B1" w:rsidRPr="008573C5">
        <w:rPr>
          <w:rFonts w:ascii="Times New Roman" w:hAnsi="Times New Roman"/>
          <w:sz w:val="24"/>
          <w:szCs w:val="24"/>
        </w:rPr>
        <w:t xml:space="preserve">found to be significantly related to the extent of disclosure. Further studies could be done to examine the factors influencing the quality of audit and the </w:t>
      </w:r>
      <w:r w:rsidR="00912C24" w:rsidRPr="008573C5">
        <w:rPr>
          <w:rFonts w:ascii="Times New Roman" w:hAnsi="Times New Roman"/>
          <w:sz w:val="24"/>
          <w:szCs w:val="24"/>
        </w:rPr>
        <w:t xml:space="preserve">auditor’s role in promoting the quality of accounting disclosure </w:t>
      </w:r>
      <w:r w:rsidRPr="008573C5">
        <w:rPr>
          <w:rFonts w:ascii="Times New Roman" w:hAnsi="Times New Roman"/>
          <w:sz w:val="24"/>
          <w:szCs w:val="24"/>
        </w:rPr>
        <w:t>in Nigeria.</w:t>
      </w:r>
    </w:p>
    <w:p w:rsidR="00521F2B" w:rsidRPr="008573C5" w:rsidRDefault="00521F2B" w:rsidP="00085210">
      <w:pPr>
        <w:pStyle w:val="ListParagraph"/>
        <w:numPr>
          <w:ilvl w:val="0"/>
          <w:numId w:val="24"/>
        </w:numPr>
        <w:autoSpaceDE w:val="0"/>
        <w:autoSpaceDN w:val="0"/>
        <w:adjustRightInd w:val="0"/>
        <w:spacing w:before="100" w:beforeAutospacing="1" w:after="100" w:afterAutospacing="1" w:line="360" w:lineRule="auto"/>
        <w:jc w:val="both"/>
        <w:rPr>
          <w:rFonts w:ascii="Times New Roman" w:hAnsi="Times New Roman"/>
          <w:sz w:val="24"/>
          <w:szCs w:val="24"/>
        </w:rPr>
      </w:pPr>
      <w:r w:rsidRPr="008573C5">
        <w:rPr>
          <w:rFonts w:ascii="Times New Roman" w:hAnsi="Times New Roman"/>
          <w:sz w:val="24"/>
          <w:szCs w:val="24"/>
        </w:rPr>
        <w:t>The use of cluster analysis in disclosure studies is just emerging. Researchers should consider exploring the cluster analysis method in disclosure studies to enrich the literature. Various disclosure patterns and structures</w:t>
      </w:r>
      <w:r w:rsidR="00A37CA4" w:rsidRPr="008573C5">
        <w:rPr>
          <w:rFonts w:ascii="Times New Roman" w:hAnsi="Times New Roman"/>
          <w:sz w:val="24"/>
          <w:szCs w:val="24"/>
        </w:rPr>
        <w:t xml:space="preserve"> as well as the financial characteristics influencing them</w:t>
      </w:r>
      <w:r w:rsidRPr="008573C5">
        <w:rPr>
          <w:rFonts w:ascii="Times New Roman" w:hAnsi="Times New Roman"/>
          <w:sz w:val="24"/>
          <w:szCs w:val="24"/>
        </w:rPr>
        <w:t xml:space="preserve"> can be discovered</w:t>
      </w:r>
      <w:r w:rsidR="00A37CA4" w:rsidRPr="008573C5">
        <w:rPr>
          <w:rFonts w:ascii="Times New Roman" w:hAnsi="Times New Roman"/>
          <w:sz w:val="24"/>
          <w:szCs w:val="24"/>
        </w:rPr>
        <w:t>.</w:t>
      </w:r>
      <w:r w:rsidRPr="008573C5">
        <w:rPr>
          <w:rFonts w:ascii="Times New Roman" w:hAnsi="Times New Roman"/>
          <w:sz w:val="24"/>
          <w:szCs w:val="24"/>
        </w:rPr>
        <w:t xml:space="preserve"> </w:t>
      </w:r>
    </w:p>
    <w:p w:rsidR="002D548A" w:rsidRPr="008573C5" w:rsidRDefault="002D548A" w:rsidP="001F60B6">
      <w:pPr>
        <w:spacing w:line="360" w:lineRule="auto"/>
        <w:jc w:val="center"/>
        <w:rPr>
          <w:b/>
          <w:sz w:val="28"/>
          <w:szCs w:val="28"/>
        </w:rPr>
      </w:pPr>
    </w:p>
    <w:p w:rsidR="002D548A" w:rsidRPr="008573C5" w:rsidRDefault="002D548A" w:rsidP="001F60B6">
      <w:pPr>
        <w:spacing w:line="360" w:lineRule="auto"/>
        <w:jc w:val="center"/>
        <w:rPr>
          <w:b/>
          <w:sz w:val="28"/>
          <w:szCs w:val="28"/>
        </w:rPr>
      </w:pPr>
    </w:p>
    <w:p w:rsidR="004D5C69" w:rsidRPr="008573C5" w:rsidRDefault="004D5C69" w:rsidP="001F60B6">
      <w:pPr>
        <w:spacing w:line="360" w:lineRule="auto"/>
        <w:jc w:val="center"/>
        <w:rPr>
          <w:b/>
          <w:sz w:val="28"/>
          <w:szCs w:val="28"/>
        </w:rPr>
      </w:pPr>
    </w:p>
    <w:p w:rsidR="004D5C69" w:rsidRPr="008573C5" w:rsidRDefault="004D5C69" w:rsidP="001F60B6">
      <w:pPr>
        <w:spacing w:line="360" w:lineRule="auto"/>
        <w:jc w:val="center"/>
        <w:rPr>
          <w:b/>
          <w:sz w:val="28"/>
          <w:szCs w:val="28"/>
        </w:rPr>
      </w:pPr>
    </w:p>
    <w:p w:rsidR="00F76298" w:rsidRPr="008573C5" w:rsidRDefault="00F76298" w:rsidP="00B527AD">
      <w:pPr>
        <w:autoSpaceDE w:val="0"/>
        <w:autoSpaceDN w:val="0"/>
        <w:adjustRightInd w:val="0"/>
        <w:spacing w:line="360" w:lineRule="auto"/>
        <w:jc w:val="center"/>
        <w:rPr>
          <w:b/>
          <w:sz w:val="28"/>
          <w:szCs w:val="28"/>
        </w:rPr>
      </w:pPr>
    </w:p>
    <w:p w:rsidR="002C05DC" w:rsidRPr="008573C5" w:rsidRDefault="002C05DC" w:rsidP="00B527AD">
      <w:pPr>
        <w:autoSpaceDE w:val="0"/>
        <w:autoSpaceDN w:val="0"/>
        <w:adjustRightInd w:val="0"/>
        <w:spacing w:line="360" w:lineRule="auto"/>
        <w:jc w:val="center"/>
        <w:rPr>
          <w:b/>
          <w:sz w:val="28"/>
          <w:szCs w:val="28"/>
        </w:rPr>
      </w:pPr>
    </w:p>
    <w:p w:rsidR="002C05DC" w:rsidRPr="008573C5" w:rsidRDefault="002C05DC" w:rsidP="00B527AD">
      <w:pPr>
        <w:autoSpaceDE w:val="0"/>
        <w:autoSpaceDN w:val="0"/>
        <w:adjustRightInd w:val="0"/>
        <w:spacing w:line="360" w:lineRule="auto"/>
        <w:jc w:val="center"/>
        <w:rPr>
          <w:b/>
          <w:sz w:val="28"/>
          <w:szCs w:val="28"/>
        </w:rPr>
      </w:pPr>
    </w:p>
    <w:p w:rsidR="002C05DC" w:rsidRPr="008573C5" w:rsidRDefault="002C05DC" w:rsidP="00B527AD">
      <w:pPr>
        <w:autoSpaceDE w:val="0"/>
        <w:autoSpaceDN w:val="0"/>
        <w:adjustRightInd w:val="0"/>
        <w:spacing w:line="360" w:lineRule="auto"/>
        <w:jc w:val="center"/>
        <w:rPr>
          <w:b/>
          <w:sz w:val="28"/>
          <w:szCs w:val="28"/>
        </w:rPr>
      </w:pPr>
    </w:p>
    <w:p w:rsidR="002C05DC" w:rsidRPr="008573C5" w:rsidRDefault="002C05DC" w:rsidP="00B527AD">
      <w:pPr>
        <w:autoSpaceDE w:val="0"/>
        <w:autoSpaceDN w:val="0"/>
        <w:adjustRightInd w:val="0"/>
        <w:spacing w:line="360" w:lineRule="auto"/>
        <w:jc w:val="center"/>
        <w:rPr>
          <w:b/>
          <w:sz w:val="28"/>
          <w:szCs w:val="28"/>
        </w:rPr>
      </w:pPr>
    </w:p>
    <w:p w:rsidR="002C05DC" w:rsidRPr="008573C5" w:rsidRDefault="002C05DC" w:rsidP="00B527AD">
      <w:pPr>
        <w:autoSpaceDE w:val="0"/>
        <w:autoSpaceDN w:val="0"/>
        <w:adjustRightInd w:val="0"/>
        <w:spacing w:line="360" w:lineRule="auto"/>
        <w:jc w:val="center"/>
        <w:rPr>
          <w:b/>
          <w:sz w:val="28"/>
          <w:szCs w:val="28"/>
        </w:rPr>
      </w:pPr>
    </w:p>
    <w:p w:rsidR="007201D6" w:rsidRPr="008573C5" w:rsidRDefault="007201D6" w:rsidP="00B527AD">
      <w:pPr>
        <w:autoSpaceDE w:val="0"/>
        <w:autoSpaceDN w:val="0"/>
        <w:adjustRightInd w:val="0"/>
        <w:spacing w:line="360" w:lineRule="auto"/>
        <w:jc w:val="center"/>
        <w:rPr>
          <w:b/>
          <w:sz w:val="28"/>
          <w:szCs w:val="28"/>
        </w:rPr>
      </w:pPr>
    </w:p>
    <w:p w:rsidR="007201D6" w:rsidRPr="008573C5" w:rsidRDefault="007201D6" w:rsidP="00B527AD">
      <w:pPr>
        <w:autoSpaceDE w:val="0"/>
        <w:autoSpaceDN w:val="0"/>
        <w:adjustRightInd w:val="0"/>
        <w:spacing w:line="360" w:lineRule="auto"/>
        <w:jc w:val="center"/>
        <w:rPr>
          <w:b/>
          <w:sz w:val="28"/>
          <w:szCs w:val="28"/>
        </w:rPr>
      </w:pPr>
    </w:p>
    <w:p w:rsidR="007201D6" w:rsidRPr="008573C5" w:rsidRDefault="007201D6" w:rsidP="00B527AD">
      <w:pPr>
        <w:autoSpaceDE w:val="0"/>
        <w:autoSpaceDN w:val="0"/>
        <w:adjustRightInd w:val="0"/>
        <w:spacing w:line="360" w:lineRule="auto"/>
        <w:jc w:val="center"/>
        <w:rPr>
          <w:b/>
          <w:sz w:val="28"/>
          <w:szCs w:val="28"/>
        </w:rPr>
      </w:pPr>
    </w:p>
    <w:p w:rsidR="007201D6" w:rsidRPr="008573C5" w:rsidRDefault="007201D6" w:rsidP="00B527AD">
      <w:pPr>
        <w:autoSpaceDE w:val="0"/>
        <w:autoSpaceDN w:val="0"/>
        <w:adjustRightInd w:val="0"/>
        <w:spacing w:line="360" w:lineRule="auto"/>
        <w:jc w:val="center"/>
        <w:rPr>
          <w:b/>
          <w:sz w:val="28"/>
          <w:szCs w:val="28"/>
        </w:rPr>
      </w:pPr>
    </w:p>
    <w:p w:rsidR="007201D6" w:rsidRPr="008573C5" w:rsidRDefault="007201D6" w:rsidP="00B527AD">
      <w:pPr>
        <w:autoSpaceDE w:val="0"/>
        <w:autoSpaceDN w:val="0"/>
        <w:adjustRightInd w:val="0"/>
        <w:spacing w:line="360" w:lineRule="auto"/>
        <w:jc w:val="center"/>
        <w:rPr>
          <w:b/>
          <w:sz w:val="28"/>
          <w:szCs w:val="28"/>
        </w:rPr>
      </w:pPr>
    </w:p>
    <w:p w:rsidR="002C05DC" w:rsidRPr="008573C5" w:rsidRDefault="002C05DC" w:rsidP="00B527AD">
      <w:pPr>
        <w:autoSpaceDE w:val="0"/>
        <w:autoSpaceDN w:val="0"/>
        <w:adjustRightInd w:val="0"/>
        <w:spacing w:line="360" w:lineRule="auto"/>
        <w:jc w:val="center"/>
        <w:rPr>
          <w:b/>
          <w:sz w:val="28"/>
          <w:szCs w:val="28"/>
        </w:rPr>
      </w:pPr>
    </w:p>
    <w:p w:rsidR="007A5BD3" w:rsidRPr="005130C9" w:rsidRDefault="00D24B65" w:rsidP="00B527AD">
      <w:pPr>
        <w:autoSpaceDE w:val="0"/>
        <w:autoSpaceDN w:val="0"/>
        <w:adjustRightInd w:val="0"/>
        <w:spacing w:line="360" w:lineRule="auto"/>
        <w:jc w:val="center"/>
        <w:rPr>
          <w:b/>
          <w:caps/>
          <w:sz w:val="32"/>
          <w:szCs w:val="32"/>
        </w:rPr>
      </w:pPr>
      <w:r w:rsidRPr="005130C9">
        <w:rPr>
          <w:b/>
          <w:caps/>
          <w:sz w:val="32"/>
          <w:szCs w:val="32"/>
        </w:rPr>
        <w:t>Bibliography</w:t>
      </w:r>
    </w:p>
    <w:p w:rsidR="00C26CAA" w:rsidRPr="008573C5" w:rsidRDefault="00C26CAA" w:rsidP="00B527AD">
      <w:pPr>
        <w:spacing w:line="360" w:lineRule="auto"/>
        <w:jc w:val="both"/>
        <w:rPr>
          <w:b/>
          <w:sz w:val="28"/>
          <w:szCs w:val="28"/>
        </w:rPr>
      </w:pPr>
      <w:r w:rsidRPr="008573C5">
        <w:rPr>
          <w:b/>
          <w:sz w:val="28"/>
          <w:szCs w:val="28"/>
        </w:rPr>
        <w:t>B</w:t>
      </w:r>
      <w:r w:rsidR="00D24B65" w:rsidRPr="008573C5">
        <w:rPr>
          <w:b/>
          <w:sz w:val="28"/>
          <w:szCs w:val="28"/>
        </w:rPr>
        <w:t>ooks</w:t>
      </w:r>
    </w:p>
    <w:p w:rsidR="007D4D28" w:rsidRPr="008573C5" w:rsidRDefault="007D4D28" w:rsidP="003D7B05">
      <w:pPr>
        <w:spacing w:line="360" w:lineRule="auto"/>
        <w:jc w:val="both"/>
        <w:rPr>
          <w:lang w:val="en-GB"/>
        </w:rPr>
      </w:pPr>
      <w:r w:rsidRPr="008573C5">
        <w:t xml:space="preserve">Alexander, D, Britton, A and Jorissen, A. (2003). </w:t>
      </w:r>
      <w:r w:rsidRPr="008573C5">
        <w:rPr>
          <w:i/>
        </w:rPr>
        <w:t xml:space="preserve">International </w:t>
      </w:r>
      <w:r w:rsidRPr="008573C5">
        <w:rPr>
          <w:i/>
          <w:iCs/>
          <w:lang w:val="en-GB"/>
        </w:rPr>
        <w:t xml:space="preserve">Financial Reporting </w:t>
      </w:r>
      <w:r w:rsidR="005130C9">
        <w:rPr>
          <w:i/>
          <w:iCs/>
          <w:lang w:val="en-GB"/>
        </w:rPr>
        <w:tab/>
      </w:r>
      <w:r w:rsidRPr="008573C5">
        <w:rPr>
          <w:i/>
          <w:iCs/>
          <w:lang w:val="en-GB"/>
        </w:rPr>
        <w:t>and</w:t>
      </w:r>
      <w:r w:rsidR="005130C9">
        <w:rPr>
          <w:i/>
          <w:iCs/>
          <w:lang w:val="en-GB"/>
        </w:rPr>
        <w:t xml:space="preserve"> </w:t>
      </w:r>
      <w:r w:rsidRPr="008573C5">
        <w:rPr>
          <w:i/>
          <w:iCs/>
          <w:lang w:val="en-GB"/>
        </w:rPr>
        <w:t xml:space="preserve">Analysis, </w:t>
      </w:r>
      <w:r w:rsidRPr="008573C5">
        <w:rPr>
          <w:lang w:val="en-GB"/>
        </w:rPr>
        <w:t>(1</w:t>
      </w:r>
      <w:r w:rsidRPr="008573C5">
        <w:rPr>
          <w:vertAlign w:val="superscript"/>
          <w:lang w:val="en-GB"/>
        </w:rPr>
        <w:t>st</w:t>
      </w:r>
      <w:r w:rsidRPr="008573C5">
        <w:rPr>
          <w:lang w:val="en-GB"/>
        </w:rPr>
        <w:t xml:space="preserve"> edition).  Surrey: Thomson Learning.</w:t>
      </w:r>
    </w:p>
    <w:p w:rsidR="007D4D28" w:rsidRPr="008573C5" w:rsidRDefault="007D4D28" w:rsidP="003D7B05">
      <w:pPr>
        <w:spacing w:line="360" w:lineRule="auto"/>
        <w:ind w:firstLine="720"/>
        <w:jc w:val="both"/>
      </w:pPr>
    </w:p>
    <w:p w:rsidR="00C26CAA" w:rsidRPr="008573C5" w:rsidRDefault="00C26CAA" w:rsidP="003D7B05">
      <w:pPr>
        <w:autoSpaceDE w:val="0"/>
        <w:autoSpaceDN w:val="0"/>
        <w:adjustRightInd w:val="0"/>
        <w:spacing w:line="360" w:lineRule="auto"/>
        <w:jc w:val="both"/>
      </w:pPr>
      <w:r w:rsidRPr="008573C5">
        <w:t xml:space="preserve">Asika, N. (2004). </w:t>
      </w:r>
      <w:r w:rsidRPr="008573C5">
        <w:rPr>
          <w:i/>
        </w:rPr>
        <w:t>Research Methodology in the Behavioural Sciences</w:t>
      </w:r>
      <w:r w:rsidRPr="008573C5">
        <w:t xml:space="preserve"> (1</w:t>
      </w:r>
      <w:r w:rsidRPr="008573C5">
        <w:rPr>
          <w:vertAlign w:val="superscript"/>
        </w:rPr>
        <w:t>st</w:t>
      </w:r>
      <w:r w:rsidRPr="008573C5">
        <w:t xml:space="preserve"> edition).</w:t>
      </w:r>
      <w:r w:rsidR="005130C9">
        <w:t xml:space="preserve"> </w:t>
      </w:r>
      <w:r w:rsidR="005130C9">
        <w:tab/>
      </w:r>
      <w:r w:rsidRPr="008573C5">
        <w:t>Abuja:</w:t>
      </w:r>
      <w:r w:rsidR="003D7B05" w:rsidRPr="008573C5">
        <w:t xml:space="preserve"> </w:t>
      </w:r>
      <w:r w:rsidR="003D7B05" w:rsidRPr="008573C5">
        <w:tab/>
      </w:r>
      <w:r w:rsidRPr="008573C5">
        <w:t xml:space="preserve">Longman Nigeria Plc. </w:t>
      </w:r>
    </w:p>
    <w:p w:rsidR="00C26CAA" w:rsidRPr="008573C5" w:rsidRDefault="00C26CAA" w:rsidP="003D7B05">
      <w:pPr>
        <w:spacing w:line="360" w:lineRule="auto"/>
        <w:jc w:val="both"/>
        <w:rPr>
          <w:b/>
        </w:rPr>
      </w:pPr>
    </w:p>
    <w:p w:rsidR="00C26CAA" w:rsidRPr="008573C5" w:rsidRDefault="00C26CAA" w:rsidP="003D7B05">
      <w:pPr>
        <w:autoSpaceDE w:val="0"/>
        <w:autoSpaceDN w:val="0"/>
        <w:adjustRightInd w:val="0"/>
        <w:spacing w:line="360" w:lineRule="auto"/>
        <w:jc w:val="both"/>
      </w:pPr>
      <w:r w:rsidRPr="008573C5">
        <w:t>Blake</w:t>
      </w:r>
      <w:r w:rsidR="005130C9">
        <w:t xml:space="preserve">, </w:t>
      </w:r>
      <w:r w:rsidRPr="008573C5">
        <w:t xml:space="preserve">J. (1981).  </w:t>
      </w:r>
      <w:r w:rsidRPr="008573C5">
        <w:rPr>
          <w:i/>
        </w:rPr>
        <w:t>Accounting Standards (</w:t>
      </w:r>
      <w:r w:rsidRPr="008573C5">
        <w:t>1</w:t>
      </w:r>
      <w:r w:rsidRPr="008573C5">
        <w:rPr>
          <w:vertAlign w:val="superscript"/>
        </w:rPr>
        <w:t>st</w:t>
      </w:r>
      <w:r w:rsidRPr="008573C5">
        <w:t xml:space="preserve"> edition.). London: Longman </w:t>
      </w:r>
      <w:r w:rsidRPr="008573C5">
        <w:tab/>
        <w:t>Incorporation.</w:t>
      </w:r>
    </w:p>
    <w:p w:rsidR="00B527AD" w:rsidRPr="008573C5" w:rsidRDefault="00B527AD" w:rsidP="003D7B05">
      <w:pPr>
        <w:spacing w:line="360" w:lineRule="auto"/>
        <w:jc w:val="both"/>
        <w:rPr>
          <w:rFonts w:ascii="TimesNewRomanPSMT" w:hAnsi="TimesNewRomanPSMT" w:cs="TimesNewRomanPSMT"/>
        </w:rPr>
      </w:pPr>
    </w:p>
    <w:p w:rsidR="00C26CAA" w:rsidRPr="008573C5" w:rsidRDefault="00C26CAA" w:rsidP="003D7B05">
      <w:pPr>
        <w:spacing w:line="360" w:lineRule="auto"/>
        <w:jc w:val="both"/>
        <w:rPr>
          <w:rFonts w:ascii="TimesNewRomanPSMT" w:hAnsi="TimesNewRomanPSMT" w:cs="TimesNewRomanPSMT"/>
        </w:rPr>
      </w:pPr>
      <w:r w:rsidRPr="008573C5">
        <w:rPr>
          <w:rFonts w:ascii="TimesNewRomanPSMT" w:hAnsi="TimesNewRomanPSMT" w:cs="TimesNewRomanPSMT"/>
        </w:rPr>
        <w:t>Companies and Allied Matters Commission (1990).</w:t>
      </w:r>
      <w:r w:rsidRPr="008573C5">
        <w:rPr>
          <w:rFonts w:ascii="TimesNewRomanPSMT" w:hAnsi="TimesNewRomanPSMT" w:cs="TimesNewRomanPSMT"/>
          <w:i/>
        </w:rPr>
        <w:t xml:space="preserve"> Co</w:t>
      </w:r>
      <w:r w:rsidR="003D7B05" w:rsidRPr="008573C5">
        <w:rPr>
          <w:rFonts w:ascii="TimesNewRomanPSMT" w:hAnsi="TimesNewRomanPSMT" w:cs="TimesNewRomanPSMT"/>
          <w:i/>
        </w:rPr>
        <w:t xml:space="preserve">mpanies and Allied Matters </w:t>
      </w:r>
      <w:r w:rsidR="005130C9">
        <w:rPr>
          <w:rFonts w:ascii="TimesNewRomanPSMT" w:hAnsi="TimesNewRomanPSMT" w:cs="TimesNewRomanPSMT"/>
          <w:i/>
        </w:rPr>
        <w:tab/>
      </w:r>
      <w:r w:rsidRPr="008573C5">
        <w:rPr>
          <w:rFonts w:ascii="TimesNewRomanPSMT" w:hAnsi="TimesNewRomanPSMT" w:cs="TimesNewRomanPSMT"/>
          <w:i/>
        </w:rPr>
        <w:t>Decree 1</w:t>
      </w:r>
      <w:r w:rsidR="005130C9">
        <w:rPr>
          <w:rFonts w:ascii="TimesNewRomanPSMT" w:hAnsi="TimesNewRomanPSMT" w:cs="TimesNewRomanPSMT"/>
          <w:i/>
        </w:rPr>
        <w:t xml:space="preserve"> </w:t>
      </w:r>
      <w:r w:rsidRPr="008573C5">
        <w:rPr>
          <w:rFonts w:ascii="TimesNewRomanPSMT" w:hAnsi="TimesNewRomanPSMT" w:cs="TimesNewRomanPSMT"/>
          <w:i/>
        </w:rPr>
        <w:t>1990 (with amendments)</w:t>
      </w:r>
      <w:r w:rsidRPr="008573C5">
        <w:rPr>
          <w:rFonts w:ascii="TimesNewRomanPSMT" w:hAnsi="TimesNewRomanPSMT" w:cs="TimesNewRomanPSMT"/>
        </w:rPr>
        <w:t>. Abuja: Author.</w:t>
      </w:r>
    </w:p>
    <w:p w:rsidR="00B527AD" w:rsidRPr="008573C5" w:rsidRDefault="00B527AD" w:rsidP="003D7B05">
      <w:pPr>
        <w:autoSpaceDE w:val="0"/>
        <w:autoSpaceDN w:val="0"/>
        <w:adjustRightInd w:val="0"/>
        <w:spacing w:line="360" w:lineRule="auto"/>
        <w:jc w:val="both"/>
      </w:pPr>
    </w:p>
    <w:p w:rsidR="00EF51FA" w:rsidRPr="008573C5" w:rsidRDefault="00EF51FA" w:rsidP="00B021C7">
      <w:pPr>
        <w:spacing w:line="360" w:lineRule="auto"/>
        <w:jc w:val="both"/>
        <w:rPr>
          <w:lang w:val="en-GB"/>
        </w:rPr>
      </w:pPr>
      <w:r w:rsidRPr="008573C5">
        <w:rPr>
          <w:lang w:val="en-GB"/>
        </w:rPr>
        <w:t xml:space="preserve">Elliot, B. and Elliot, J. (2005). </w:t>
      </w:r>
      <w:r w:rsidRPr="008573C5">
        <w:rPr>
          <w:i/>
          <w:iCs/>
          <w:lang w:val="en-GB"/>
        </w:rPr>
        <w:t>Financial Accounting and Reporting</w:t>
      </w:r>
      <w:r w:rsidRPr="008573C5">
        <w:rPr>
          <w:lang w:val="en-GB"/>
        </w:rPr>
        <w:t xml:space="preserve"> (9</w:t>
      </w:r>
      <w:r w:rsidRPr="008573C5">
        <w:rPr>
          <w:vertAlign w:val="superscript"/>
          <w:lang w:val="en-GB"/>
        </w:rPr>
        <w:t>th</w:t>
      </w:r>
      <w:r w:rsidRPr="008573C5">
        <w:rPr>
          <w:lang w:val="en-GB"/>
        </w:rPr>
        <w:t xml:space="preserve"> </w:t>
      </w:r>
      <w:r w:rsidR="007D4D28" w:rsidRPr="008573C5">
        <w:rPr>
          <w:lang w:val="en-GB"/>
        </w:rPr>
        <w:t>e</w:t>
      </w:r>
      <w:r w:rsidRPr="008573C5">
        <w:rPr>
          <w:lang w:val="en-GB"/>
        </w:rPr>
        <w:t>dition)</w:t>
      </w:r>
      <w:r w:rsidR="00B021C7" w:rsidRPr="008573C5">
        <w:rPr>
          <w:lang w:val="en-GB"/>
        </w:rPr>
        <w:t>.</w:t>
      </w:r>
      <w:r w:rsidR="005130C9">
        <w:rPr>
          <w:lang w:val="en-GB"/>
        </w:rPr>
        <w:t xml:space="preserve"> </w:t>
      </w:r>
      <w:r w:rsidR="005130C9">
        <w:rPr>
          <w:lang w:val="en-GB"/>
        </w:rPr>
        <w:tab/>
      </w:r>
      <w:r w:rsidRPr="008573C5">
        <w:rPr>
          <w:lang w:val="en-GB"/>
        </w:rPr>
        <w:t xml:space="preserve">Essex: </w:t>
      </w:r>
      <w:r w:rsidR="00B021C7" w:rsidRPr="008573C5">
        <w:rPr>
          <w:lang w:val="en-GB"/>
        </w:rPr>
        <w:tab/>
      </w:r>
      <w:r w:rsidRPr="008573C5">
        <w:rPr>
          <w:lang w:val="en-GB"/>
        </w:rPr>
        <w:t>Pearson Education Limited.</w:t>
      </w:r>
    </w:p>
    <w:p w:rsidR="00EF51FA" w:rsidRPr="008573C5" w:rsidRDefault="00EF51FA" w:rsidP="00B021C7">
      <w:pPr>
        <w:autoSpaceDE w:val="0"/>
        <w:autoSpaceDN w:val="0"/>
        <w:adjustRightInd w:val="0"/>
        <w:spacing w:line="360" w:lineRule="auto"/>
        <w:jc w:val="both"/>
      </w:pPr>
    </w:p>
    <w:p w:rsidR="00C16FF3" w:rsidRPr="008573C5" w:rsidRDefault="00C16FF3" w:rsidP="00B021C7">
      <w:pPr>
        <w:autoSpaceDE w:val="0"/>
        <w:autoSpaceDN w:val="0"/>
        <w:adjustRightInd w:val="0"/>
        <w:spacing w:line="360" w:lineRule="auto"/>
        <w:jc w:val="both"/>
      </w:pPr>
      <w:r w:rsidRPr="008573C5">
        <w:t xml:space="preserve">Ezejelue, A.C (2001). </w:t>
      </w:r>
      <w:r w:rsidRPr="008573C5">
        <w:rPr>
          <w:i/>
        </w:rPr>
        <w:t>A Primer on International Accounting</w:t>
      </w:r>
      <w:r w:rsidRPr="008573C5">
        <w:t xml:space="preserve"> (1</w:t>
      </w:r>
      <w:r w:rsidRPr="008573C5">
        <w:rPr>
          <w:vertAlign w:val="superscript"/>
        </w:rPr>
        <w:t>st</w:t>
      </w:r>
      <w:r w:rsidRPr="008573C5">
        <w:t xml:space="preserve"> edition). Port </w:t>
      </w:r>
      <w:r w:rsidR="005130C9">
        <w:tab/>
      </w:r>
      <w:r w:rsidRPr="008573C5">
        <w:t xml:space="preserve">Harcourt : Educational Books and investments Limited. </w:t>
      </w:r>
    </w:p>
    <w:p w:rsidR="00C16FF3" w:rsidRPr="008573C5" w:rsidRDefault="00C16FF3" w:rsidP="00B021C7">
      <w:pPr>
        <w:autoSpaceDE w:val="0"/>
        <w:autoSpaceDN w:val="0"/>
        <w:adjustRightInd w:val="0"/>
        <w:spacing w:line="360" w:lineRule="auto"/>
        <w:jc w:val="both"/>
      </w:pPr>
    </w:p>
    <w:p w:rsidR="00C26CAA" w:rsidRPr="008573C5" w:rsidRDefault="00C26CAA" w:rsidP="00B021C7">
      <w:pPr>
        <w:autoSpaceDE w:val="0"/>
        <w:autoSpaceDN w:val="0"/>
        <w:adjustRightInd w:val="0"/>
        <w:spacing w:line="360" w:lineRule="auto"/>
        <w:jc w:val="both"/>
      </w:pPr>
      <w:r w:rsidRPr="008573C5">
        <w:t xml:space="preserve">Field, A. </w:t>
      </w:r>
      <w:r w:rsidR="007A58FB" w:rsidRPr="008573C5">
        <w:t>( 2006</w:t>
      </w:r>
      <w:r w:rsidRPr="008573C5">
        <w:t xml:space="preserve">). </w:t>
      </w:r>
      <w:r w:rsidRPr="008573C5">
        <w:rPr>
          <w:i/>
        </w:rPr>
        <w:t>Discovering Statistics Using SPSS</w:t>
      </w:r>
      <w:r w:rsidRPr="008573C5">
        <w:t xml:space="preserve"> (</w:t>
      </w:r>
      <w:r w:rsidR="007A58FB" w:rsidRPr="008573C5">
        <w:t>2</w:t>
      </w:r>
      <w:r w:rsidR="007A58FB" w:rsidRPr="008573C5">
        <w:rPr>
          <w:vertAlign w:val="superscript"/>
        </w:rPr>
        <w:t>nd</w:t>
      </w:r>
      <w:r w:rsidRPr="008573C5">
        <w:t xml:space="preserve"> edition).  London: Sage </w:t>
      </w:r>
      <w:r w:rsidR="00B021C7" w:rsidRPr="008573C5">
        <w:tab/>
      </w:r>
      <w:r w:rsidRPr="008573C5">
        <w:t>Publications.</w:t>
      </w:r>
    </w:p>
    <w:p w:rsidR="00C26CAA" w:rsidRPr="008573C5" w:rsidRDefault="00C26CAA" w:rsidP="00B021C7">
      <w:pPr>
        <w:autoSpaceDE w:val="0"/>
        <w:autoSpaceDN w:val="0"/>
        <w:adjustRightInd w:val="0"/>
        <w:spacing w:line="360" w:lineRule="auto"/>
        <w:jc w:val="both"/>
      </w:pPr>
    </w:p>
    <w:p w:rsidR="00C26CAA" w:rsidRPr="008573C5" w:rsidRDefault="00C26CAA" w:rsidP="00B021C7">
      <w:pPr>
        <w:autoSpaceDE w:val="0"/>
        <w:autoSpaceDN w:val="0"/>
        <w:adjustRightInd w:val="0"/>
        <w:spacing w:line="360" w:lineRule="auto"/>
        <w:jc w:val="both"/>
      </w:pPr>
      <w:r w:rsidRPr="008573C5">
        <w:t xml:space="preserve">Glautier, M.W.E. and Underdown, B. (1997). </w:t>
      </w:r>
      <w:r w:rsidRPr="008573C5">
        <w:rPr>
          <w:i/>
        </w:rPr>
        <w:t>Accounting Theory and Practice</w:t>
      </w:r>
      <w:r w:rsidRPr="008573C5">
        <w:t xml:space="preserve"> (6</w:t>
      </w:r>
      <w:r w:rsidRPr="008573C5">
        <w:rPr>
          <w:vertAlign w:val="superscript"/>
        </w:rPr>
        <w:t>th</w:t>
      </w:r>
      <w:r w:rsidR="005130C9">
        <w:rPr>
          <w:vertAlign w:val="superscript"/>
        </w:rPr>
        <w:tab/>
      </w:r>
      <w:r w:rsidRPr="008573C5">
        <w:t xml:space="preserve"> </w:t>
      </w:r>
      <w:r w:rsidR="005130C9">
        <w:t>ed</w:t>
      </w:r>
      <w:r w:rsidR="00B021C7" w:rsidRPr="008573C5">
        <w:t>ition</w:t>
      </w:r>
      <w:r w:rsidRPr="008573C5">
        <w:t>). Kent: Pitman  Publishing.</w:t>
      </w:r>
    </w:p>
    <w:p w:rsidR="00DF191A" w:rsidRPr="008573C5" w:rsidRDefault="00DF191A" w:rsidP="00B021C7">
      <w:pPr>
        <w:spacing w:line="360" w:lineRule="auto"/>
        <w:jc w:val="both"/>
      </w:pPr>
    </w:p>
    <w:p w:rsidR="00996E80" w:rsidRPr="008573C5" w:rsidRDefault="00996E80" w:rsidP="00B021C7">
      <w:pPr>
        <w:spacing w:line="360" w:lineRule="auto"/>
        <w:jc w:val="both"/>
      </w:pPr>
      <w:r w:rsidRPr="008573C5">
        <w:t>Izedonmi, P.F. and Ola, C. ( 2001)</w:t>
      </w:r>
      <w:r w:rsidR="00A3613A" w:rsidRPr="008573C5">
        <w:t>.</w:t>
      </w:r>
      <w:r w:rsidRPr="008573C5">
        <w:rPr>
          <w:i/>
        </w:rPr>
        <w:t xml:space="preserve"> Intermediate Financial Accounting ( 2</w:t>
      </w:r>
      <w:r w:rsidRPr="008573C5">
        <w:rPr>
          <w:i/>
          <w:vertAlign w:val="superscript"/>
        </w:rPr>
        <w:t>nd</w:t>
      </w:r>
      <w:r w:rsidRPr="008573C5">
        <w:rPr>
          <w:i/>
        </w:rPr>
        <w:t xml:space="preserve"> edition)</w:t>
      </w:r>
      <w:r w:rsidRPr="008573C5">
        <w:t xml:space="preserve">. </w:t>
      </w:r>
      <w:r w:rsidRPr="008573C5">
        <w:tab/>
        <w:t xml:space="preserve">Benin City: BOFIC Consulting Group and Centre for High Performance </w:t>
      </w:r>
      <w:r w:rsidRPr="008573C5">
        <w:tab/>
        <w:t>Organizations.</w:t>
      </w:r>
    </w:p>
    <w:p w:rsidR="00996E80" w:rsidRPr="008573C5" w:rsidRDefault="00735536" w:rsidP="00B021C7">
      <w:pPr>
        <w:tabs>
          <w:tab w:val="left" w:pos="1239"/>
        </w:tabs>
        <w:spacing w:line="360" w:lineRule="auto"/>
        <w:jc w:val="both"/>
      </w:pPr>
      <w:r w:rsidRPr="008573C5">
        <w:tab/>
      </w:r>
    </w:p>
    <w:p w:rsidR="00DF191A" w:rsidRPr="008573C5" w:rsidRDefault="00DF191A" w:rsidP="00B021C7">
      <w:pPr>
        <w:spacing w:line="360" w:lineRule="auto"/>
        <w:jc w:val="both"/>
      </w:pPr>
      <w:r w:rsidRPr="008573C5">
        <w:t xml:space="preserve">Kumar, R. (1999). </w:t>
      </w:r>
      <w:r w:rsidRPr="008573C5">
        <w:rPr>
          <w:i/>
        </w:rPr>
        <w:t xml:space="preserve">Research Methodology: A Step-by-Step Guide for Beginners, </w:t>
      </w:r>
      <w:r w:rsidRPr="008573C5">
        <w:t>(1</w:t>
      </w:r>
      <w:r w:rsidRPr="008573C5">
        <w:rPr>
          <w:vertAlign w:val="superscript"/>
        </w:rPr>
        <w:t xml:space="preserve">st </w:t>
      </w:r>
      <w:r w:rsidRPr="008573C5">
        <w:rPr>
          <w:vertAlign w:val="superscript"/>
        </w:rPr>
        <w:tab/>
      </w:r>
      <w:r w:rsidRPr="008573C5">
        <w:t>edition). London: Sage Publications Limited.</w:t>
      </w:r>
    </w:p>
    <w:p w:rsidR="00DF191A" w:rsidRPr="008573C5" w:rsidRDefault="00DF191A" w:rsidP="00B021C7">
      <w:pPr>
        <w:spacing w:line="360" w:lineRule="auto"/>
        <w:jc w:val="both"/>
      </w:pPr>
    </w:p>
    <w:p w:rsidR="00A94DB8" w:rsidRPr="008573C5" w:rsidRDefault="00A94DB8" w:rsidP="00B021C7">
      <w:pPr>
        <w:spacing w:line="360" w:lineRule="auto"/>
        <w:jc w:val="both"/>
      </w:pPr>
      <w:r w:rsidRPr="008573C5">
        <w:t xml:space="preserve">Lewis, R and Pendrill, D. (2000). </w:t>
      </w:r>
      <w:r w:rsidRPr="008573C5">
        <w:rPr>
          <w:i/>
        </w:rPr>
        <w:t>Advanced Financial Accounting.</w:t>
      </w:r>
      <w:r w:rsidRPr="008573C5">
        <w:t xml:space="preserve"> (6</w:t>
      </w:r>
      <w:r w:rsidRPr="008573C5">
        <w:rPr>
          <w:vertAlign w:val="superscript"/>
        </w:rPr>
        <w:t>th</w:t>
      </w:r>
      <w:r w:rsidRPr="008573C5">
        <w:t>Edition).</w:t>
      </w:r>
      <w:r w:rsidR="00B021C7" w:rsidRPr="008573C5">
        <w:t xml:space="preserve"> </w:t>
      </w:r>
      <w:r w:rsidR="00346D99">
        <w:tab/>
      </w:r>
      <w:r w:rsidRPr="008573C5">
        <w:t>London</w:t>
      </w:r>
      <w:r w:rsidR="00346D99">
        <w:t xml:space="preserve"> </w:t>
      </w:r>
      <w:r w:rsidRPr="008573C5">
        <w:t>Pearson Education Limited.</w:t>
      </w:r>
    </w:p>
    <w:p w:rsidR="00A94DB8" w:rsidRPr="008573C5" w:rsidRDefault="00A94DB8" w:rsidP="00B021C7">
      <w:pPr>
        <w:autoSpaceDE w:val="0"/>
        <w:autoSpaceDN w:val="0"/>
        <w:adjustRightInd w:val="0"/>
        <w:spacing w:line="360" w:lineRule="auto"/>
        <w:jc w:val="both"/>
      </w:pPr>
    </w:p>
    <w:p w:rsidR="00C26CAA" w:rsidRPr="008573C5" w:rsidRDefault="00C0699A" w:rsidP="00B021C7">
      <w:pPr>
        <w:autoSpaceDE w:val="0"/>
        <w:autoSpaceDN w:val="0"/>
        <w:adjustRightInd w:val="0"/>
        <w:spacing w:line="360" w:lineRule="auto"/>
        <w:jc w:val="both"/>
      </w:pPr>
      <w:r w:rsidRPr="008573C5">
        <w:t xml:space="preserve">Meigs, R. F. and  Meigs, W.B. (1993). </w:t>
      </w:r>
      <w:r w:rsidRPr="008573C5">
        <w:rPr>
          <w:i/>
        </w:rPr>
        <w:t>Accounting: The Basis for Business Decisions</w:t>
      </w:r>
      <w:r w:rsidR="00B021C7" w:rsidRPr="008573C5">
        <w:rPr>
          <w:i/>
        </w:rPr>
        <w:t xml:space="preserve"> </w:t>
      </w:r>
      <w:r w:rsidR="00346D99">
        <w:rPr>
          <w:i/>
        </w:rPr>
        <w:tab/>
      </w:r>
      <w:r w:rsidRPr="008573C5">
        <w:t>(9</w:t>
      </w:r>
      <w:r w:rsidRPr="008573C5">
        <w:rPr>
          <w:vertAlign w:val="superscript"/>
        </w:rPr>
        <w:t>th</w:t>
      </w:r>
      <w:r w:rsidR="00B021C7" w:rsidRPr="008573C5">
        <w:rPr>
          <w:vertAlign w:val="superscript"/>
        </w:rPr>
        <w:t xml:space="preserve"> </w:t>
      </w:r>
      <w:r w:rsidRPr="008573C5">
        <w:t>edition). New York: McGraw Hill, Inc.</w:t>
      </w:r>
    </w:p>
    <w:p w:rsidR="00C0699A" w:rsidRPr="008573C5" w:rsidRDefault="00C0699A" w:rsidP="00B021C7">
      <w:pPr>
        <w:autoSpaceDE w:val="0"/>
        <w:autoSpaceDN w:val="0"/>
        <w:adjustRightInd w:val="0"/>
        <w:spacing w:line="360" w:lineRule="auto"/>
        <w:jc w:val="both"/>
      </w:pPr>
    </w:p>
    <w:p w:rsidR="00C26CAA" w:rsidRPr="008573C5" w:rsidRDefault="00C26CAA" w:rsidP="00B021C7">
      <w:pPr>
        <w:autoSpaceDE w:val="0"/>
        <w:autoSpaceDN w:val="0"/>
        <w:adjustRightInd w:val="0"/>
        <w:spacing w:line="360" w:lineRule="auto"/>
        <w:jc w:val="both"/>
      </w:pPr>
      <w:r w:rsidRPr="008573C5">
        <w:t>N</w:t>
      </w:r>
      <w:r w:rsidR="003A4DBA" w:rsidRPr="008573C5">
        <w:t>igerian Stock Exchange. (2007) .</w:t>
      </w:r>
      <w:r w:rsidRPr="008573C5">
        <w:t xml:space="preserve"> </w:t>
      </w:r>
      <w:r w:rsidRPr="008573C5">
        <w:rPr>
          <w:i/>
        </w:rPr>
        <w:t>Fact Book</w:t>
      </w:r>
      <w:r w:rsidRPr="008573C5">
        <w:t xml:space="preserve">, Lagos: Author. </w:t>
      </w:r>
    </w:p>
    <w:p w:rsidR="00EB40BD" w:rsidRPr="008573C5" w:rsidRDefault="00EB40BD" w:rsidP="00B021C7">
      <w:pPr>
        <w:autoSpaceDE w:val="0"/>
        <w:autoSpaceDN w:val="0"/>
        <w:adjustRightInd w:val="0"/>
        <w:spacing w:line="360" w:lineRule="auto"/>
        <w:jc w:val="both"/>
      </w:pPr>
    </w:p>
    <w:p w:rsidR="004A08BF" w:rsidRPr="008573C5" w:rsidRDefault="004A08BF" w:rsidP="00B021C7">
      <w:pPr>
        <w:autoSpaceDE w:val="0"/>
        <w:autoSpaceDN w:val="0"/>
        <w:adjustRightInd w:val="0"/>
        <w:spacing w:line="360" w:lineRule="auto"/>
        <w:jc w:val="both"/>
      </w:pPr>
      <w:r w:rsidRPr="008573C5">
        <w:t>Omole</w:t>
      </w:r>
      <w:r w:rsidR="005C15DE" w:rsidRPr="008573C5">
        <w:t>h</w:t>
      </w:r>
      <w:r w:rsidRPr="008573C5">
        <w:t xml:space="preserve">inwa, E. (2000). </w:t>
      </w:r>
      <w:r w:rsidRPr="008573C5">
        <w:rPr>
          <w:i/>
        </w:rPr>
        <w:t xml:space="preserve">Foundation of Accounting </w:t>
      </w:r>
      <w:r w:rsidR="00A3613A" w:rsidRPr="008573C5">
        <w:t>(</w:t>
      </w:r>
      <w:r w:rsidRPr="008573C5">
        <w:t>1</w:t>
      </w:r>
      <w:r w:rsidRPr="008573C5">
        <w:rPr>
          <w:vertAlign w:val="superscript"/>
        </w:rPr>
        <w:t>st</w:t>
      </w:r>
      <w:r w:rsidRPr="008573C5">
        <w:t xml:space="preserve"> edition)</w:t>
      </w:r>
      <w:r w:rsidR="005C15DE" w:rsidRPr="008573C5">
        <w:t>. Lagos: Pu</w:t>
      </w:r>
      <w:r w:rsidRPr="008573C5">
        <w:t xml:space="preserve">mark </w:t>
      </w:r>
      <w:r w:rsidR="00346D99">
        <w:tab/>
      </w:r>
      <w:r w:rsidRPr="008573C5">
        <w:t>Nigeria</w:t>
      </w:r>
      <w:r w:rsidR="00346D99">
        <w:t xml:space="preserve"> </w:t>
      </w:r>
      <w:r w:rsidRPr="008573C5">
        <w:t>Limited.</w:t>
      </w:r>
    </w:p>
    <w:p w:rsidR="004A08BF" w:rsidRPr="008573C5" w:rsidRDefault="004A08BF" w:rsidP="00B021C7">
      <w:pPr>
        <w:autoSpaceDE w:val="0"/>
        <w:autoSpaceDN w:val="0"/>
        <w:adjustRightInd w:val="0"/>
        <w:spacing w:line="360" w:lineRule="auto"/>
        <w:jc w:val="both"/>
      </w:pPr>
    </w:p>
    <w:p w:rsidR="00EB40BD" w:rsidRPr="008573C5" w:rsidRDefault="00EB40BD" w:rsidP="00B021C7">
      <w:pPr>
        <w:autoSpaceDE w:val="0"/>
        <w:autoSpaceDN w:val="0"/>
        <w:adjustRightInd w:val="0"/>
        <w:spacing w:line="360" w:lineRule="auto"/>
        <w:jc w:val="both"/>
      </w:pPr>
      <w:r w:rsidRPr="008573C5">
        <w:t>Osuagwu, L. (2002). Business Research Methods: Principles and Practice (2</w:t>
      </w:r>
      <w:r w:rsidRPr="008573C5">
        <w:rPr>
          <w:vertAlign w:val="superscript"/>
        </w:rPr>
        <w:t>nd</w:t>
      </w:r>
      <w:r w:rsidR="001E78A2" w:rsidRPr="008573C5">
        <w:rPr>
          <w:vertAlign w:val="superscript"/>
        </w:rPr>
        <w:t xml:space="preserve"> </w:t>
      </w:r>
      <w:r w:rsidR="00346D99">
        <w:rPr>
          <w:vertAlign w:val="superscript"/>
        </w:rPr>
        <w:tab/>
      </w:r>
      <w:r w:rsidRPr="008573C5">
        <w:t>edition). Lagos: Grey Resources Limited.</w:t>
      </w:r>
    </w:p>
    <w:p w:rsidR="00C26CAA" w:rsidRPr="008573C5" w:rsidRDefault="00C26CAA" w:rsidP="00B021C7">
      <w:pPr>
        <w:autoSpaceDE w:val="0"/>
        <w:autoSpaceDN w:val="0"/>
        <w:adjustRightInd w:val="0"/>
        <w:spacing w:line="360" w:lineRule="auto"/>
        <w:jc w:val="both"/>
      </w:pPr>
    </w:p>
    <w:p w:rsidR="00C26CAA" w:rsidRPr="008573C5" w:rsidRDefault="00C26CAA" w:rsidP="00B021C7">
      <w:pPr>
        <w:autoSpaceDE w:val="0"/>
        <w:autoSpaceDN w:val="0"/>
        <w:adjustRightInd w:val="0"/>
        <w:spacing w:line="360" w:lineRule="auto"/>
        <w:jc w:val="both"/>
      </w:pPr>
      <w:r w:rsidRPr="008573C5">
        <w:t xml:space="preserve">Radebaugh, L.E, Gray, S.J, and Black, E.L. </w:t>
      </w:r>
      <w:r w:rsidR="003A4DBA" w:rsidRPr="008573C5">
        <w:t>(2006).</w:t>
      </w:r>
      <w:r w:rsidRPr="008573C5">
        <w:t xml:space="preserve"> </w:t>
      </w:r>
      <w:r w:rsidRPr="008573C5">
        <w:rPr>
          <w:i/>
        </w:rPr>
        <w:t xml:space="preserve">International Accounting and </w:t>
      </w:r>
      <w:r w:rsidRPr="008573C5">
        <w:rPr>
          <w:i/>
        </w:rPr>
        <w:tab/>
        <w:t>Multinational</w:t>
      </w:r>
      <w:r w:rsidRPr="008573C5">
        <w:rPr>
          <w:i/>
        </w:rPr>
        <w:tab/>
        <w:t xml:space="preserve">Enterprises </w:t>
      </w:r>
      <w:r w:rsidRPr="008573C5">
        <w:t>(6</w:t>
      </w:r>
      <w:r w:rsidRPr="008573C5">
        <w:rPr>
          <w:vertAlign w:val="superscript"/>
        </w:rPr>
        <w:t>th</w:t>
      </w:r>
      <w:r w:rsidRPr="008573C5">
        <w:t xml:space="preserve"> edition).  New York: John Wiley and Sons. </w:t>
      </w:r>
    </w:p>
    <w:p w:rsidR="00C26CAA" w:rsidRPr="008573C5" w:rsidRDefault="00C26CAA" w:rsidP="00B021C7">
      <w:pPr>
        <w:autoSpaceDE w:val="0"/>
        <w:autoSpaceDN w:val="0"/>
        <w:adjustRightInd w:val="0"/>
        <w:spacing w:line="360" w:lineRule="auto"/>
        <w:jc w:val="both"/>
      </w:pPr>
    </w:p>
    <w:p w:rsidR="00C26CAA" w:rsidRPr="008573C5" w:rsidRDefault="00C26CAA" w:rsidP="001E78A2">
      <w:pPr>
        <w:spacing w:line="360" w:lineRule="auto"/>
        <w:jc w:val="both"/>
      </w:pPr>
      <w:r w:rsidRPr="008573C5">
        <w:t>Roberts, C., We</w:t>
      </w:r>
      <w:r w:rsidR="003A4DBA" w:rsidRPr="008573C5">
        <w:t>etman, P. and  Gordon, P. (2002).</w:t>
      </w:r>
      <w:r w:rsidRPr="008573C5">
        <w:t xml:space="preserve"> </w:t>
      </w:r>
      <w:r w:rsidRPr="008573C5">
        <w:rPr>
          <w:i/>
        </w:rPr>
        <w:t xml:space="preserve">International Financial </w:t>
      </w:r>
      <w:r w:rsidR="00346D99">
        <w:rPr>
          <w:i/>
        </w:rPr>
        <w:tab/>
      </w:r>
      <w:r w:rsidRPr="008573C5">
        <w:rPr>
          <w:i/>
        </w:rPr>
        <w:t>Accounting: A</w:t>
      </w:r>
      <w:r w:rsidR="001E78A2" w:rsidRPr="008573C5">
        <w:rPr>
          <w:i/>
        </w:rPr>
        <w:tab/>
      </w:r>
      <w:r w:rsidRPr="008573C5">
        <w:rPr>
          <w:i/>
        </w:rPr>
        <w:t>Comparative Appr</w:t>
      </w:r>
      <w:r w:rsidRPr="008573C5">
        <w:t>oach (2</w:t>
      </w:r>
      <w:r w:rsidRPr="008573C5">
        <w:rPr>
          <w:vertAlign w:val="superscript"/>
        </w:rPr>
        <w:t>nd</w:t>
      </w:r>
      <w:r w:rsidRPr="008573C5">
        <w:t xml:space="preserve"> Edition). London: Pearson </w:t>
      </w:r>
      <w:r w:rsidR="00346D99">
        <w:tab/>
      </w:r>
      <w:r w:rsidRPr="008573C5">
        <w:t>Education Limited.</w:t>
      </w:r>
    </w:p>
    <w:p w:rsidR="00C26CAA" w:rsidRPr="008573C5" w:rsidRDefault="00C26CAA" w:rsidP="00B021C7">
      <w:pPr>
        <w:spacing w:line="360" w:lineRule="auto"/>
        <w:jc w:val="both"/>
      </w:pPr>
    </w:p>
    <w:p w:rsidR="00B527AD" w:rsidRPr="008573C5" w:rsidRDefault="00B527AD" w:rsidP="00B021C7">
      <w:pPr>
        <w:spacing w:line="360" w:lineRule="auto"/>
        <w:jc w:val="both"/>
      </w:pPr>
      <w:r w:rsidRPr="008573C5">
        <w:t xml:space="preserve">Sutton, T. (2004). </w:t>
      </w:r>
      <w:r w:rsidRPr="008573C5">
        <w:rPr>
          <w:i/>
        </w:rPr>
        <w:t>Corporate Financial Accounting and Reporting</w:t>
      </w:r>
      <w:r w:rsidRPr="008573C5">
        <w:t xml:space="preserve"> (2</w:t>
      </w:r>
      <w:r w:rsidRPr="008573C5">
        <w:rPr>
          <w:vertAlign w:val="superscript"/>
        </w:rPr>
        <w:t>nd</w:t>
      </w:r>
      <w:r w:rsidRPr="008573C5">
        <w:t xml:space="preserve"> Edition), </w:t>
      </w:r>
      <w:r w:rsidR="00346D99">
        <w:tab/>
      </w:r>
      <w:r w:rsidRPr="008573C5">
        <w:t xml:space="preserve">Essex: </w:t>
      </w:r>
      <w:r w:rsidRPr="008573C5">
        <w:tab/>
        <w:t xml:space="preserve">Pearson Education Limited. </w:t>
      </w:r>
      <w:r w:rsidRPr="008573C5">
        <w:tab/>
      </w:r>
    </w:p>
    <w:p w:rsidR="00B527AD" w:rsidRPr="008573C5" w:rsidRDefault="00B527AD" w:rsidP="00B021C7">
      <w:pPr>
        <w:spacing w:line="360" w:lineRule="auto"/>
        <w:jc w:val="both"/>
      </w:pPr>
    </w:p>
    <w:p w:rsidR="00C26CAA" w:rsidRPr="008573C5" w:rsidRDefault="00C26CAA" w:rsidP="001E78A2">
      <w:pPr>
        <w:spacing w:line="360" w:lineRule="auto"/>
        <w:jc w:val="both"/>
      </w:pPr>
      <w:r w:rsidRPr="008573C5">
        <w:t>Ujo, A.A.</w:t>
      </w:r>
      <w:r w:rsidR="003A4DBA" w:rsidRPr="008573C5">
        <w:t xml:space="preserve"> </w:t>
      </w:r>
      <w:r w:rsidRPr="008573C5">
        <w:t xml:space="preserve">(2004). </w:t>
      </w:r>
      <w:r w:rsidRPr="008573C5">
        <w:rPr>
          <w:i/>
        </w:rPr>
        <w:t xml:space="preserve">Understanding Social Research in Nigeria  </w:t>
      </w:r>
      <w:r w:rsidRPr="008573C5">
        <w:t>(1</w:t>
      </w:r>
      <w:r w:rsidRPr="008573C5">
        <w:rPr>
          <w:vertAlign w:val="superscript"/>
        </w:rPr>
        <w:t>st</w:t>
      </w:r>
      <w:r w:rsidRPr="008573C5">
        <w:t xml:space="preserve"> edition). Kaduna:</w:t>
      </w:r>
      <w:r w:rsidR="001E78A2" w:rsidRPr="008573C5">
        <w:t xml:space="preserve"> </w:t>
      </w:r>
      <w:r w:rsidR="00346D99">
        <w:tab/>
      </w:r>
      <w:r w:rsidRPr="008573C5">
        <w:t>Joycee  Graphic Printers.</w:t>
      </w:r>
    </w:p>
    <w:p w:rsidR="009F7A65" w:rsidRPr="008573C5" w:rsidRDefault="009F7A65" w:rsidP="00B021C7">
      <w:pPr>
        <w:autoSpaceDE w:val="0"/>
        <w:autoSpaceDN w:val="0"/>
        <w:adjustRightInd w:val="0"/>
        <w:spacing w:line="360" w:lineRule="auto"/>
        <w:ind w:left="720" w:hanging="720"/>
        <w:jc w:val="both"/>
      </w:pPr>
    </w:p>
    <w:p w:rsidR="00C26CAA" w:rsidRPr="008573C5" w:rsidRDefault="00B527AD" w:rsidP="00B021C7">
      <w:pPr>
        <w:autoSpaceDE w:val="0"/>
        <w:autoSpaceDN w:val="0"/>
        <w:adjustRightInd w:val="0"/>
        <w:spacing w:line="360" w:lineRule="auto"/>
        <w:ind w:left="720" w:hanging="720"/>
        <w:jc w:val="both"/>
      </w:pPr>
      <w:r w:rsidRPr="008573C5">
        <w:t xml:space="preserve">Van Horne, J.C. and Wachowicz, J.M. (2001). </w:t>
      </w:r>
      <w:r w:rsidRPr="008573C5">
        <w:rPr>
          <w:i/>
        </w:rPr>
        <w:t>Fundamentals of Financial Management</w:t>
      </w:r>
      <w:r w:rsidRPr="008573C5">
        <w:t xml:space="preserve"> (11</w:t>
      </w:r>
      <w:r w:rsidRPr="008573C5">
        <w:rPr>
          <w:vertAlign w:val="superscript"/>
        </w:rPr>
        <w:t>th</w:t>
      </w:r>
      <w:r w:rsidRPr="008573C5">
        <w:t xml:space="preserve"> edition), Delhi: Pearson Education, Inc.</w:t>
      </w:r>
    </w:p>
    <w:p w:rsidR="00C7044E" w:rsidRPr="008573C5" w:rsidRDefault="00C7044E" w:rsidP="00B021C7">
      <w:pPr>
        <w:autoSpaceDE w:val="0"/>
        <w:autoSpaceDN w:val="0"/>
        <w:adjustRightInd w:val="0"/>
        <w:spacing w:line="360" w:lineRule="auto"/>
        <w:ind w:left="720" w:hanging="720"/>
        <w:jc w:val="both"/>
      </w:pPr>
    </w:p>
    <w:p w:rsidR="00B527AD" w:rsidRPr="008573C5" w:rsidRDefault="00B527AD" w:rsidP="00B021C7">
      <w:pPr>
        <w:autoSpaceDE w:val="0"/>
        <w:autoSpaceDN w:val="0"/>
        <w:adjustRightInd w:val="0"/>
        <w:spacing w:line="360" w:lineRule="auto"/>
        <w:ind w:left="720" w:hanging="720"/>
        <w:jc w:val="both"/>
      </w:pPr>
      <w:r w:rsidRPr="008573C5">
        <w:t>Werner, M. L. and Jones, K.H. (</w:t>
      </w:r>
      <w:r w:rsidR="00A3613A" w:rsidRPr="008573C5">
        <w:t>2003).</w:t>
      </w:r>
      <w:r w:rsidR="003A064A" w:rsidRPr="008573C5">
        <w:t xml:space="preserve"> </w:t>
      </w:r>
      <w:r w:rsidR="003A064A" w:rsidRPr="008573C5">
        <w:rPr>
          <w:i/>
        </w:rPr>
        <w:t xml:space="preserve">Introduction to Financial Accounting: A user perspective, </w:t>
      </w:r>
      <w:r w:rsidR="003A064A" w:rsidRPr="008573C5">
        <w:t>(3</w:t>
      </w:r>
      <w:r w:rsidR="003A064A" w:rsidRPr="008573C5">
        <w:rPr>
          <w:vertAlign w:val="superscript"/>
        </w:rPr>
        <w:t>rd</w:t>
      </w:r>
      <w:r w:rsidR="003A064A" w:rsidRPr="008573C5">
        <w:t xml:space="preserve"> edition), Japan: Pearson Education Limited.</w:t>
      </w:r>
    </w:p>
    <w:p w:rsidR="00996E80" w:rsidRPr="008573C5" w:rsidRDefault="00996E80" w:rsidP="00B527AD">
      <w:pPr>
        <w:spacing w:line="360" w:lineRule="auto"/>
        <w:rPr>
          <w:b/>
          <w:sz w:val="28"/>
          <w:szCs w:val="28"/>
        </w:rPr>
      </w:pPr>
    </w:p>
    <w:p w:rsidR="009D7BFE" w:rsidRPr="008573C5" w:rsidRDefault="00D24B65" w:rsidP="00B527AD">
      <w:pPr>
        <w:spacing w:line="360" w:lineRule="auto"/>
        <w:rPr>
          <w:b/>
          <w:sz w:val="28"/>
          <w:szCs w:val="28"/>
        </w:rPr>
      </w:pPr>
      <w:r w:rsidRPr="008573C5">
        <w:rPr>
          <w:b/>
          <w:sz w:val="28"/>
          <w:szCs w:val="28"/>
        </w:rPr>
        <w:t>Journals</w:t>
      </w:r>
    </w:p>
    <w:p w:rsidR="004C136A" w:rsidRPr="008573C5" w:rsidRDefault="004C136A" w:rsidP="001E78A2">
      <w:pPr>
        <w:autoSpaceDE w:val="0"/>
        <w:autoSpaceDN w:val="0"/>
        <w:adjustRightInd w:val="0"/>
        <w:spacing w:line="360" w:lineRule="auto"/>
        <w:jc w:val="both"/>
      </w:pPr>
      <w:r w:rsidRPr="008573C5">
        <w:t>Ahmed, H.</w:t>
      </w:r>
      <w:r w:rsidR="003A4DBA" w:rsidRPr="008573C5">
        <w:t xml:space="preserve"> </w:t>
      </w:r>
      <w:r w:rsidRPr="008573C5">
        <w:t xml:space="preserve">(2005). </w:t>
      </w:r>
      <w:r w:rsidRPr="008573C5">
        <w:rPr>
          <w:bCs/>
        </w:rPr>
        <w:t>Corporate voluntary reporting practices in India</w:t>
      </w:r>
      <w:r w:rsidR="001E78A2" w:rsidRPr="008573C5">
        <w:rPr>
          <w:bCs/>
        </w:rPr>
        <w:t>.</w:t>
      </w:r>
      <w:r w:rsidRPr="008573C5">
        <w:rPr>
          <w:i/>
        </w:rPr>
        <w:t xml:space="preserve"> The Cost and</w:t>
      </w:r>
      <w:r w:rsidR="001E78A2" w:rsidRPr="008573C5">
        <w:rPr>
          <w:i/>
        </w:rPr>
        <w:t xml:space="preserve"> </w:t>
      </w:r>
      <w:r w:rsidR="001E78A2" w:rsidRPr="008573C5">
        <w:rPr>
          <w:i/>
        </w:rPr>
        <w:tab/>
      </w:r>
      <w:r w:rsidRPr="008573C5">
        <w:rPr>
          <w:i/>
        </w:rPr>
        <w:t>Management,</w:t>
      </w:r>
      <w:r w:rsidRPr="008573C5">
        <w:t xml:space="preserve"> 33 (5), 73-79.</w:t>
      </w:r>
    </w:p>
    <w:p w:rsidR="004C136A" w:rsidRPr="008573C5" w:rsidRDefault="004C136A" w:rsidP="001E78A2">
      <w:pPr>
        <w:autoSpaceDE w:val="0"/>
        <w:autoSpaceDN w:val="0"/>
        <w:adjustRightInd w:val="0"/>
        <w:spacing w:line="360" w:lineRule="auto"/>
        <w:jc w:val="both"/>
      </w:pPr>
    </w:p>
    <w:p w:rsidR="001C29BF" w:rsidRPr="008573C5" w:rsidRDefault="001C29BF" w:rsidP="001E78A2">
      <w:pPr>
        <w:autoSpaceDE w:val="0"/>
        <w:autoSpaceDN w:val="0"/>
        <w:adjustRightInd w:val="0"/>
        <w:spacing w:line="360" w:lineRule="auto"/>
        <w:jc w:val="both"/>
      </w:pPr>
      <w:r w:rsidRPr="008573C5">
        <w:t>Ahmed, K. and Nicholls, D. (1994). The impact of non-financial company</w:t>
      </w:r>
      <w:r w:rsidR="001E78A2" w:rsidRPr="008573C5">
        <w:t xml:space="preserve"> </w:t>
      </w:r>
      <w:r w:rsidR="00346D99">
        <w:tab/>
      </w:r>
      <w:r w:rsidRPr="008573C5">
        <w:t>characteristics on mandatory disclosure compliance in developing countries:</w:t>
      </w:r>
      <w:r w:rsidR="00346D99">
        <w:tab/>
      </w:r>
      <w:r w:rsidRPr="008573C5">
        <w:t xml:space="preserve"> The case of Bangladesh. </w:t>
      </w:r>
      <w:r w:rsidRPr="008573C5">
        <w:rPr>
          <w:i/>
          <w:iCs/>
        </w:rPr>
        <w:t xml:space="preserve">The International Journal of Accounting, </w:t>
      </w:r>
      <w:r w:rsidRPr="008573C5">
        <w:t>29 (1), 62-</w:t>
      </w:r>
      <w:r w:rsidR="00346D99">
        <w:tab/>
      </w:r>
      <w:r w:rsidRPr="008573C5">
        <w:t>77.</w:t>
      </w:r>
    </w:p>
    <w:p w:rsidR="001C29BF" w:rsidRPr="008573C5" w:rsidRDefault="001C29BF" w:rsidP="001E78A2">
      <w:pPr>
        <w:autoSpaceDE w:val="0"/>
        <w:autoSpaceDN w:val="0"/>
        <w:adjustRightInd w:val="0"/>
        <w:spacing w:line="360" w:lineRule="auto"/>
        <w:jc w:val="both"/>
      </w:pPr>
      <w:r w:rsidRPr="008573C5">
        <w:t xml:space="preserve">Akhtaruddin, M. (2005). Corporate mandatory disclosure practices in Bangladesh. </w:t>
      </w:r>
      <w:r w:rsidR="001E78A2" w:rsidRPr="008573C5">
        <w:tab/>
      </w:r>
      <w:r w:rsidRPr="008573C5">
        <w:rPr>
          <w:i/>
        </w:rPr>
        <w:t>International Journal of Accounting</w:t>
      </w:r>
      <w:r w:rsidRPr="008573C5">
        <w:t xml:space="preserve">, 40, 399- 422. </w:t>
      </w:r>
    </w:p>
    <w:p w:rsidR="001C29BF" w:rsidRPr="008573C5" w:rsidRDefault="001C29BF" w:rsidP="001E78A2">
      <w:pPr>
        <w:autoSpaceDE w:val="0"/>
        <w:autoSpaceDN w:val="0"/>
        <w:adjustRightInd w:val="0"/>
        <w:spacing w:line="360" w:lineRule="auto"/>
        <w:jc w:val="both"/>
      </w:pPr>
    </w:p>
    <w:p w:rsidR="001C29BF" w:rsidRPr="008573C5" w:rsidRDefault="001C29BF" w:rsidP="00443F23">
      <w:pPr>
        <w:autoSpaceDE w:val="0"/>
        <w:autoSpaceDN w:val="0"/>
        <w:adjustRightInd w:val="0"/>
        <w:spacing w:line="360" w:lineRule="auto"/>
        <w:jc w:val="both"/>
      </w:pPr>
      <w:r w:rsidRPr="008573C5">
        <w:t xml:space="preserve">Alford, A., Jones, J., Leftwich, R., &amp; Zmijewski, M. (1993). The relative </w:t>
      </w:r>
      <w:r w:rsidR="00346D99">
        <w:tab/>
      </w:r>
      <w:r w:rsidRPr="008573C5">
        <w:t xml:space="preserve">informativeness of </w:t>
      </w:r>
      <w:r w:rsidR="00443F23" w:rsidRPr="008573C5">
        <w:tab/>
      </w:r>
      <w:r w:rsidRPr="008573C5">
        <w:t xml:space="preserve">accounting disclosures in different countries. </w:t>
      </w:r>
      <w:r w:rsidRPr="008573C5">
        <w:rPr>
          <w:i/>
        </w:rPr>
        <w:t xml:space="preserve">Journal of </w:t>
      </w:r>
      <w:r w:rsidR="00346D99">
        <w:rPr>
          <w:i/>
        </w:rPr>
        <w:tab/>
      </w:r>
      <w:r w:rsidRPr="008573C5">
        <w:rPr>
          <w:i/>
        </w:rPr>
        <w:t xml:space="preserve">Accounting Research, </w:t>
      </w:r>
      <w:r w:rsidRPr="008573C5">
        <w:t xml:space="preserve">31, </w:t>
      </w:r>
      <w:r w:rsidR="00FA1327" w:rsidRPr="008573C5">
        <w:tab/>
      </w:r>
      <w:r w:rsidRPr="008573C5">
        <w:t>183-223.</w:t>
      </w:r>
    </w:p>
    <w:p w:rsidR="001C29BF" w:rsidRPr="008573C5" w:rsidRDefault="001C29BF" w:rsidP="001E78A2">
      <w:pPr>
        <w:autoSpaceDE w:val="0"/>
        <w:autoSpaceDN w:val="0"/>
        <w:adjustRightInd w:val="0"/>
        <w:spacing w:line="360" w:lineRule="auto"/>
        <w:jc w:val="both"/>
        <w:rPr>
          <w:i/>
        </w:rPr>
      </w:pPr>
    </w:p>
    <w:p w:rsidR="001C29BF" w:rsidRPr="008573C5" w:rsidRDefault="001C29BF" w:rsidP="001E78A2">
      <w:pPr>
        <w:autoSpaceDE w:val="0"/>
        <w:autoSpaceDN w:val="0"/>
        <w:adjustRightInd w:val="0"/>
        <w:spacing w:line="360" w:lineRule="auto"/>
        <w:jc w:val="both"/>
      </w:pPr>
      <w:r w:rsidRPr="008573C5">
        <w:t>Ali, M.</w:t>
      </w:r>
      <w:r w:rsidR="004C136A" w:rsidRPr="008573C5">
        <w:t xml:space="preserve"> </w:t>
      </w:r>
      <w:r w:rsidRPr="008573C5">
        <w:t xml:space="preserve">J., Ahmed, K., and Henry, D. (2004). Disclosure compliance with national </w:t>
      </w:r>
      <w:r w:rsidR="00346D99">
        <w:tab/>
      </w:r>
      <w:r w:rsidRPr="008573C5">
        <w:t xml:space="preserve">accounting </w:t>
      </w:r>
      <w:r w:rsidR="001E78A2" w:rsidRPr="008573C5">
        <w:tab/>
      </w:r>
      <w:r w:rsidRPr="008573C5">
        <w:t xml:space="preserve">standards by listed companies in South Asia. </w:t>
      </w:r>
      <w:r w:rsidRPr="008573C5">
        <w:rPr>
          <w:i/>
        </w:rPr>
        <w:t xml:space="preserve">Accounting and </w:t>
      </w:r>
      <w:r w:rsidR="00346D99">
        <w:rPr>
          <w:i/>
        </w:rPr>
        <w:tab/>
      </w:r>
      <w:r w:rsidRPr="008573C5">
        <w:rPr>
          <w:i/>
        </w:rPr>
        <w:t xml:space="preserve">Business Research, </w:t>
      </w:r>
      <w:r w:rsidRPr="008573C5">
        <w:t xml:space="preserve">34 (3), 183 - 199. </w:t>
      </w:r>
    </w:p>
    <w:p w:rsidR="001C29BF" w:rsidRPr="008573C5" w:rsidRDefault="001C29BF" w:rsidP="001E78A2">
      <w:pPr>
        <w:autoSpaceDE w:val="0"/>
        <w:autoSpaceDN w:val="0"/>
        <w:adjustRightInd w:val="0"/>
        <w:spacing w:line="360" w:lineRule="auto"/>
        <w:jc w:val="both"/>
      </w:pPr>
    </w:p>
    <w:p w:rsidR="001C29BF" w:rsidRPr="008573C5" w:rsidRDefault="001C29BF" w:rsidP="00443F23">
      <w:pPr>
        <w:autoSpaceDE w:val="0"/>
        <w:autoSpaceDN w:val="0"/>
        <w:adjustRightInd w:val="0"/>
        <w:spacing w:line="360" w:lineRule="auto"/>
        <w:jc w:val="both"/>
      </w:pPr>
      <w:r w:rsidRPr="008573C5">
        <w:rPr>
          <w:iCs/>
        </w:rPr>
        <w:t>Ball, R.</w:t>
      </w:r>
      <w:r w:rsidR="003A4DBA" w:rsidRPr="008573C5">
        <w:rPr>
          <w:iCs/>
        </w:rPr>
        <w:t xml:space="preserve"> </w:t>
      </w:r>
      <w:r w:rsidRPr="008573C5">
        <w:rPr>
          <w:iCs/>
        </w:rPr>
        <w:t>(2006). I</w:t>
      </w:r>
      <w:r w:rsidRPr="008573C5">
        <w:rPr>
          <w:bCs/>
        </w:rPr>
        <w:t>nternational Financial Reporting Standards (IFRS): pros and cons</w:t>
      </w:r>
      <w:r w:rsidR="00443F23" w:rsidRPr="008573C5">
        <w:rPr>
          <w:bCs/>
        </w:rPr>
        <w:t xml:space="preserve"> </w:t>
      </w:r>
      <w:r w:rsidRPr="008573C5">
        <w:rPr>
          <w:bCs/>
        </w:rPr>
        <w:t xml:space="preserve">for  </w:t>
      </w:r>
      <w:r w:rsidR="00443F23" w:rsidRPr="008573C5">
        <w:rPr>
          <w:bCs/>
        </w:rPr>
        <w:tab/>
      </w:r>
      <w:r w:rsidRPr="008573C5">
        <w:rPr>
          <w:bCs/>
        </w:rPr>
        <w:t xml:space="preserve">investors.  </w:t>
      </w:r>
      <w:r w:rsidRPr="008573C5">
        <w:rPr>
          <w:i/>
          <w:iCs/>
        </w:rPr>
        <w:t xml:space="preserve">Accounting and Business Research, </w:t>
      </w:r>
      <w:r w:rsidRPr="008573C5">
        <w:t xml:space="preserve">International Accounting </w:t>
      </w:r>
      <w:r w:rsidR="00346D99">
        <w:tab/>
      </w:r>
      <w:r w:rsidRPr="008573C5">
        <w:t xml:space="preserve">Policy </w:t>
      </w:r>
      <w:r w:rsidR="00443F23" w:rsidRPr="008573C5">
        <w:tab/>
      </w:r>
      <w:r w:rsidRPr="008573C5">
        <w:t>Forum, 5-27.</w:t>
      </w:r>
    </w:p>
    <w:p w:rsidR="001C29BF" w:rsidRPr="008573C5" w:rsidRDefault="001C29BF" w:rsidP="001E78A2">
      <w:pPr>
        <w:autoSpaceDE w:val="0"/>
        <w:autoSpaceDN w:val="0"/>
        <w:adjustRightInd w:val="0"/>
        <w:spacing w:line="360" w:lineRule="auto"/>
        <w:jc w:val="both"/>
      </w:pPr>
    </w:p>
    <w:p w:rsidR="001C29BF" w:rsidRPr="008573C5" w:rsidRDefault="001C29BF" w:rsidP="00FA1327">
      <w:pPr>
        <w:autoSpaceDE w:val="0"/>
        <w:autoSpaceDN w:val="0"/>
        <w:adjustRightInd w:val="0"/>
        <w:spacing w:line="360" w:lineRule="auto"/>
        <w:jc w:val="both"/>
      </w:pPr>
      <w:r w:rsidRPr="008573C5">
        <w:t xml:space="preserve">Barako, D. G. (2007). </w:t>
      </w:r>
      <w:r w:rsidRPr="008573C5">
        <w:rPr>
          <w:bCs/>
        </w:rPr>
        <w:t xml:space="preserve">Determinants of voluntary disclosures in Kenyan companies </w:t>
      </w:r>
      <w:r w:rsidR="00346D99">
        <w:rPr>
          <w:bCs/>
        </w:rPr>
        <w:tab/>
      </w:r>
      <w:r w:rsidRPr="008573C5">
        <w:rPr>
          <w:bCs/>
        </w:rPr>
        <w:t xml:space="preserve">annual </w:t>
      </w:r>
      <w:r w:rsidR="00FA1327" w:rsidRPr="008573C5">
        <w:rPr>
          <w:bCs/>
        </w:rPr>
        <w:tab/>
      </w:r>
      <w:r w:rsidRPr="008573C5">
        <w:rPr>
          <w:bCs/>
        </w:rPr>
        <w:t xml:space="preserve">reports.  </w:t>
      </w:r>
      <w:r w:rsidRPr="008573C5">
        <w:rPr>
          <w:i/>
        </w:rPr>
        <w:t>African Journal of Business Management</w:t>
      </w:r>
      <w:r w:rsidRPr="008573C5">
        <w:t>, 1 (5), 113-128.</w:t>
      </w:r>
    </w:p>
    <w:p w:rsidR="001C29BF" w:rsidRPr="008573C5" w:rsidRDefault="001C29BF" w:rsidP="001E78A2">
      <w:pPr>
        <w:autoSpaceDE w:val="0"/>
        <w:autoSpaceDN w:val="0"/>
        <w:adjustRightInd w:val="0"/>
        <w:spacing w:line="360" w:lineRule="auto"/>
        <w:jc w:val="both"/>
      </w:pPr>
    </w:p>
    <w:p w:rsidR="001C29BF" w:rsidRPr="008573C5" w:rsidRDefault="001C29BF" w:rsidP="00FA1327">
      <w:pPr>
        <w:autoSpaceDE w:val="0"/>
        <w:autoSpaceDN w:val="0"/>
        <w:adjustRightInd w:val="0"/>
        <w:spacing w:line="360" w:lineRule="auto"/>
        <w:jc w:val="both"/>
      </w:pPr>
      <w:r w:rsidRPr="008573C5">
        <w:t xml:space="preserve">Barako, D.G., Hancock, P. and  Izan, H.Y. (2006). Relationship between corporate </w:t>
      </w:r>
      <w:r w:rsidR="00FA1327" w:rsidRPr="008573C5">
        <w:tab/>
      </w:r>
      <w:r w:rsidRPr="008573C5">
        <w:t xml:space="preserve">governance attributes and voluntary disclosure in annual reports: Kenyan </w:t>
      </w:r>
      <w:r w:rsidR="00346D99">
        <w:tab/>
      </w:r>
      <w:r w:rsidRPr="008573C5">
        <w:t>e</w:t>
      </w:r>
      <w:r w:rsidR="00346D99">
        <w:t>xperience.</w:t>
      </w:r>
      <w:r w:rsidRPr="008573C5">
        <w:t xml:space="preserve"> </w:t>
      </w:r>
      <w:r w:rsidRPr="008573C5">
        <w:rPr>
          <w:i/>
        </w:rPr>
        <w:t xml:space="preserve">Financial Reporting, Regulation and Governance, </w:t>
      </w:r>
      <w:r w:rsidRPr="008573C5">
        <w:t>5 (1), 1-25.</w:t>
      </w:r>
    </w:p>
    <w:p w:rsidR="001C29BF" w:rsidRPr="008573C5" w:rsidRDefault="001C29BF" w:rsidP="001E78A2">
      <w:pPr>
        <w:autoSpaceDE w:val="0"/>
        <w:autoSpaceDN w:val="0"/>
        <w:adjustRightInd w:val="0"/>
        <w:spacing w:line="360" w:lineRule="auto"/>
        <w:jc w:val="both"/>
      </w:pPr>
    </w:p>
    <w:p w:rsidR="001C29BF" w:rsidRPr="008573C5" w:rsidRDefault="001C29BF" w:rsidP="00FA1327">
      <w:pPr>
        <w:autoSpaceDE w:val="0"/>
        <w:autoSpaceDN w:val="0"/>
        <w:adjustRightInd w:val="0"/>
        <w:spacing w:line="360" w:lineRule="auto"/>
        <w:jc w:val="both"/>
      </w:pPr>
      <w:r w:rsidRPr="008573C5">
        <w:t>Barrett, M. E</w:t>
      </w:r>
      <w:r w:rsidR="003A4DBA" w:rsidRPr="008573C5">
        <w:t xml:space="preserve">. </w:t>
      </w:r>
      <w:r w:rsidRPr="008573C5">
        <w:t>( 197</w:t>
      </w:r>
      <w:r w:rsidR="00642E71" w:rsidRPr="008573C5">
        <w:t>5</w:t>
      </w:r>
      <w:r w:rsidRPr="008573C5">
        <w:t xml:space="preserve">), </w:t>
      </w:r>
      <w:r w:rsidRPr="008573C5">
        <w:rPr>
          <w:b/>
          <w:bCs/>
        </w:rPr>
        <w:t xml:space="preserve"> </w:t>
      </w:r>
      <w:r w:rsidRPr="008573C5">
        <w:t xml:space="preserve">Financial reporting practices: Disclosure and </w:t>
      </w:r>
      <w:r w:rsidR="00346D99">
        <w:tab/>
      </w:r>
      <w:r w:rsidRPr="008573C5">
        <w:t>comprehensiveness in</w:t>
      </w:r>
      <w:r w:rsidR="00FA1327" w:rsidRPr="008573C5">
        <w:tab/>
      </w:r>
      <w:r w:rsidRPr="008573C5">
        <w:t xml:space="preserve"> an International Setting</w:t>
      </w:r>
      <w:r w:rsidRPr="008573C5">
        <w:rPr>
          <w:bCs/>
        </w:rPr>
        <w:t>, J</w:t>
      </w:r>
      <w:r w:rsidRPr="008573C5">
        <w:rPr>
          <w:i/>
          <w:iCs/>
        </w:rPr>
        <w:t xml:space="preserve">ournal of Accounting </w:t>
      </w:r>
      <w:r w:rsidR="00346D99">
        <w:rPr>
          <w:i/>
          <w:iCs/>
        </w:rPr>
        <w:tab/>
      </w:r>
      <w:r w:rsidRPr="008573C5">
        <w:rPr>
          <w:i/>
          <w:iCs/>
        </w:rPr>
        <w:t>Research,</w:t>
      </w:r>
      <w:r w:rsidRPr="008573C5">
        <w:t xml:space="preserve"> 14 </w:t>
      </w:r>
      <w:r w:rsidR="00346D99">
        <w:tab/>
      </w:r>
      <w:r w:rsidRPr="008573C5">
        <w:t>(1), 10-26.</w:t>
      </w:r>
    </w:p>
    <w:p w:rsidR="001C29BF" w:rsidRPr="008573C5" w:rsidRDefault="001C29BF" w:rsidP="00FA1327">
      <w:pPr>
        <w:autoSpaceDE w:val="0"/>
        <w:autoSpaceDN w:val="0"/>
        <w:adjustRightInd w:val="0"/>
        <w:spacing w:line="360" w:lineRule="auto"/>
        <w:jc w:val="both"/>
        <w:rPr>
          <w:i/>
        </w:rPr>
      </w:pPr>
      <w:r w:rsidRPr="008573C5">
        <w:t>Belkaoui, A. and Kahl, A. (1978).  Corporate financial disclosure in Canada</w:t>
      </w:r>
      <w:r w:rsidR="00FA1327" w:rsidRPr="008573C5">
        <w:t>.</w:t>
      </w:r>
      <w:r w:rsidRPr="008573C5">
        <w:t xml:space="preserve"> </w:t>
      </w:r>
      <w:r w:rsidR="00346D99">
        <w:tab/>
      </w:r>
      <w:r w:rsidRPr="008573C5">
        <w:rPr>
          <w:i/>
        </w:rPr>
        <w:t xml:space="preserve">Vancouver: </w:t>
      </w:r>
      <w:r w:rsidR="00FA1327" w:rsidRPr="008573C5">
        <w:rPr>
          <w:i/>
        </w:rPr>
        <w:tab/>
      </w:r>
      <w:r w:rsidRPr="008573C5">
        <w:rPr>
          <w:i/>
        </w:rPr>
        <w:t>Canadian Certified General Accountants Association,</w:t>
      </w:r>
      <w:r w:rsidRPr="008573C5">
        <w:t xml:space="preserve"> 6 (2), </w:t>
      </w:r>
      <w:r w:rsidR="00346D99">
        <w:tab/>
      </w:r>
      <w:r w:rsidRPr="008573C5">
        <w:t>44-55.</w:t>
      </w:r>
    </w:p>
    <w:p w:rsidR="001C29BF" w:rsidRPr="008573C5" w:rsidRDefault="001C29BF" w:rsidP="001E78A2">
      <w:pPr>
        <w:autoSpaceDE w:val="0"/>
        <w:autoSpaceDN w:val="0"/>
        <w:adjustRightInd w:val="0"/>
        <w:spacing w:line="360" w:lineRule="auto"/>
        <w:jc w:val="both"/>
      </w:pPr>
    </w:p>
    <w:p w:rsidR="001C29BF" w:rsidRPr="008573C5" w:rsidRDefault="001C29BF" w:rsidP="00FA1327">
      <w:pPr>
        <w:autoSpaceDE w:val="0"/>
        <w:autoSpaceDN w:val="0"/>
        <w:adjustRightInd w:val="0"/>
        <w:spacing w:line="360" w:lineRule="auto"/>
        <w:jc w:val="both"/>
      </w:pPr>
      <w:r w:rsidRPr="008573C5">
        <w:t>Bujaki, M. and McConomy, B. J. (2002). Corporate governance: Factors influencing</w:t>
      </w:r>
      <w:r w:rsidR="00FA1327" w:rsidRPr="008573C5">
        <w:t xml:space="preserve"> </w:t>
      </w:r>
      <w:r w:rsidR="00FA1327" w:rsidRPr="008573C5">
        <w:tab/>
      </w:r>
      <w:r w:rsidRPr="008573C5">
        <w:t>voluntary disclosure by publicly traded Canadian firms</w:t>
      </w:r>
      <w:r w:rsidR="00FA1327" w:rsidRPr="008573C5">
        <w:t>.</w:t>
      </w:r>
      <w:r w:rsidRPr="008573C5">
        <w:t xml:space="preserve"> </w:t>
      </w:r>
      <w:r w:rsidRPr="008573C5">
        <w:rPr>
          <w:i/>
          <w:iCs/>
        </w:rPr>
        <w:t xml:space="preserve">Canadian Accounting </w:t>
      </w:r>
      <w:r w:rsidR="00FA1327" w:rsidRPr="008573C5">
        <w:rPr>
          <w:i/>
          <w:iCs/>
        </w:rPr>
        <w:tab/>
      </w:r>
      <w:r w:rsidRPr="008573C5">
        <w:rPr>
          <w:i/>
          <w:iCs/>
        </w:rPr>
        <w:t xml:space="preserve">Perspectives, </w:t>
      </w:r>
      <w:r w:rsidRPr="008573C5">
        <w:t>1 (2), 105-139.</w:t>
      </w:r>
    </w:p>
    <w:p w:rsidR="001C29BF" w:rsidRPr="008573C5" w:rsidRDefault="001C29BF" w:rsidP="001E78A2">
      <w:pPr>
        <w:autoSpaceDE w:val="0"/>
        <w:autoSpaceDN w:val="0"/>
        <w:adjustRightInd w:val="0"/>
        <w:spacing w:line="360" w:lineRule="auto"/>
        <w:jc w:val="both"/>
      </w:pPr>
    </w:p>
    <w:p w:rsidR="001C29BF" w:rsidRPr="008573C5" w:rsidRDefault="001C29BF" w:rsidP="00FA1327">
      <w:pPr>
        <w:autoSpaceDE w:val="0"/>
        <w:autoSpaceDN w:val="0"/>
        <w:adjustRightInd w:val="0"/>
        <w:spacing w:line="360" w:lineRule="auto"/>
        <w:jc w:val="both"/>
        <w:rPr>
          <w:sz w:val="20"/>
          <w:szCs w:val="20"/>
        </w:rPr>
      </w:pPr>
      <w:r w:rsidRPr="008573C5">
        <w:t>Buzby</w:t>
      </w:r>
      <w:r w:rsidRPr="008573C5">
        <w:rPr>
          <w:bCs/>
        </w:rPr>
        <w:t>, S.L. (1975).</w:t>
      </w:r>
      <w:r w:rsidRPr="008573C5">
        <w:rPr>
          <w:b/>
          <w:bCs/>
        </w:rPr>
        <w:t xml:space="preserve"> </w:t>
      </w:r>
      <w:r w:rsidRPr="008573C5">
        <w:rPr>
          <w:bCs/>
        </w:rPr>
        <w:t xml:space="preserve">Company size, listed versus unlisted stocks, and the extent of </w:t>
      </w:r>
      <w:r w:rsidR="00FA1327" w:rsidRPr="008573C5">
        <w:rPr>
          <w:bCs/>
        </w:rPr>
        <w:t xml:space="preserve"> </w:t>
      </w:r>
      <w:r w:rsidR="00346D99">
        <w:rPr>
          <w:bCs/>
        </w:rPr>
        <w:tab/>
        <w:t>f</w:t>
      </w:r>
      <w:r w:rsidRPr="008573C5">
        <w:rPr>
          <w:bCs/>
        </w:rPr>
        <w:t>inancial disclosure.</w:t>
      </w:r>
      <w:r w:rsidRPr="008573C5">
        <w:rPr>
          <w:b/>
          <w:bCs/>
        </w:rPr>
        <w:t xml:space="preserve"> </w:t>
      </w:r>
      <w:r w:rsidRPr="008573C5">
        <w:rPr>
          <w:i/>
          <w:iCs/>
        </w:rPr>
        <w:t>Journal of Accounting Research</w:t>
      </w:r>
      <w:r w:rsidRPr="008573C5">
        <w:t>, 13 (1), 16-37.</w:t>
      </w:r>
    </w:p>
    <w:p w:rsidR="001C29BF" w:rsidRPr="008573C5" w:rsidRDefault="001C29BF" w:rsidP="001E78A2">
      <w:pPr>
        <w:autoSpaceDE w:val="0"/>
        <w:autoSpaceDN w:val="0"/>
        <w:adjustRightInd w:val="0"/>
        <w:spacing w:line="360" w:lineRule="auto"/>
        <w:jc w:val="both"/>
        <w:rPr>
          <w:b/>
          <w:bCs/>
        </w:rPr>
      </w:pPr>
    </w:p>
    <w:p w:rsidR="001C29BF" w:rsidRPr="008573C5" w:rsidRDefault="001C29BF" w:rsidP="00FA1327">
      <w:pPr>
        <w:autoSpaceDE w:val="0"/>
        <w:autoSpaceDN w:val="0"/>
        <w:adjustRightInd w:val="0"/>
        <w:spacing w:line="360" w:lineRule="auto"/>
        <w:jc w:val="both"/>
      </w:pPr>
      <w:r w:rsidRPr="008573C5">
        <w:rPr>
          <w:bCs/>
        </w:rPr>
        <w:t xml:space="preserve">Camfferman, K. and Cooke, T.E. (2002). An analysis of disclosure in the annual </w:t>
      </w:r>
      <w:r w:rsidR="00346D99">
        <w:rPr>
          <w:bCs/>
        </w:rPr>
        <w:tab/>
      </w:r>
      <w:r w:rsidRPr="008573C5">
        <w:rPr>
          <w:bCs/>
        </w:rPr>
        <w:t xml:space="preserve">reports of U.K. and Dutch Companies. </w:t>
      </w:r>
      <w:r w:rsidRPr="008573C5">
        <w:rPr>
          <w:i/>
          <w:iCs/>
        </w:rPr>
        <w:t xml:space="preserve">Journal of International Accounting </w:t>
      </w:r>
      <w:r w:rsidR="00346D99">
        <w:rPr>
          <w:i/>
          <w:iCs/>
        </w:rPr>
        <w:tab/>
      </w:r>
      <w:r w:rsidRPr="008573C5">
        <w:rPr>
          <w:i/>
          <w:iCs/>
        </w:rPr>
        <w:t xml:space="preserve">Research, </w:t>
      </w:r>
      <w:r w:rsidRPr="008573C5">
        <w:t>1, 3-30.</w:t>
      </w:r>
    </w:p>
    <w:p w:rsidR="001C29BF" w:rsidRPr="008573C5" w:rsidRDefault="001C29BF" w:rsidP="001E78A2">
      <w:pPr>
        <w:autoSpaceDE w:val="0"/>
        <w:autoSpaceDN w:val="0"/>
        <w:adjustRightInd w:val="0"/>
        <w:spacing w:line="360" w:lineRule="auto"/>
        <w:jc w:val="both"/>
      </w:pPr>
    </w:p>
    <w:p w:rsidR="001C29BF" w:rsidRPr="008573C5" w:rsidRDefault="001C29BF" w:rsidP="00FA1327">
      <w:pPr>
        <w:autoSpaceDE w:val="0"/>
        <w:autoSpaceDN w:val="0"/>
        <w:adjustRightInd w:val="0"/>
        <w:spacing w:line="360" w:lineRule="auto"/>
        <w:jc w:val="both"/>
      </w:pPr>
      <w:r w:rsidRPr="008573C5">
        <w:t xml:space="preserve">Chamisa, E.E (2000). The relevance and observance of the IASC Standards in </w:t>
      </w:r>
      <w:r w:rsidR="00346D99">
        <w:tab/>
        <w:t xml:space="preserve">developing </w:t>
      </w:r>
      <w:r w:rsidRPr="008573C5">
        <w:t xml:space="preserve">countries and the Particular Case of Zimbabwe”, </w:t>
      </w:r>
      <w:r w:rsidRPr="008573C5">
        <w:rPr>
          <w:i/>
        </w:rPr>
        <w:t xml:space="preserve">The </w:t>
      </w:r>
      <w:r w:rsidR="00346D99">
        <w:rPr>
          <w:i/>
        </w:rPr>
        <w:tab/>
      </w:r>
      <w:r w:rsidRPr="008573C5">
        <w:rPr>
          <w:i/>
        </w:rPr>
        <w:t xml:space="preserve">International Journal of Accounting, </w:t>
      </w:r>
      <w:r w:rsidRPr="008573C5">
        <w:t>35</w:t>
      </w:r>
      <w:r w:rsidR="00A3613A" w:rsidRPr="008573C5">
        <w:t xml:space="preserve"> (</w:t>
      </w:r>
      <w:r w:rsidRPr="008573C5">
        <w:t>2</w:t>
      </w:r>
      <w:r w:rsidR="00A3613A" w:rsidRPr="008573C5">
        <w:t>),</w:t>
      </w:r>
      <w:r w:rsidRPr="008573C5">
        <w:t xml:space="preserve"> 267–286.</w:t>
      </w:r>
    </w:p>
    <w:p w:rsidR="001C29BF" w:rsidRPr="008573C5" w:rsidRDefault="001C29BF" w:rsidP="001E78A2">
      <w:pPr>
        <w:autoSpaceDE w:val="0"/>
        <w:autoSpaceDN w:val="0"/>
        <w:adjustRightInd w:val="0"/>
        <w:spacing w:line="360" w:lineRule="auto"/>
        <w:jc w:val="both"/>
      </w:pPr>
    </w:p>
    <w:p w:rsidR="001C29BF" w:rsidRPr="008573C5" w:rsidRDefault="001C29BF" w:rsidP="00FA1327">
      <w:pPr>
        <w:autoSpaceDE w:val="0"/>
        <w:autoSpaceDN w:val="0"/>
        <w:adjustRightInd w:val="0"/>
        <w:spacing w:line="360" w:lineRule="auto"/>
        <w:jc w:val="both"/>
      </w:pPr>
      <w:r w:rsidRPr="008573C5">
        <w:t>Chau, G.K. and Gray, S.J. (2002). Ownership structure and corporate voluntary</w:t>
      </w:r>
      <w:r w:rsidR="00FA1327" w:rsidRPr="008573C5">
        <w:t xml:space="preserve"> </w:t>
      </w:r>
      <w:r w:rsidR="00346D99">
        <w:tab/>
      </w:r>
      <w:r w:rsidRPr="008573C5">
        <w:t xml:space="preserve">disclosure in </w:t>
      </w:r>
      <w:r w:rsidR="00FA1327" w:rsidRPr="008573C5">
        <w:tab/>
      </w:r>
      <w:r w:rsidRPr="008573C5">
        <w:t xml:space="preserve">Hong Kong and Singapore. </w:t>
      </w:r>
      <w:r w:rsidRPr="008573C5">
        <w:rPr>
          <w:i/>
        </w:rPr>
        <w:t xml:space="preserve">The International Journal of </w:t>
      </w:r>
      <w:r w:rsidR="00346D99">
        <w:rPr>
          <w:i/>
        </w:rPr>
        <w:tab/>
      </w:r>
      <w:r w:rsidRPr="008573C5">
        <w:rPr>
          <w:i/>
        </w:rPr>
        <w:t xml:space="preserve">Accounting, </w:t>
      </w:r>
      <w:r w:rsidRPr="008573C5">
        <w:t>37, 247–265.</w:t>
      </w:r>
    </w:p>
    <w:p w:rsidR="00B60E8C" w:rsidRPr="008573C5" w:rsidRDefault="00B60E8C" w:rsidP="001E78A2">
      <w:pPr>
        <w:autoSpaceDE w:val="0"/>
        <w:autoSpaceDN w:val="0"/>
        <w:adjustRightInd w:val="0"/>
        <w:spacing w:line="360" w:lineRule="auto"/>
        <w:jc w:val="both"/>
      </w:pPr>
    </w:p>
    <w:p w:rsidR="00B60E8C" w:rsidRPr="008573C5" w:rsidRDefault="00B60E8C" w:rsidP="00FA1327">
      <w:pPr>
        <w:autoSpaceDE w:val="0"/>
        <w:autoSpaceDN w:val="0"/>
        <w:adjustRightInd w:val="0"/>
        <w:spacing w:line="360" w:lineRule="auto"/>
        <w:jc w:val="both"/>
      </w:pPr>
      <w:r w:rsidRPr="008573C5">
        <w:t xml:space="preserve">Chavent, M., Ding, Y., Fu, L., Stolowy, H. and Wang, H. (2006).  Disclosure and </w:t>
      </w:r>
      <w:r w:rsidR="00FA1327" w:rsidRPr="008573C5">
        <w:tab/>
      </w:r>
      <w:r w:rsidRPr="008573C5">
        <w:t xml:space="preserve">determinants studies: An extension using the Divisive Clustering Method </w:t>
      </w:r>
      <w:r w:rsidR="00346D99">
        <w:tab/>
      </w:r>
      <w:r w:rsidRPr="008573C5">
        <w:t xml:space="preserve">(DIV). </w:t>
      </w:r>
      <w:r w:rsidR="00FA1327" w:rsidRPr="008573C5">
        <w:tab/>
      </w:r>
      <w:r w:rsidRPr="008573C5">
        <w:rPr>
          <w:i/>
        </w:rPr>
        <w:t>European Accounting Review</w:t>
      </w:r>
      <w:r w:rsidRPr="008573C5">
        <w:t>, 15 (2), 181–218.</w:t>
      </w:r>
    </w:p>
    <w:p w:rsidR="001C29BF" w:rsidRPr="008573C5" w:rsidRDefault="001C29BF" w:rsidP="001E78A2">
      <w:pPr>
        <w:autoSpaceDE w:val="0"/>
        <w:autoSpaceDN w:val="0"/>
        <w:adjustRightInd w:val="0"/>
        <w:spacing w:line="360" w:lineRule="auto"/>
        <w:jc w:val="both"/>
      </w:pPr>
    </w:p>
    <w:p w:rsidR="001C29BF" w:rsidRPr="008573C5" w:rsidRDefault="001C29BF" w:rsidP="00FA1327">
      <w:pPr>
        <w:autoSpaceDE w:val="0"/>
        <w:autoSpaceDN w:val="0"/>
        <w:adjustRightInd w:val="0"/>
        <w:spacing w:line="360" w:lineRule="auto"/>
        <w:jc w:val="both"/>
        <w:rPr>
          <w:bCs/>
        </w:rPr>
      </w:pPr>
      <w:r w:rsidRPr="008573C5">
        <w:rPr>
          <w:bCs/>
        </w:rPr>
        <w:t>Choi, F.D.S (1973). Financial disclosure and entry to the European capital market”,</w:t>
      </w:r>
      <w:r w:rsidR="00FA1327" w:rsidRPr="008573C5">
        <w:rPr>
          <w:bCs/>
        </w:rPr>
        <w:t xml:space="preserve"> </w:t>
      </w:r>
      <w:r w:rsidR="00346D99">
        <w:rPr>
          <w:bCs/>
        </w:rPr>
        <w:tab/>
      </w:r>
      <w:r w:rsidRPr="008573C5">
        <w:rPr>
          <w:i/>
          <w:iCs/>
        </w:rPr>
        <w:t>Journal of Accounting Research</w:t>
      </w:r>
      <w:r w:rsidRPr="008573C5">
        <w:t>, 11 (2), 159-175.</w:t>
      </w:r>
    </w:p>
    <w:p w:rsidR="001C29BF" w:rsidRPr="008573C5" w:rsidRDefault="001C29BF" w:rsidP="001E78A2">
      <w:pPr>
        <w:spacing w:line="360" w:lineRule="auto"/>
        <w:jc w:val="both"/>
        <w:rPr>
          <w:rFonts w:ascii="Times" w:hAnsi="Times" w:cs="Times"/>
        </w:rPr>
      </w:pPr>
    </w:p>
    <w:p w:rsidR="001C29BF" w:rsidRPr="008573C5" w:rsidRDefault="001C29BF" w:rsidP="00FA1327">
      <w:pPr>
        <w:autoSpaceDE w:val="0"/>
        <w:autoSpaceDN w:val="0"/>
        <w:adjustRightInd w:val="0"/>
        <w:spacing w:line="360" w:lineRule="auto"/>
        <w:jc w:val="both"/>
        <w:rPr>
          <w:sz w:val="20"/>
          <w:szCs w:val="20"/>
        </w:rPr>
      </w:pPr>
      <w:r w:rsidRPr="008573C5">
        <w:rPr>
          <w:bCs/>
        </w:rPr>
        <w:t>Choi, F.D.S. (1974). European disclosure: The competitive disclosure hypothesis.</w:t>
      </w:r>
      <w:r w:rsidR="00FA1327" w:rsidRPr="008573C5">
        <w:rPr>
          <w:bCs/>
        </w:rPr>
        <w:t xml:space="preserve"> </w:t>
      </w:r>
      <w:r w:rsidR="00346D99">
        <w:rPr>
          <w:bCs/>
        </w:rPr>
        <w:tab/>
      </w:r>
      <w:r w:rsidRPr="008573C5">
        <w:rPr>
          <w:i/>
          <w:iCs/>
        </w:rPr>
        <w:t>Journal of International Business Studies</w:t>
      </w:r>
      <w:r w:rsidRPr="008573C5">
        <w:t>, 5 ( 2), 15-23.</w:t>
      </w:r>
    </w:p>
    <w:p w:rsidR="008D2043" w:rsidRDefault="008D2043" w:rsidP="00FA1327">
      <w:pPr>
        <w:autoSpaceDE w:val="0"/>
        <w:autoSpaceDN w:val="0"/>
        <w:adjustRightInd w:val="0"/>
        <w:spacing w:line="360" w:lineRule="auto"/>
        <w:jc w:val="both"/>
        <w:rPr>
          <w:rFonts w:cs="TimesNewRomanPSMT-Identity-H"/>
        </w:rPr>
      </w:pPr>
    </w:p>
    <w:p w:rsidR="001C29BF" w:rsidRPr="008573C5" w:rsidRDefault="001C29BF" w:rsidP="00FA1327">
      <w:pPr>
        <w:autoSpaceDE w:val="0"/>
        <w:autoSpaceDN w:val="0"/>
        <w:adjustRightInd w:val="0"/>
        <w:spacing w:line="360" w:lineRule="auto"/>
        <w:jc w:val="both"/>
        <w:rPr>
          <w:rFonts w:cs="TimesNewRomanPSMT-Identity-H"/>
          <w:sz w:val="20"/>
          <w:szCs w:val="20"/>
        </w:rPr>
      </w:pPr>
      <w:r w:rsidRPr="008573C5">
        <w:rPr>
          <w:rFonts w:cs="TimesNewRomanPSMT-Identity-H"/>
        </w:rPr>
        <w:t xml:space="preserve">Chow, C.W. and Wong-Boren, A. (1987). Voluntary financial disclosure by Mexican </w:t>
      </w:r>
      <w:r w:rsidR="00FA1327" w:rsidRPr="008573C5">
        <w:rPr>
          <w:rFonts w:cs="TimesNewRomanPSMT-Identity-H"/>
        </w:rPr>
        <w:tab/>
      </w:r>
      <w:r w:rsidRPr="008573C5">
        <w:rPr>
          <w:rFonts w:cs="TimesNewRomanPSMT-Identity-H"/>
        </w:rPr>
        <w:t xml:space="preserve">corporations. </w:t>
      </w:r>
      <w:r w:rsidRPr="008573C5">
        <w:rPr>
          <w:rFonts w:cs="TimesNewRomanPS-ItalicMT-Identi"/>
          <w:i/>
          <w:iCs/>
        </w:rPr>
        <w:t>The Accounting Review</w:t>
      </w:r>
      <w:r w:rsidRPr="008573C5">
        <w:rPr>
          <w:rFonts w:cs="TimesNewRomanPSMT-Identity-H"/>
        </w:rPr>
        <w:t>, 62 (3), 533-541.</w:t>
      </w:r>
    </w:p>
    <w:p w:rsidR="001C29BF" w:rsidRPr="008573C5" w:rsidRDefault="001C29BF" w:rsidP="001E78A2">
      <w:pPr>
        <w:spacing w:line="360" w:lineRule="auto"/>
        <w:jc w:val="both"/>
      </w:pPr>
    </w:p>
    <w:p w:rsidR="001C29BF" w:rsidRPr="008573C5" w:rsidRDefault="001C29BF" w:rsidP="00FA1327">
      <w:pPr>
        <w:spacing w:line="360" w:lineRule="auto"/>
        <w:jc w:val="both"/>
        <w:rPr>
          <w:rFonts w:cs="Times"/>
        </w:rPr>
      </w:pPr>
      <w:r w:rsidRPr="008573C5">
        <w:rPr>
          <w:rFonts w:cs="Times"/>
        </w:rPr>
        <w:t xml:space="preserve">Cooke, T. E. (1989). </w:t>
      </w:r>
      <w:r w:rsidRPr="008573C5">
        <w:rPr>
          <w:rFonts w:cs="Times"/>
          <w:bCs/>
        </w:rPr>
        <w:t>Disclosure</w:t>
      </w:r>
      <w:r w:rsidRPr="008573C5">
        <w:rPr>
          <w:rFonts w:cs="Times"/>
        </w:rPr>
        <w:t xml:space="preserve"> in the corporate annual reports of Swedish</w:t>
      </w:r>
      <w:r w:rsidR="00FA1327" w:rsidRPr="008573C5">
        <w:rPr>
          <w:rFonts w:cs="Times"/>
        </w:rPr>
        <w:t xml:space="preserve"> </w:t>
      </w:r>
      <w:r w:rsidR="00346D99">
        <w:rPr>
          <w:rFonts w:cs="Times"/>
        </w:rPr>
        <w:tab/>
      </w:r>
      <w:r w:rsidRPr="008573C5">
        <w:rPr>
          <w:rFonts w:cs="Times"/>
        </w:rPr>
        <w:t xml:space="preserve">companies.  </w:t>
      </w:r>
      <w:r w:rsidRPr="008573C5">
        <w:rPr>
          <w:rFonts w:cs="Times"/>
          <w:i/>
        </w:rPr>
        <w:t>Accounting and Business Research</w:t>
      </w:r>
      <w:r w:rsidRPr="008573C5">
        <w:rPr>
          <w:rFonts w:cs="Times"/>
        </w:rPr>
        <w:t xml:space="preserve">, 19 (74), 113-124. </w:t>
      </w:r>
    </w:p>
    <w:p w:rsidR="001C29BF" w:rsidRPr="008573C5" w:rsidRDefault="001C29BF" w:rsidP="001E78A2">
      <w:pPr>
        <w:spacing w:line="360" w:lineRule="auto"/>
        <w:jc w:val="both"/>
      </w:pPr>
    </w:p>
    <w:p w:rsidR="001C29BF" w:rsidRPr="008573C5" w:rsidRDefault="001C29BF" w:rsidP="00FA1327">
      <w:pPr>
        <w:spacing w:line="360" w:lineRule="auto"/>
        <w:jc w:val="both"/>
      </w:pPr>
      <w:r w:rsidRPr="008573C5">
        <w:t xml:space="preserve">Cooke, T.E. (1992). The impact of size, stock market listing and industry type on </w:t>
      </w:r>
      <w:r w:rsidR="00346D99">
        <w:tab/>
      </w:r>
      <w:r w:rsidRPr="008573C5">
        <w:t xml:space="preserve">disclosure in the annual reports of Japanese listed corporations. </w:t>
      </w:r>
      <w:r w:rsidRPr="008573C5">
        <w:rPr>
          <w:i/>
        </w:rPr>
        <w:t xml:space="preserve">Accounting </w:t>
      </w:r>
      <w:r w:rsidR="00346D99">
        <w:rPr>
          <w:i/>
        </w:rPr>
        <w:tab/>
      </w:r>
      <w:r w:rsidRPr="008573C5">
        <w:rPr>
          <w:i/>
        </w:rPr>
        <w:t>and Business Research,</w:t>
      </w:r>
      <w:r w:rsidRPr="008573C5">
        <w:t xml:space="preserve"> 22 (87), 229 -237.</w:t>
      </w:r>
    </w:p>
    <w:p w:rsidR="001C29BF" w:rsidRPr="008573C5" w:rsidRDefault="001C29BF" w:rsidP="001E78A2">
      <w:pPr>
        <w:autoSpaceDE w:val="0"/>
        <w:autoSpaceDN w:val="0"/>
        <w:adjustRightInd w:val="0"/>
        <w:spacing w:line="360" w:lineRule="auto"/>
        <w:jc w:val="both"/>
      </w:pPr>
    </w:p>
    <w:p w:rsidR="001C29BF" w:rsidRPr="008573C5" w:rsidRDefault="001C29BF" w:rsidP="00FA1327">
      <w:pPr>
        <w:autoSpaceDE w:val="0"/>
        <w:autoSpaceDN w:val="0"/>
        <w:adjustRightInd w:val="0"/>
        <w:spacing w:line="360" w:lineRule="auto"/>
        <w:jc w:val="both"/>
        <w:rPr>
          <w:i/>
          <w:iCs/>
        </w:rPr>
      </w:pPr>
      <w:r w:rsidRPr="008573C5">
        <w:t xml:space="preserve">Cooke, T. E. (1993). Disclosure in Japanese corporate annual reports.  </w:t>
      </w:r>
      <w:r w:rsidRPr="008573C5">
        <w:rPr>
          <w:i/>
          <w:iCs/>
        </w:rPr>
        <w:t xml:space="preserve">Journal of </w:t>
      </w:r>
      <w:r w:rsidR="00346D99">
        <w:rPr>
          <w:i/>
          <w:iCs/>
        </w:rPr>
        <w:tab/>
      </w:r>
      <w:r w:rsidRPr="008573C5">
        <w:rPr>
          <w:i/>
          <w:iCs/>
        </w:rPr>
        <w:t xml:space="preserve">Business Finance &amp; Accounting, </w:t>
      </w:r>
      <w:r w:rsidRPr="008573C5">
        <w:t>20 (4), 521-535.</w:t>
      </w:r>
    </w:p>
    <w:p w:rsidR="001C29BF" w:rsidRPr="008573C5" w:rsidRDefault="001C29BF" w:rsidP="001E78A2">
      <w:pPr>
        <w:autoSpaceDE w:val="0"/>
        <w:autoSpaceDN w:val="0"/>
        <w:adjustRightInd w:val="0"/>
        <w:spacing w:line="360" w:lineRule="auto"/>
        <w:jc w:val="both"/>
      </w:pPr>
    </w:p>
    <w:p w:rsidR="001C29BF" w:rsidRPr="008573C5" w:rsidRDefault="001C29BF" w:rsidP="001E78A2">
      <w:pPr>
        <w:autoSpaceDE w:val="0"/>
        <w:autoSpaceDN w:val="0"/>
        <w:adjustRightInd w:val="0"/>
        <w:spacing w:line="360" w:lineRule="auto"/>
        <w:jc w:val="both"/>
      </w:pPr>
      <w:r w:rsidRPr="008573C5">
        <w:t xml:space="preserve">Courtis , J. K. (1976). Relationship between timeliness in corporate reporting and </w:t>
      </w:r>
      <w:r w:rsidRPr="008573C5">
        <w:tab/>
        <w:t xml:space="preserve">corporate attributes. </w:t>
      </w:r>
      <w:r w:rsidRPr="008573C5">
        <w:rPr>
          <w:i/>
          <w:iCs/>
        </w:rPr>
        <w:t>Accounting and Business Research</w:t>
      </w:r>
      <w:r w:rsidRPr="008573C5">
        <w:t>, 45-56.</w:t>
      </w:r>
    </w:p>
    <w:p w:rsidR="001C29BF" w:rsidRPr="008573C5" w:rsidRDefault="001C29BF" w:rsidP="001E78A2">
      <w:pPr>
        <w:autoSpaceDE w:val="0"/>
        <w:autoSpaceDN w:val="0"/>
        <w:adjustRightInd w:val="0"/>
        <w:spacing w:line="360" w:lineRule="auto"/>
        <w:jc w:val="both"/>
        <w:rPr>
          <w:sz w:val="21"/>
          <w:szCs w:val="21"/>
        </w:rPr>
      </w:pPr>
    </w:p>
    <w:p w:rsidR="001C29BF" w:rsidRPr="008573C5" w:rsidRDefault="001C29BF" w:rsidP="00FA1327">
      <w:pPr>
        <w:autoSpaceDE w:val="0"/>
        <w:autoSpaceDN w:val="0"/>
        <w:adjustRightInd w:val="0"/>
        <w:spacing w:line="360" w:lineRule="auto"/>
        <w:jc w:val="both"/>
      </w:pPr>
      <w:r w:rsidRPr="008573C5">
        <w:t xml:space="preserve">Coy, D., Tower, G. and Dixon, K. (1993). Quantifying the quality of tertiary </w:t>
      </w:r>
      <w:r w:rsidR="00346D99">
        <w:tab/>
      </w:r>
      <w:r w:rsidRPr="008573C5">
        <w:t xml:space="preserve">education </w:t>
      </w:r>
      <w:r w:rsidR="00FA1327" w:rsidRPr="008573C5">
        <w:t>a</w:t>
      </w:r>
      <w:r w:rsidRPr="008573C5">
        <w:t xml:space="preserve">nnual reports, </w:t>
      </w:r>
      <w:r w:rsidRPr="008573C5">
        <w:rPr>
          <w:i/>
          <w:iCs/>
        </w:rPr>
        <w:t xml:space="preserve">Accounting and Finance, </w:t>
      </w:r>
      <w:r w:rsidRPr="008573C5">
        <w:t>33 (2), 121-130.</w:t>
      </w:r>
    </w:p>
    <w:p w:rsidR="001C29BF" w:rsidRPr="008573C5" w:rsidRDefault="001C29BF" w:rsidP="001E78A2">
      <w:pPr>
        <w:autoSpaceDE w:val="0"/>
        <w:autoSpaceDN w:val="0"/>
        <w:adjustRightInd w:val="0"/>
        <w:spacing w:line="360" w:lineRule="auto"/>
        <w:jc w:val="both"/>
      </w:pPr>
    </w:p>
    <w:p w:rsidR="001C29BF" w:rsidRPr="008573C5" w:rsidRDefault="001C29BF" w:rsidP="00FA1327">
      <w:pPr>
        <w:autoSpaceDE w:val="0"/>
        <w:autoSpaceDN w:val="0"/>
        <w:adjustRightInd w:val="0"/>
        <w:spacing w:line="360" w:lineRule="auto"/>
        <w:jc w:val="both"/>
      </w:pPr>
      <w:r w:rsidRPr="008573C5">
        <w:t>Cuijpers, R. and Buijink, W. (2005). Voluntary adoption of non-local GAAP in the</w:t>
      </w:r>
      <w:r w:rsidR="00FA1327" w:rsidRPr="008573C5">
        <w:t xml:space="preserve"> </w:t>
      </w:r>
      <w:r w:rsidR="00DF7BFA">
        <w:tab/>
      </w:r>
      <w:r w:rsidRPr="008573C5">
        <w:t xml:space="preserve">European Union: A study of determinants and consequences. </w:t>
      </w:r>
      <w:r w:rsidRPr="008573C5">
        <w:rPr>
          <w:i/>
        </w:rPr>
        <w:t xml:space="preserve">European </w:t>
      </w:r>
      <w:r w:rsidR="00DF7BFA">
        <w:rPr>
          <w:i/>
        </w:rPr>
        <w:tab/>
      </w:r>
      <w:r w:rsidRPr="008573C5">
        <w:rPr>
          <w:i/>
        </w:rPr>
        <w:t xml:space="preserve">Accounting Review, </w:t>
      </w:r>
      <w:r w:rsidRPr="008573C5">
        <w:t>14</w:t>
      </w:r>
      <w:r w:rsidR="004B529C" w:rsidRPr="008573C5">
        <w:t xml:space="preserve"> (</w:t>
      </w:r>
      <w:r w:rsidRPr="008573C5">
        <w:t>3</w:t>
      </w:r>
      <w:r w:rsidR="004B529C" w:rsidRPr="008573C5">
        <w:t>)</w:t>
      </w:r>
      <w:r w:rsidRPr="008573C5">
        <w:t>, 487–524.</w:t>
      </w:r>
    </w:p>
    <w:p w:rsidR="001C29BF" w:rsidRPr="008573C5" w:rsidRDefault="001C29BF" w:rsidP="001E78A2">
      <w:pPr>
        <w:autoSpaceDE w:val="0"/>
        <w:autoSpaceDN w:val="0"/>
        <w:adjustRightInd w:val="0"/>
        <w:spacing w:line="360" w:lineRule="auto"/>
        <w:jc w:val="both"/>
      </w:pPr>
    </w:p>
    <w:p w:rsidR="001C29BF" w:rsidRPr="008573C5" w:rsidRDefault="001C29BF" w:rsidP="00FA1327">
      <w:pPr>
        <w:autoSpaceDE w:val="0"/>
        <w:autoSpaceDN w:val="0"/>
        <w:adjustRightInd w:val="0"/>
        <w:spacing w:line="360" w:lineRule="auto"/>
        <w:jc w:val="both"/>
        <w:rPr>
          <w:iCs/>
        </w:rPr>
      </w:pPr>
      <w:r w:rsidRPr="008573C5">
        <w:rPr>
          <w:iCs/>
        </w:rPr>
        <w:t xml:space="preserve">Dahawy, K. and Conover, T. (2007). Accounting disclosure in companies listed on </w:t>
      </w:r>
      <w:r w:rsidR="00DF7BFA">
        <w:rPr>
          <w:iCs/>
        </w:rPr>
        <w:tab/>
      </w:r>
      <w:r w:rsidRPr="008573C5">
        <w:rPr>
          <w:iCs/>
        </w:rPr>
        <w:t>the Egyptian stock exchange</w:t>
      </w:r>
      <w:r w:rsidR="00FA1327" w:rsidRPr="008573C5">
        <w:rPr>
          <w:iCs/>
        </w:rPr>
        <w:t>.</w:t>
      </w:r>
      <w:r w:rsidRPr="008573C5">
        <w:rPr>
          <w:iCs/>
        </w:rPr>
        <w:t xml:space="preserve"> </w:t>
      </w:r>
      <w:r w:rsidRPr="008573C5">
        <w:rPr>
          <w:i/>
          <w:iCs/>
        </w:rPr>
        <w:t>Middle East Finance and Economics,</w:t>
      </w:r>
      <w:r w:rsidRPr="008573C5">
        <w:rPr>
          <w:iCs/>
        </w:rPr>
        <w:t xml:space="preserve"> 1, 1-20.</w:t>
      </w:r>
    </w:p>
    <w:p w:rsidR="001C29BF" w:rsidRPr="008573C5" w:rsidRDefault="004965AE" w:rsidP="001E78A2">
      <w:pPr>
        <w:tabs>
          <w:tab w:val="left" w:pos="6810"/>
        </w:tabs>
        <w:autoSpaceDE w:val="0"/>
        <w:autoSpaceDN w:val="0"/>
        <w:adjustRightInd w:val="0"/>
        <w:spacing w:line="360" w:lineRule="auto"/>
        <w:jc w:val="both"/>
        <w:rPr>
          <w:iCs/>
        </w:rPr>
      </w:pPr>
      <w:r w:rsidRPr="008573C5">
        <w:rPr>
          <w:iCs/>
        </w:rPr>
        <w:tab/>
      </w:r>
    </w:p>
    <w:p w:rsidR="001C29BF" w:rsidRPr="008573C5" w:rsidRDefault="001C29BF" w:rsidP="00FA1327">
      <w:pPr>
        <w:autoSpaceDE w:val="0"/>
        <w:autoSpaceDN w:val="0"/>
        <w:adjustRightInd w:val="0"/>
        <w:spacing w:line="360" w:lineRule="auto"/>
        <w:jc w:val="both"/>
        <w:rPr>
          <w:iCs/>
        </w:rPr>
      </w:pPr>
      <w:r w:rsidRPr="008573C5">
        <w:rPr>
          <w:iCs/>
        </w:rPr>
        <w:t xml:space="preserve">Daske, H. and Gebhadrt, G. ( 2006). </w:t>
      </w:r>
      <w:r w:rsidRPr="008573C5">
        <w:t xml:space="preserve">International Financial Reporting Standards and </w:t>
      </w:r>
      <w:r w:rsidR="00DF7BFA">
        <w:tab/>
      </w:r>
      <w:r w:rsidRPr="008573C5">
        <w:t xml:space="preserve">experts’ </w:t>
      </w:r>
      <w:r w:rsidR="00FA1327" w:rsidRPr="008573C5">
        <w:t>p</w:t>
      </w:r>
      <w:r w:rsidRPr="008573C5">
        <w:t xml:space="preserve">erceptions of disclosure quality. </w:t>
      </w:r>
      <w:r w:rsidRPr="008573C5">
        <w:rPr>
          <w:i/>
          <w:iCs/>
        </w:rPr>
        <w:t>ABACUS,</w:t>
      </w:r>
      <w:r w:rsidRPr="008573C5">
        <w:rPr>
          <w:iCs/>
        </w:rPr>
        <w:t xml:space="preserve"> 42 (4), 461- 498.</w:t>
      </w:r>
    </w:p>
    <w:p w:rsidR="001C29BF" w:rsidRPr="008573C5" w:rsidRDefault="001C29BF" w:rsidP="001E78A2">
      <w:pPr>
        <w:autoSpaceDE w:val="0"/>
        <w:autoSpaceDN w:val="0"/>
        <w:adjustRightInd w:val="0"/>
        <w:spacing w:line="360" w:lineRule="auto"/>
        <w:jc w:val="both"/>
        <w:rPr>
          <w:iCs/>
        </w:rPr>
      </w:pPr>
    </w:p>
    <w:p w:rsidR="004965AE" w:rsidRPr="008573C5" w:rsidRDefault="004965AE" w:rsidP="001E78A2">
      <w:pPr>
        <w:autoSpaceDE w:val="0"/>
        <w:autoSpaceDN w:val="0"/>
        <w:adjustRightInd w:val="0"/>
        <w:spacing w:line="360" w:lineRule="auto"/>
        <w:jc w:val="both"/>
      </w:pPr>
      <w:r w:rsidRPr="008573C5">
        <w:t xml:space="preserve">Deegan, C. (2004). Environmental disclosure and share prices – a discussion about </w:t>
      </w:r>
      <w:r w:rsidRPr="008573C5">
        <w:tab/>
        <w:t xml:space="preserve">efforts to study this relationship”, </w:t>
      </w:r>
      <w:r w:rsidRPr="008573C5">
        <w:rPr>
          <w:i/>
          <w:iCs/>
        </w:rPr>
        <w:t xml:space="preserve">Accounting Forum, </w:t>
      </w:r>
      <w:r w:rsidRPr="008573C5">
        <w:t>28 (1), 87-97.</w:t>
      </w:r>
    </w:p>
    <w:p w:rsidR="004965AE" w:rsidRPr="008573C5" w:rsidRDefault="004965AE" w:rsidP="001E78A2">
      <w:pPr>
        <w:autoSpaceDE w:val="0"/>
        <w:autoSpaceDN w:val="0"/>
        <w:adjustRightInd w:val="0"/>
        <w:spacing w:line="360" w:lineRule="auto"/>
        <w:jc w:val="both"/>
      </w:pPr>
    </w:p>
    <w:p w:rsidR="001C29BF" w:rsidRPr="008573C5" w:rsidRDefault="001C29BF" w:rsidP="00FA1327">
      <w:pPr>
        <w:autoSpaceDE w:val="0"/>
        <w:autoSpaceDN w:val="0"/>
        <w:adjustRightInd w:val="0"/>
        <w:spacing w:line="360" w:lineRule="auto"/>
        <w:jc w:val="both"/>
      </w:pPr>
      <w:r w:rsidRPr="008573C5">
        <w:t xml:space="preserve">Depoers, F. (2000). A cost benefit study of voluntary disclosure: Some empirical </w:t>
      </w:r>
      <w:r w:rsidR="00DF7BFA">
        <w:tab/>
      </w:r>
      <w:r w:rsidRPr="008573C5">
        <w:t xml:space="preserve">evidence from French listed companies. </w:t>
      </w:r>
      <w:r w:rsidRPr="008573C5">
        <w:rPr>
          <w:i/>
          <w:iCs/>
        </w:rPr>
        <w:t xml:space="preserve">European Accounting Review, </w:t>
      </w:r>
      <w:r w:rsidRPr="008573C5">
        <w:t xml:space="preserve">9 (2), </w:t>
      </w:r>
      <w:r w:rsidR="00DF7BFA">
        <w:tab/>
      </w:r>
      <w:r w:rsidRPr="008573C5">
        <w:t>245-263.</w:t>
      </w:r>
    </w:p>
    <w:p w:rsidR="001C29BF" w:rsidRPr="008573C5" w:rsidRDefault="001C29BF" w:rsidP="001E78A2">
      <w:pPr>
        <w:autoSpaceDE w:val="0"/>
        <w:autoSpaceDN w:val="0"/>
        <w:adjustRightInd w:val="0"/>
        <w:spacing w:line="360" w:lineRule="auto"/>
        <w:ind w:left="720"/>
        <w:jc w:val="both"/>
      </w:pPr>
    </w:p>
    <w:p w:rsidR="001C29BF" w:rsidRPr="008573C5" w:rsidRDefault="001C29BF" w:rsidP="001E78A2">
      <w:pPr>
        <w:autoSpaceDE w:val="0"/>
        <w:autoSpaceDN w:val="0"/>
        <w:adjustRightInd w:val="0"/>
        <w:spacing w:line="360" w:lineRule="auto"/>
        <w:jc w:val="both"/>
      </w:pPr>
      <w:r w:rsidRPr="008573C5">
        <w:t xml:space="preserve">Dhaliwal, D.S. (1980). Improving the quality of corporate financial disclosure. </w:t>
      </w:r>
      <w:r w:rsidR="00DF7BFA">
        <w:tab/>
      </w:r>
      <w:r w:rsidRPr="008573C5">
        <w:rPr>
          <w:i/>
        </w:rPr>
        <w:t>Accounting and Business Research,</w:t>
      </w:r>
      <w:r w:rsidRPr="008573C5">
        <w:t xml:space="preserve"> 10 (40), 385-391.</w:t>
      </w:r>
    </w:p>
    <w:p w:rsidR="001C29BF" w:rsidRPr="008573C5" w:rsidRDefault="001C29BF" w:rsidP="001E78A2">
      <w:pPr>
        <w:autoSpaceDE w:val="0"/>
        <w:autoSpaceDN w:val="0"/>
        <w:adjustRightInd w:val="0"/>
        <w:spacing w:line="360" w:lineRule="auto"/>
        <w:jc w:val="both"/>
      </w:pPr>
    </w:p>
    <w:p w:rsidR="00D15C30" w:rsidRPr="008573C5" w:rsidRDefault="00D15C30" w:rsidP="00FA1327">
      <w:pPr>
        <w:autoSpaceDE w:val="0"/>
        <w:autoSpaceDN w:val="0"/>
        <w:adjustRightInd w:val="0"/>
        <w:spacing w:line="360" w:lineRule="auto"/>
        <w:jc w:val="both"/>
      </w:pPr>
      <w:r w:rsidRPr="008573C5">
        <w:t xml:space="preserve">Eng, L. L. and Mak, Y. T. (2003). Corporate governance and voluntary disclosure. </w:t>
      </w:r>
      <w:r w:rsidR="00DF7BFA">
        <w:tab/>
      </w:r>
      <w:r w:rsidRPr="008573C5">
        <w:rPr>
          <w:i/>
          <w:iCs/>
        </w:rPr>
        <w:t xml:space="preserve">Journal of Accounting and Public Policy, </w:t>
      </w:r>
      <w:r w:rsidRPr="008573C5">
        <w:rPr>
          <w:iCs/>
        </w:rPr>
        <w:t xml:space="preserve"> </w:t>
      </w:r>
      <w:r w:rsidRPr="008573C5">
        <w:t>22 (4), 325–345.</w:t>
      </w:r>
    </w:p>
    <w:p w:rsidR="00D15C30" w:rsidRPr="008573C5" w:rsidRDefault="00D15C30" w:rsidP="001E78A2">
      <w:pPr>
        <w:autoSpaceDE w:val="0"/>
        <w:autoSpaceDN w:val="0"/>
        <w:adjustRightInd w:val="0"/>
        <w:spacing w:line="360" w:lineRule="auto"/>
        <w:jc w:val="both"/>
      </w:pPr>
    </w:p>
    <w:p w:rsidR="00D15C30" w:rsidRPr="008573C5" w:rsidRDefault="00D15C30" w:rsidP="00FA1327">
      <w:pPr>
        <w:autoSpaceDE w:val="0"/>
        <w:autoSpaceDN w:val="0"/>
        <w:adjustRightInd w:val="0"/>
        <w:spacing w:line="360" w:lineRule="auto"/>
        <w:jc w:val="both"/>
      </w:pPr>
      <w:r w:rsidRPr="008573C5">
        <w:t xml:space="preserve">Entwistle, G. M. (1999). Exploring the R&amp;D Disclosure Environment. </w:t>
      </w:r>
      <w:r w:rsidRPr="008573C5">
        <w:rPr>
          <w:i/>
          <w:iCs/>
        </w:rPr>
        <w:t xml:space="preserve">Accounting </w:t>
      </w:r>
      <w:r w:rsidR="00DF7BFA">
        <w:rPr>
          <w:i/>
          <w:iCs/>
        </w:rPr>
        <w:tab/>
      </w:r>
      <w:r w:rsidRPr="008573C5">
        <w:rPr>
          <w:i/>
          <w:iCs/>
        </w:rPr>
        <w:t xml:space="preserve">Horizons, </w:t>
      </w:r>
      <w:r w:rsidRPr="008573C5">
        <w:t>13 (4), 323-341.</w:t>
      </w:r>
    </w:p>
    <w:p w:rsidR="00C96322" w:rsidRPr="008573C5" w:rsidRDefault="00C96322" w:rsidP="001E78A2">
      <w:pPr>
        <w:autoSpaceDE w:val="0"/>
        <w:autoSpaceDN w:val="0"/>
        <w:adjustRightInd w:val="0"/>
        <w:spacing w:line="360" w:lineRule="auto"/>
        <w:jc w:val="both"/>
      </w:pPr>
    </w:p>
    <w:p w:rsidR="001C29BF" w:rsidRPr="008573C5" w:rsidRDefault="001C29BF" w:rsidP="00FA1327">
      <w:pPr>
        <w:autoSpaceDE w:val="0"/>
        <w:autoSpaceDN w:val="0"/>
        <w:adjustRightInd w:val="0"/>
        <w:spacing w:line="360" w:lineRule="auto"/>
        <w:jc w:val="both"/>
      </w:pPr>
      <w:r w:rsidRPr="008573C5">
        <w:t xml:space="preserve">Ferguson, M. J., Lam, K.C.K. and Lee, G.M. (2002). Voluntary disclosure by state </w:t>
      </w:r>
      <w:r w:rsidR="00DF7BFA">
        <w:tab/>
      </w:r>
      <w:r w:rsidRPr="008573C5">
        <w:t xml:space="preserve">owned </w:t>
      </w:r>
      <w:r w:rsidR="00FA1327" w:rsidRPr="008573C5">
        <w:tab/>
      </w:r>
      <w:r w:rsidRPr="008573C5">
        <w:t xml:space="preserve">enterprises listed on the stock exchange of Hong Kong, </w:t>
      </w:r>
      <w:r w:rsidRPr="008573C5">
        <w:rPr>
          <w:i/>
        </w:rPr>
        <w:t xml:space="preserve">Journal of </w:t>
      </w:r>
      <w:r w:rsidR="00DF7BFA">
        <w:rPr>
          <w:i/>
        </w:rPr>
        <w:tab/>
      </w:r>
      <w:r w:rsidRPr="008573C5">
        <w:rPr>
          <w:i/>
        </w:rPr>
        <w:t xml:space="preserve">International </w:t>
      </w:r>
      <w:r w:rsidR="00FA1327" w:rsidRPr="008573C5">
        <w:rPr>
          <w:i/>
        </w:rPr>
        <w:tab/>
      </w:r>
      <w:r w:rsidRPr="008573C5">
        <w:rPr>
          <w:i/>
        </w:rPr>
        <w:t xml:space="preserve">Financial Management and Accounting, </w:t>
      </w:r>
      <w:r w:rsidRPr="008573C5">
        <w:t>13 (2), 125-152.</w:t>
      </w:r>
    </w:p>
    <w:p w:rsidR="001C29BF" w:rsidRPr="008573C5" w:rsidRDefault="001C29BF" w:rsidP="001E78A2">
      <w:pPr>
        <w:autoSpaceDE w:val="0"/>
        <w:autoSpaceDN w:val="0"/>
        <w:adjustRightInd w:val="0"/>
        <w:spacing w:line="360" w:lineRule="auto"/>
        <w:jc w:val="both"/>
        <w:rPr>
          <w:iCs/>
        </w:rPr>
      </w:pPr>
    </w:p>
    <w:p w:rsidR="001C29BF" w:rsidRPr="008573C5" w:rsidRDefault="001C29BF" w:rsidP="00FA1327">
      <w:pPr>
        <w:autoSpaceDE w:val="0"/>
        <w:autoSpaceDN w:val="0"/>
        <w:adjustRightInd w:val="0"/>
        <w:spacing w:line="360" w:lineRule="auto"/>
        <w:jc w:val="both"/>
      </w:pPr>
      <w:r w:rsidRPr="008573C5">
        <w:t>Firth, M. (1979). The impact of size, stock market listing, and auditors on</w:t>
      </w:r>
      <w:r w:rsidR="00FA1327" w:rsidRPr="008573C5">
        <w:t xml:space="preserve"> </w:t>
      </w:r>
      <w:r w:rsidRPr="008573C5">
        <w:t xml:space="preserve">voluntary </w:t>
      </w:r>
      <w:r w:rsidR="00FA1327" w:rsidRPr="008573C5">
        <w:tab/>
      </w:r>
      <w:r w:rsidRPr="008573C5">
        <w:t xml:space="preserve">disclosure in corporate annual reports. </w:t>
      </w:r>
      <w:r w:rsidRPr="008573C5">
        <w:rPr>
          <w:i/>
          <w:iCs/>
        </w:rPr>
        <w:t xml:space="preserve">Accounting and Business Research, </w:t>
      </w:r>
      <w:r w:rsidR="00DF7BFA">
        <w:rPr>
          <w:i/>
          <w:iCs/>
        </w:rPr>
        <w:tab/>
      </w:r>
      <w:r w:rsidRPr="008573C5">
        <w:rPr>
          <w:iCs/>
        </w:rPr>
        <w:t xml:space="preserve">Autumn, </w:t>
      </w:r>
      <w:r w:rsidRPr="008573C5">
        <w:t>273-280.</w:t>
      </w:r>
    </w:p>
    <w:p w:rsidR="001C29BF" w:rsidRPr="008573C5" w:rsidRDefault="001C29BF" w:rsidP="001E78A2">
      <w:pPr>
        <w:autoSpaceDE w:val="0"/>
        <w:autoSpaceDN w:val="0"/>
        <w:adjustRightInd w:val="0"/>
        <w:spacing w:line="360" w:lineRule="auto"/>
        <w:jc w:val="both"/>
        <w:rPr>
          <w:iCs/>
        </w:rPr>
      </w:pPr>
    </w:p>
    <w:p w:rsidR="001C29BF" w:rsidRPr="008573C5" w:rsidRDefault="001C29BF" w:rsidP="00FA1327">
      <w:pPr>
        <w:autoSpaceDE w:val="0"/>
        <w:autoSpaceDN w:val="0"/>
        <w:adjustRightInd w:val="0"/>
        <w:spacing w:line="360" w:lineRule="auto"/>
        <w:jc w:val="both"/>
      </w:pPr>
      <w:r w:rsidRPr="008573C5">
        <w:rPr>
          <w:iCs/>
        </w:rPr>
        <w:t>Fremgen, J.M. (1963). “Corporate reporting and investment decisions” by A.R. Cerf.</w:t>
      </w:r>
      <w:r w:rsidRPr="008573C5">
        <w:t xml:space="preserve"> </w:t>
      </w:r>
      <w:r w:rsidR="00DF7BFA">
        <w:tab/>
      </w:r>
      <w:r w:rsidRPr="008573C5">
        <w:t>Book</w:t>
      </w:r>
      <w:r w:rsidR="00DF7BFA">
        <w:t xml:space="preserve"> </w:t>
      </w:r>
      <w:r w:rsidRPr="008573C5">
        <w:t xml:space="preserve"> review in </w:t>
      </w:r>
      <w:r w:rsidRPr="008573C5">
        <w:rPr>
          <w:i/>
          <w:iCs/>
        </w:rPr>
        <w:t>The Journal of Business</w:t>
      </w:r>
      <w:r w:rsidRPr="008573C5">
        <w:t>, 36 (4), 465-467.</w:t>
      </w:r>
    </w:p>
    <w:p w:rsidR="001C29BF" w:rsidRPr="008573C5" w:rsidRDefault="001C29BF" w:rsidP="001E78A2">
      <w:pPr>
        <w:autoSpaceDE w:val="0"/>
        <w:autoSpaceDN w:val="0"/>
        <w:adjustRightInd w:val="0"/>
        <w:spacing w:line="360" w:lineRule="auto"/>
        <w:jc w:val="both"/>
      </w:pPr>
    </w:p>
    <w:p w:rsidR="001C29BF" w:rsidRPr="008573C5" w:rsidRDefault="001C29BF" w:rsidP="00FA1327">
      <w:pPr>
        <w:autoSpaceDE w:val="0"/>
        <w:autoSpaceDN w:val="0"/>
        <w:adjustRightInd w:val="0"/>
        <w:spacing w:line="360" w:lineRule="auto"/>
        <w:jc w:val="both"/>
      </w:pPr>
      <w:r w:rsidRPr="008573C5">
        <w:t xml:space="preserve">Glaum, M. and Street, D. (2003). Compliance with the disclosure requirement of </w:t>
      </w:r>
      <w:r w:rsidR="00DF7BFA">
        <w:tab/>
      </w:r>
      <w:r w:rsidRPr="008573C5">
        <w:t xml:space="preserve">German’s new market, IAS Versus US GAAP. </w:t>
      </w:r>
      <w:r w:rsidRPr="008573C5">
        <w:rPr>
          <w:i/>
        </w:rPr>
        <w:t xml:space="preserve">Journal of International </w:t>
      </w:r>
      <w:r w:rsidR="00DF7BFA">
        <w:rPr>
          <w:i/>
        </w:rPr>
        <w:tab/>
      </w:r>
      <w:r w:rsidRPr="008573C5">
        <w:rPr>
          <w:i/>
        </w:rPr>
        <w:t>Financial Management and Accounting,</w:t>
      </w:r>
      <w:r w:rsidRPr="008573C5">
        <w:t xml:space="preserve"> 14(1), 64-100.</w:t>
      </w:r>
    </w:p>
    <w:p w:rsidR="001C29BF" w:rsidRPr="008573C5" w:rsidRDefault="001C29BF" w:rsidP="001E78A2">
      <w:pPr>
        <w:autoSpaceDE w:val="0"/>
        <w:autoSpaceDN w:val="0"/>
        <w:adjustRightInd w:val="0"/>
        <w:spacing w:line="360" w:lineRule="auto"/>
        <w:jc w:val="both"/>
      </w:pPr>
    </w:p>
    <w:p w:rsidR="001C29BF" w:rsidRPr="008573C5" w:rsidRDefault="001C29BF" w:rsidP="00FA1327">
      <w:pPr>
        <w:autoSpaceDE w:val="0"/>
        <w:autoSpaceDN w:val="0"/>
        <w:adjustRightInd w:val="0"/>
        <w:spacing w:line="360" w:lineRule="auto"/>
        <w:jc w:val="both"/>
      </w:pPr>
      <w:r w:rsidRPr="008573C5">
        <w:t xml:space="preserve">Gordon, M. (1964).  Postulates, principles and research in accounting. </w:t>
      </w:r>
      <w:r w:rsidRPr="008573C5">
        <w:rPr>
          <w:i/>
          <w:iCs/>
        </w:rPr>
        <w:t xml:space="preserve">The Accounting  </w:t>
      </w:r>
      <w:r w:rsidR="00FA1327" w:rsidRPr="008573C5">
        <w:rPr>
          <w:i/>
          <w:iCs/>
        </w:rPr>
        <w:tab/>
      </w:r>
      <w:r w:rsidRPr="008573C5">
        <w:rPr>
          <w:i/>
          <w:iCs/>
        </w:rPr>
        <w:t>Review</w:t>
      </w:r>
      <w:r w:rsidRPr="008573C5">
        <w:t>, 39 (2), 251–263.</w:t>
      </w:r>
    </w:p>
    <w:p w:rsidR="001C29BF" w:rsidRPr="008573C5" w:rsidRDefault="001C29BF" w:rsidP="001E78A2">
      <w:pPr>
        <w:autoSpaceDE w:val="0"/>
        <w:autoSpaceDN w:val="0"/>
        <w:adjustRightInd w:val="0"/>
        <w:spacing w:line="360" w:lineRule="auto"/>
        <w:ind w:firstLine="720"/>
        <w:jc w:val="both"/>
      </w:pPr>
    </w:p>
    <w:p w:rsidR="001C29BF" w:rsidRPr="008573C5" w:rsidRDefault="001C29BF" w:rsidP="00FA1327">
      <w:pPr>
        <w:autoSpaceDE w:val="0"/>
        <w:autoSpaceDN w:val="0"/>
        <w:adjustRightInd w:val="0"/>
        <w:spacing w:line="360" w:lineRule="auto"/>
        <w:jc w:val="both"/>
      </w:pPr>
      <w:r w:rsidRPr="008573C5">
        <w:t xml:space="preserve">Guttman, I., Kadam, O. and Kandel, E. (2006). </w:t>
      </w:r>
      <w:r w:rsidRPr="008573C5">
        <w:rPr>
          <w:bCs/>
        </w:rPr>
        <w:t xml:space="preserve">A rational expectations theory of </w:t>
      </w:r>
      <w:r w:rsidR="00DF7BFA">
        <w:rPr>
          <w:bCs/>
        </w:rPr>
        <w:tab/>
      </w:r>
      <w:r w:rsidRPr="008573C5">
        <w:rPr>
          <w:bCs/>
        </w:rPr>
        <w:t xml:space="preserve">kinks in financial reporting”, </w:t>
      </w:r>
      <w:r w:rsidRPr="008573C5">
        <w:rPr>
          <w:i/>
          <w:iCs/>
        </w:rPr>
        <w:t>The Accounting Review</w:t>
      </w:r>
      <w:r w:rsidRPr="008573C5">
        <w:t>,  81 (4), 811–848.</w:t>
      </w:r>
    </w:p>
    <w:p w:rsidR="001C29BF" w:rsidRPr="008573C5" w:rsidRDefault="001C29BF" w:rsidP="001E78A2">
      <w:pPr>
        <w:autoSpaceDE w:val="0"/>
        <w:autoSpaceDN w:val="0"/>
        <w:adjustRightInd w:val="0"/>
        <w:spacing w:line="360" w:lineRule="auto"/>
        <w:ind w:left="720"/>
        <w:jc w:val="both"/>
      </w:pPr>
    </w:p>
    <w:p w:rsidR="001C29BF" w:rsidRPr="008573C5" w:rsidRDefault="001C29BF" w:rsidP="001E78A2">
      <w:pPr>
        <w:autoSpaceDE w:val="0"/>
        <w:autoSpaceDN w:val="0"/>
        <w:adjustRightInd w:val="0"/>
        <w:spacing w:line="360" w:lineRule="auto"/>
        <w:jc w:val="both"/>
      </w:pPr>
      <w:r w:rsidRPr="008573C5">
        <w:t xml:space="preserve">Haniffa, R.M and Cooke, T.E. (2002). Culture, corporate governance and disclosure </w:t>
      </w:r>
      <w:r w:rsidR="00DF7BFA">
        <w:tab/>
      </w:r>
      <w:r w:rsidRPr="008573C5">
        <w:t xml:space="preserve">in Malaysian corporations. </w:t>
      </w:r>
      <w:r w:rsidRPr="008573C5">
        <w:rPr>
          <w:i/>
        </w:rPr>
        <w:t xml:space="preserve">Abacus, </w:t>
      </w:r>
      <w:r w:rsidRPr="008573C5">
        <w:t>38 (3), 317-349.</w:t>
      </w:r>
    </w:p>
    <w:p w:rsidR="001C29BF" w:rsidRPr="008573C5" w:rsidRDefault="001C29BF" w:rsidP="001E78A2">
      <w:pPr>
        <w:autoSpaceDE w:val="0"/>
        <w:autoSpaceDN w:val="0"/>
        <w:adjustRightInd w:val="0"/>
        <w:spacing w:line="360" w:lineRule="auto"/>
        <w:jc w:val="both"/>
      </w:pPr>
    </w:p>
    <w:p w:rsidR="001C29BF" w:rsidRPr="008573C5" w:rsidRDefault="001C29BF" w:rsidP="00FA1327">
      <w:pPr>
        <w:autoSpaceDE w:val="0"/>
        <w:autoSpaceDN w:val="0"/>
        <w:adjustRightInd w:val="0"/>
        <w:spacing w:line="360" w:lineRule="auto"/>
        <w:jc w:val="both"/>
      </w:pPr>
      <w:r w:rsidRPr="008573C5">
        <w:t xml:space="preserve">Ho, S. and Wong, K. S. (2001). A study of the relationship between corporate </w:t>
      </w:r>
      <w:r w:rsidR="00DF7BFA">
        <w:tab/>
      </w:r>
      <w:r w:rsidRPr="008573C5">
        <w:t xml:space="preserve">governance </w:t>
      </w:r>
      <w:r w:rsidR="00FA1327" w:rsidRPr="008573C5">
        <w:t>s</w:t>
      </w:r>
      <w:r w:rsidRPr="008573C5">
        <w:t xml:space="preserve">tructures and the extent of voluntary disclosure. </w:t>
      </w:r>
      <w:r w:rsidRPr="008573C5">
        <w:rPr>
          <w:i/>
          <w:iCs/>
        </w:rPr>
        <w:t xml:space="preserve">Journal of </w:t>
      </w:r>
      <w:r w:rsidR="00DF7BFA">
        <w:rPr>
          <w:i/>
          <w:iCs/>
        </w:rPr>
        <w:tab/>
      </w:r>
      <w:r w:rsidRPr="008573C5">
        <w:rPr>
          <w:i/>
          <w:iCs/>
        </w:rPr>
        <w:t xml:space="preserve">International Accounting, Auditing &amp; Taxation, </w:t>
      </w:r>
      <w:r w:rsidRPr="008573C5">
        <w:t>10 (2), 139-156.</w:t>
      </w:r>
    </w:p>
    <w:p w:rsidR="001C29BF" w:rsidRPr="008573C5" w:rsidRDefault="001C29BF" w:rsidP="001E78A2">
      <w:pPr>
        <w:autoSpaceDE w:val="0"/>
        <w:autoSpaceDN w:val="0"/>
        <w:adjustRightInd w:val="0"/>
        <w:spacing w:line="360" w:lineRule="auto"/>
        <w:jc w:val="both"/>
        <w:rPr>
          <w:bCs/>
        </w:rPr>
      </w:pPr>
    </w:p>
    <w:p w:rsidR="001C29BF" w:rsidRPr="008573C5" w:rsidRDefault="003A4DBA" w:rsidP="001E78A2">
      <w:pPr>
        <w:autoSpaceDE w:val="0"/>
        <w:autoSpaceDN w:val="0"/>
        <w:adjustRightInd w:val="0"/>
        <w:spacing w:line="360" w:lineRule="auto"/>
        <w:jc w:val="both"/>
      </w:pPr>
      <w:r w:rsidRPr="008573C5">
        <w:rPr>
          <w:bCs/>
        </w:rPr>
        <w:t>Hughes, P.J.</w:t>
      </w:r>
      <w:r w:rsidR="001C29BF" w:rsidRPr="008573C5">
        <w:rPr>
          <w:bCs/>
        </w:rPr>
        <w:t xml:space="preserve"> </w:t>
      </w:r>
      <w:r w:rsidRPr="008573C5">
        <w:rPr>
          <w:bCs/>
        </w:rPr>
        <w:t>(</w:t>
      </w:r>
      <w:r w:rsidR="001C29BF" w:rsidRPr="008573C5">
        <w:rPr>
          <w:bCs/>
        </w:rPr>
        <w:t>1986</w:t>
      </w:r>
      <w:r w:rsidRPr="008573C5">
        <w:rPr>
          <w:bCs/>
        </w:rPr>
        <w:t>)</w:t>
      </w:r>
      <w:r w:rsidR="001C29BF" w:rsidRPr="008573C5">
        <w:rPr>
          <w:bCs/>
        </w:rPr>
        <w:t xml:space="preserve">. Signalling by direct disclosure under asymmetric information. </w:t>
      </w:r>
      <w:r w:rsidR="00DF7BFA">
        <w:rPr>
          <w:bCs/>
        </w:rPr>
        <w:tab/>
      </w:r>
      <w:r w:rsidR="001C29BF" w:rsidRPr="008573C5">
        <w:rPr>
          <w:bCs/>
          <w:i/>
        </w:rPr>
        <w:t>Journal of Accounting and Economics</w:t>
      </w:r>
      <w:r w:rsidR="001C29BF" w:rsidRPr="008573C5">
        <w:rPr>
          <w:bCs/>
        </w:rPr>
        <w:t>, 119-142.</w:t>
      </w:r>
    </w:p>
    <w:p w:rsidR="001C29BF" w:rsidRPr="008573C5" w:rsidRDefault="001C29BF" w:rsidP="001E78A2">
      <w:pPr>
        <w:autoSpaceDE w:val="0"/>
        <w:autoSpaceDN w:val="0"/>
        <w:adjustRightInd w:val="0"/>
        <w:spacing w:line="360" w:lineRule="auto"/>
        <w:jc w:val="both"/>
      </w:pPr>
    </w:p>
    <w:p w:rsidR="001C29BF" w:rsidRPr="008573C5" w:rsidRDefault="001C29BF" w:rsidP="00FA1327">
      <w:pPr>
        <w:autoSpaceDE w:val="0"/>
        <w:autoSpaceDN w:val="0"/>
        <w:adjustRightInd w:val="0"/>
        <w:spacing w:line="360" w:lineRule="auto"/>
        <w:jc w:val="both"/>
      </w:pPr>
      <w:r w:rsidRPr="008573C5">
        <w:t>Iatridis, G.</w:t>
      </w:r>
      <w:r w:rsidR="003A4DBA" w:rsidRPr="008573C5">
        <w:t xml:space="preserve"> </w:t>
      </w:r>
      <w:r w:rsidRPr="008573C5">
        <w:t xml:space="preserve">(2008). Accounting disclosure and firms' financial attributes: Evidence </w:t>
      </w:r>
      <w:r w:rsidR="00DF7BFA">
        <w:tab/>
      </w:r>
      <w:r w:rsidRPr="008573C5">
        <w:t xml:space="preserve">from the UK stock market.  </w:t>
      </w:r>
      <w:r w:rsidRPr="008573C5">
        <w:rPr>
          <w:i/>
        </w:rPr>
        <w:t xml:space="preserve">International Review of Financial Analysis, </w:t>
      </w:r>
      <w:r w:rsidRPr="008573C5">
        <w:t xml:space="preserve">17 </w:t>
      </w:r>
      <w:r w:rsidR="00DF7BFA">
        <w:tab/>
      </w:r>
      <w:r w:rsidRPr="008573C5">
        <w:t>(2), 219-241.</w:t>
      </w:r>
    </w:p>
    <w:p w:rsidR="001C29BF" w:rsidRPr="008573C5" w:rsidRDefault="001C29BF" w:rsidP="001E78A2">
      <w:pPr>
        <w:autoSpaceDE w:val="0"/>
        <w:autoSpaceDN w:val="0"/>
        <w:adjustRightInd w:val="0"/>
        <w:spacing w:line="360" w:lineRule="auto"/>
        <w:jc w:val="both"/>
      </w:pPr>
    </w:p>
    <w:p w:rsidR="001C29BF" w:rsidRPr="008573C5" w:rsidRDefault="001C29BF" w:rsidP="00FA1327">
      <w:pPr>
        <w:autoSpaceDE w:val="0"/>
        <w:autoSpaceDN w:val="0"/>
        <w:adjustRightInd w:val="0"/>
        <w:spacing w:line="360" w:lineRule="auto"/>
        <w:jc w:val="both"/>
      </w:pPr>
      <w:r w:rsidRPr="008573C5">
        <w:t xml:space="preserve">Inchausti, B. G. (1997). The influence of company characteristics and accounting </w:t>
      </w:r>
      <w:r w:rsidR="00DF7BFA">
        <w:tab/>
      </w:r>
      <w:r w:rsidRPr="008573C5">
        <w:t xml:space="preserve">regulation on information disclosed by Spanish firms. </w:t>
      </w:r>
      <w:r w:rsidRPr="008573C5">
        <w:rPr>
          <w:i/>
        </w:rPr>
        <w:t xml:space="preserve">The European </w:t>
      </w:r>
      <w:r w:rsidR="00DF7BFA">
        <w:rPr>
          <w:i/>
        </w:rPr>
        <w:tab/>
      </w:r>
      <w:r w:rsidRPr="008573C5">
        <w:rPr>
          <w:i/>
        </w:rPr>
        <w:t>Accounting Review,</w:t>
      </w:r>
      <w:r w:rsidRPr="008573C5">
        <w:t xml:space="preserve"> 6 (1), </w:t>
      </w:r>
      <w:r w:rsidR="00FA1327" w:rsidRPr="008573C5">
        <w:tab/>
      </w:r>
      <w:r w:rsidRPr="008573C5">
        <w:t>45 – 68.</w:t>
      </w:r>
    </w:p>
    <w:p w:rsidR="001C29BF" w:rsidRPr="008573C5" w:rsidRDefault="001C29BF" w:rsidP="001E78A2">
      <w:pPr>
        <w:autoSpaceDE w:val="0"/>
        <w:autoSpaceDN w:val="0"/>
        <w:adjustRightInd w:val="0"/>
        <w:spacing w:line="360" w:lineRule="auto"/>
        <w:ind w:left="720"/>
        <w:jc w:val="both"/>
      </w:pPr>
    </w:p>
    <w:p w:rsidR="001C29BF" w:rsidRPr="008573C5" w:rsidRDefault="001C29BF" w:rsidP="001E78A2">
      <w:pPr>
        <w:autoSpaceDE w:val="0"/>
        <w:autoSpaceDN w:val="0"/>
        <w:adjustRightInd w:val="0"/>
        <w:spacing w:line="360" w:lineRule="auto"/>
        <w:jc w:val="both"/>
        <w:rPr>
          <w:sz w:val="23"/>
          <w:szCs w:val="23"/>
        </w:rPr>
      </w:pPr>
      <w:r w:rsidRPr="008573C5">
        <w:rPr>
          <w:sz w:val="23"/>
          <w:szCs w:val="23"/>
        </w:rPr>
        <w:t>Imhoff, E. (1992). The relationship between perceived accounting quality and economic</w:t>
      </w:r>
      <w:r w:rsidRPr="008573C5">
        <w:rPr>
          <w:sz w:val="23"/>
          <w:szCs w:val="23"/>
        </w:rPr>
        <w:tab/>
        <w:t xml:space="preserve">characteristics of the firm. </w:t>
      </w:r>
      <w:r w:rsidRPr="008573C5">
        <w:rPr>
          <w:i/>
          <w:iCs/>
          <w:sz w:val="23"/>
          <w:szCs w:val="23"/>
        </w:rPr>
        <w:t>Journal of Accounting and Public Policy, 3</w:t>
      </w:r>
      <w:r w:rsidRPr="008573C5">
        <w:rPr>
          <w:sz w:val="23"/>
          <w:szCs w:val="23"/>
        </w:rPr>
        <w:t>, 97-118.</w:t>
      </w:r>
    </w:p>
    <w:p w:rsidR="001C29BF" w:rsidRPr="008573C5" w:rsidRDefault="001C29BF" w:rsidP="001E78A2">
      <w:pPr>
        <w:autoSpaceDE w:val="0"/>
        <w:autoSpaceDN w:val="0"/>
        <w:adjustRightInd w:val="0"/>
        <w:spacing w:line="360" w:lineRule="auto"/>
        <w:jc w:val="both"/>
      </w:pPr>
    </w:p>
    <w:p w:rsidR="001C29BF" w:rsidRPr="008573C5" w:rsidRDefault="001C29BF" w:rsidP="00FA1327">
      <w:pPr>
        <w:autoSpaceDE w:val="0"/>
        <w:autoSpaceDN w:val="0"/>
        <w:adjustRightInd w:val="0"/>
        <w:spacing w:line="360" w:lineRule="auto"/>
        <w:jc w:val="both"/>
      </w:pPr>
      <w:r w:rsidRPr="008573C5">
        <w:t>Joshi P.L. and Ramadhan, S. (2002). The adoption of International Accounting</w:t>
      </w:r>
      <w:r w:rsidR="00FA1327" w:rsidRPr="008573C5">
        <w:t xml:space="preserve"> </w:t>
      </w:r>
      <w:r w:rsidR="00DF7BFA">
        <w:tab/>
      </w:r>
      <w:r w:rsidRPr="008573C5">
        <w:t xml:space="preserve">Standards by </w:t>
      </w:r>
      <w:r w:rsidR="00FA1327" w:rsidRPr="008573C5">
        <w:tab/>
      </w:r>
      <w:r w:rsidRPr="008573C5">
        <w:t>small and closely held companies: Evidence from Bahrain.</w:t>
      </w:r>
      <w:r w:rsidRPr="008573C5">
        <w:rPr>
          <w:i/>
        </w:rPr>
        <w:t xml:space="preserve"> The </w:t>
      </w:r>
      <w:r w:rsidR="00DF7BFA">
        <w:rPr>
          <w:i/>
        </w:rPr>
        <w:tab/>
      </w:r>
      <w:r w:rsidRPr="008573C5">
        <w:rPr>
          <w:i/>
        </w:rPr>
        <w:t xml:space="preserve">International Journal </w:t>
      </w:r>
      <w:r w:rsidR="00FA1327" w:rsidRPr="008573C5">
        <w:rPr>
          <w:i/>
        </w:rPr>
        <w:tab/>
      </w:r>
      <w:r w:rsidRPr="008573C5">
        <w:rPr>
          <w:i/>
        </w:rPr>
        <w:t>of Accounting</w:t>
      </w:r>
      <w:r w:rsidRPr="008573C5">
        <w:t>, 37,</w:t>
      </w:r>
      <w:r w:rsidR="004B529C" w:rsidRPr="008573C5">
        <w:t xml:space="preserve"> </w:t>
      </w:r>
      <w:r w:rsidRPr="008573C5">
        <w:t>429–440.</w:t>
      </w:r>
    </w:p>
    <w:p w:rsidR="001C29BF" w:rsidRPr="008573C5" w:rsidRDefault="001C29BF" w:rsidP="001E78A2">
      <w:pPr>
        <w:autoSpaceDE w:val="0"/>
        <w:autoSpaceDN w:val="0"/>
        <w:adjustRightInd w:val="0"/>
        <w:spacing w:line="360" w:lineRule="auto"/>
        <w:jc w:val="both"/>
        <w:rPr>
          <w:rFonts w:ascii="TimesNewRomanPS-BoldMT" w:hAnsi="TimesNewRomanPS-BoldMT" w:cs="TimesNewRomanPS-BoldMT"/>
          <w:b/>
          <w:bCs/>
          <w:sz w:val="28"/>
          <w:szCs w:val="28"/>
        </w:rPr>
      </w:pPr>
    </w:p>
    <w:p w:rsidR="001C29BF" w:rsidRPr="008573C5" w:rsidRDefault="001C29BF" w:rsidP="00FA1327">
      <w:pPr>
        <w:autoSpaceDE w:val="0"/>
        <w:autoSpaceDN w:val="0"/>
        <w:adjustRightInd w:val="0"/>
        <w:spacing w:line="360" w:lineRule="auto"/>
        <w:jc w:val="both"/>
      </w:pPr>
      <w:r w:rsidRPr="008573C5">
        <w:rPr>
          <w:bCs/>
        </w:rPr>
        <w:t xml:space="preserve">Jenson, M.C. (1983). </w:t>
      </w:r>
      <w:r w:rsidRPr="008573C5">
        <w:t xml:space="preserve">Organization theory and methodology. </w:t>
      </w:r>
      <w:r w:rsidRPr="008573C5">
        <w:rPr>
          <w:i/>
        </w:rPr>
        <w:t>The Accounting Review,</w:t>
      </w:r>
      <w:r w:rsidRPr="008573C5">
        <w:t xml:space="preserve"> </w:t>
      </w:r>
      <w:r w:rsidR="00DF7BFA">
        <w:tab/>
      </w:r>
      <w:r w:rsidRPr="008573C5">
        <w:t>58 ( 2), 319-339.</w:t>
      </w:r>
    </w:p>
    <w:p w:rsidR="001C29BF" w:rsidRPr="008573C5" w:rsidRDefault="001C29BF" w:rsidP="001E78A2">
      <w:pPr>
        <w:autoSpaceDE w:val="0"/>
        <w:autoSpaceDN w:val="0"/>
        <w:adjustRightInd w:val="0"/>
        <w:spacing w:line="360" w:lineRule="auto"/>
        <w:jc w:val="both"/>
        <w:rPr>
          <w:bCs/>
        </w:rPr>
      </w:pPr>
    </w:p>
    <w:p w:rsidR="001C29BF" w:rsidRPr="008573C5" w:rsidRDefault="001C29BF" w:rsidP="00E30E2F">
      <w:pPr>
        <w:autoSpaceDE w:val="0"/>
        <w:autoSpaceDN w:val="0"/>
        <w:adjustRightInd w:val="0"/>
        <w:spacing w:line="360" w:lineRule="auto"/>
        <w:jc w:val="both"/>
      </w:pPr>
      <w:r w:rsidRPr="008573C5">
        <w:rPr>
          <w:bCs/>
        </w:rPr>
        <w:t xml:space="preserve">Jenson, M.C and Meckling, W. H. (1976). Theory of the firm: managerial behavior, </w:t>
      </w:r>
      <w:r w:rsidR="00DF7BFA">
        <w:rPr>
          <w:bCs/>
        </w:rPr>
        <w:tab/>
      </w:r>
      <w:r w:rsidRPr="008573C5">
        <w:rPr>
          <w:bCs/>
        </w:rPr>
        <w:t xml:space="preserve">agency costs and ownership structure. </w:t>
      </w:r>
      <w:r w:rsidRPr="008573C5">
        <w:rPr>
          <w:i/>
          <w:iCs/>
        </w:rPr>
        <w:t xml:space="preserve">Journal of Financial Economics, </w:t>
      </w:r>
      <w:r w:rsidRPr="008573C5">
        <w:t xml:space="preserve">3 (4), </w:t>
      </w:r>
      <w:r w:rsidR="00DF7BFA">
        <w:tab/>
      </w:r>
      <w:r w:rsidRPr="008573C5">
        <w:t>305-360.</w:t>
      </w:r>
    </w:p>
    <w:p w:rsidR="001C29BF" w:rsidRPr="008573C5" w:rsidRDefault="001C29BF" w:rsidP="001E78A2">
      <w:pPr>
        <w:autoSpaceDE w:val="0"/>
        <w:autoSpaceDN w:val="0"/>
        <w:adjustRightInd w:val="0"/>
        <w:spacing w:line="360" w:lineRule="auto"/>
        <w:jc w:val="both"/>
        <w:rPr>
          <w:bCs/>
        </w:rPr>
      </w:pPr>
    </w:p>
    <w:p w:rsidR="001C29BF" w:rsidRPr="008573C5" w:rsidRDefault="001C29BF" w:rsidP="001E78A2">
      <w:pPr>
        <w:spacing w:before="100" w:beforeAutospacing="1" w:after="100" w:afterAutospacing="1" w:line="360" w:lineRule="auto"/>
        <w:jc w:val="both"/>
      </w:pPr>
      <w:r w:rsidRPr="008573C5">
        <w:t>Karim, A.K.M.W., Islam, A. and Chowdhury, A.</w:t>
      </w:r>
      <w:r w:rsidR="003A4DBA" w:rsidRPr="008573C5">
        <w:t xml:space="preserve"> </w:t>
      </w:r>
      <w:r w:rsidRPr="008573C5">
        <w:t xml:space="preserve">(1998). Financial reporting in </w:t>
      </w:r>
      <w:r w:rsidR="00DF7BFA">
        <w:tab/>
      </w:r>
      <w:r w:rsidRPr="008573C5">
        <w:t xml:space="preserve">Bangladesh: </w:t>
      </w:r>
      <w:r w:rsidR="00E30E2F" w:rsidRPr="008573C5">
        <w:tab/>
      </w:r>
      <w:r w:rsidRPr="008573C5">
        <w:t xml:space="preserve">The regulatory framework, </w:t>
      </w:r>
      <w:r w:rsidRPr="008573C5">
        <w:rPr>
          <w:rStyle w:val="Emphasis"/>
        </w:rPr>
        <w:t>Journal of Business Administration</w:t>
      </w:r>
      <w:r w:rsidRPr="008573C5">
        <w:t xml:space="preserve">,  </w:t>
      </w:r>
      <w:r w:rsidR="00DF7BFA">
        <w:tab/>
      </w:r>
      <w:r w:rsidRPr="008573C5">
        <w:t>24 (1 &amp;</w:t>
      </w:r>
      <w:r w:rsidR="00DF7BFA">
        <w:t xml:space="preserve"> </w:t>
      </w:r>
      <w:r w:rsidRPr="008573C5">
        <w:t xml:space="preserve">2), 57-88. </w:t>
      </w:r>
    </w:p>
    <w:p w:rsidR="001C29BF" w:rsidRPr="008573C5" w:rsidRDefault="001C29BF" w:rsidP="001E78A2">
      <w:pPr>
        <w:autoSpaceDE w:val="0"/>
        <w:autoSpaceDN w:val="0"/>
        <w:adjustRightInd w:val="0"/>
        <w:spacing w:line="360" w:lineRule="auto"/>
        <w:jc w:val="both"/>
        <w:rPr>
          <w:bCs/>
        </w:rPr>
      </w:pPr>
    </w:p>
    <w:p w:rsidR="001C29BF" w:rsidRPr="008573C5" w:rsidRDefault="001C29BF" w:rsidP="001E78A2">
      <w:pPr>
        <w:autoSpaceDE w:val="0"/>
        <w:autoSpaceDN w:val="0"/>
        <w:adjustRightInd w:val="0"/>
        <w:spacing w:line="360" w:lineRule="auto"/>
        <w:jc w:val="both"/>
        <w:rPr>
          <w:bCs/>
        </w:rPr>
      </w:pPr>
      <w:r w:rsidRPr="008573C5">
        <w:rPr>
          <w:bCs/>
        </w:rPr>
        <w:t xml:space="preserve">Lang, M and Lundholm, R. (1993). Cross sectional determinants of analyst rating of </w:t>
      </w:r>
      <w:r w:rsidRPr="008573C5">
        <w:rPr>
          <w:bCs/>
        </w:rPr>
        <w:tab/>
        <w:t xml:space="preserve">corporate disclosures. </w:t>
      </w:r>
      <w:r w:rsidRPr="008573C5">
        <w:rPr>
          <w:bCs/>
          <w:i/>
        </w:rPr>
        <w:t xml:space="preserve">Journal of Accounting Research, </w:t>
      </w:r>
      <w:r w:rsidRPr="008573C5">
        <w:rPr>
          <w:bCs/>
        </w:rPr>
        <w:t>31 (2), 246-271.</w:t>
      </w:r>
    </w:p>
    <w:p w:rsidR="001C29BF" w:rsidRPr="008573C5" w:rsidRDefault="001C29BF" w:rsidP="001E78A2">
      <w:pPr>
        <w:autoSpaceDE w:val="0"/>
        <w:autoSpaceDN w:val="0"/>
        <w:adjustRightInd w:val="0"/>
        <w:spacing w:line="360" w:lineRule="auto"/>
        <w:jc w:val="both"/>
        <w:rPr>
          <w:bCs/>
        </w:rPr>
      </w:pPr>
    </w:p>
    <w:p w:rsidR="001C29BF" w:rsidRPr="008573C5" w:rsidRDefault="001C29BF" w:rsidP="00E30E2F">
      <w:pPr>
        <w:autoSpaceDE w:val="0"/>
        <w:autoSpaceDN w:val="0"/>
        <w:adjustRightInd w:val="0"/>
        <w:spacing w:line="360" w:lineRule="auto"/>
        <w:jc w:val="both"/>
        <w:rPr>
          <w:bCs/>
        </w:rPr>
      </w:pPr>
      <w:r w:rsidRPr="008573C5">
        <w:rPr>
          <w:bCs/>
        </w:rPr>
        <w:t>Leftwich, R.W., Watts, R. and Zimmerman, J.</w:t>
      </w:r>
      <w:r w:rsidR="003A4DBA" w:rsidRPr="008573C5">
        <w:rPr>
          <w:bCs/>
        </w:rPr>
        <w:t xml:space="preserve"> </w:t>
      </w:r>
      <w:r w:rsidRPr="008573C5">
        <w:rPr>
          <w:bCs/>
        </w:rPr>
        <w:t xml:space="preserve">(1981). Voluntary corporate disclosure: </w:t>
      </w:r>
      <w:r w:rsidR="00DF7BFA">
        <w:rPr>
          <w:bCs/>
        </w:rPr>
        <w:tab/>
      </w:r>
      <w:r w:rsidRPr="008573C5">
        <w:rPr>
          <w:bCs/>
        </w:rPr>
        <w:t xml:space="preserve">The case of interim reporting. </w:t>
      </w:r>
      <w:r w:rsidRPr="008573C5">
        <w:rPr>
          <w:bCs/>
          <w:i/>
        </w:rPr>
        <w:t xml:space="preserve">Journal of Accounting Research, </w:t>
      </w:r>
      <w:r w:rsidRPr="008573C5">
        <w:rPr>
          <w:bCs/>
        </w:rPr>
        <w:t xml:space="preserve">19 </w:t>
      </w:r>
      <w:r w:rsidR="00DF7BFA">
        <w:rPr>
          <w:bCs/>
        </w:rPr>
        <w:tab/>
      </w:r>
      <w:r w:rsidRPr="008573C5">
        <w:rPr>
          <w:bCs/>
        </w:rPr>
        <w:t>(Supplement), 50-77.</w:t>
      </w:r>
    </w:p>
    <w:p w:rsidR="001C29BF" w:rsidRPr="008573C5" w:rsidRDefault="001C29BF" w:rsidP="001E78A2">
      <w:pPr>
        <w:autoSpaceDE w:val="0"/>
        <w:autoSpaceDN w:val="0"/>
        <w:adjustRightInd w:val="0"/>
        <w:spacing w:line="360" w:lineRule="auto"/>
        <w:jc w:val="both"/>
        <w:rPr>
          <w:bCs/>
        </w:rPr>
      </w:pPr>
    </w:p>
    <w:p w:rsidR="001C29BF" w:rsidRPr="008573C5" w:rsidRDefault="001C29BF" w:rsidP="00E30E2F">
      <w:pPr>
        <w:autoSpaceDE w:val="0"/>
        <w:autoSpaceDN w:val="0"/>
        <w:adjustRightInd w:val="0"/>
        <w:spacing w:line="360" w:lineRule="auto"/>
        <w:jc w:val="both"/>
        <w:rPr>
          <w:i/>
        </w:rPr>
      </w:pPr>
      <w:r w:rsidRPr="008573C5">
        <w:t xml:space="preserve">Lopes, P.T. and Rodrigues, L.L. (2007). Accounting for financial instruments: An </w:t>
      </w:r>
      <w:r w:rsidR="00DF7BFA">
        <w:tab/>
      </w:r>
      <w:r w:rsidRPr="008573C5">
        <w:t xml:space="preserve">analysis of </w:t>
      </w:r>
      <w:r w:rsidR="00E30E2F" w:rsidRPr="008573C5">
        <w:tab/>
      </w:r>
      <w:r w:rsidRPr="008573C5">
        <w:t xml:space="preserve">the determinants of disclosure in the Portuguese Stock </w:t>
      </w:r>
      <w:r w:rsidR="00DF7BFA">
        <w:tab/>
      </w:r>
      <w:r w:rsidRPr="008573C5">
        <w:t xml:space="preserve">Exchange”, </w:t>
      </w:r>
      <w:r w:rsidRPr="008573C5">
        <w:rPr>
          <w:i/>
        </w:rPr>
        <w:t xml:space="preserve">International Journal of Accounting, </w:t>
      </w:r>
      <w:r w:rsidRPr="008573C5">
        <w:t xml:space="preserve"> 42, 25-56.</w:t>
      </w:r>
    </w:p>
    <w:p w:rsidR="001C29BF" w:rsidRPr="008573C5" w:rsidRDefault="001C29BF" w:rsidP="001E78A2">
      <w:pPr>
        <w:autoSpaceDE w:val="0"/>
        <w:autoSpaceDN w:val="0"/>
        <w:adjustRightInd w:val="0"/>
        <w:spacing w:line="360" w:lineRule="auto"/>
        <w:jc w:val="both"/>
        <w:rPr>
          <w:rFonts w:ascii="AdvTT5843c571" w:hAnsi="AdvTT5843c571" w:cs="AdvTT5843c571"/>
          <w:sz w:val="20"/>
          <w:szCs w:val="20"/>
        </w:rPr>
      </w:pPr>
    </w:p>
    <w:p w:rsidR="001C29BF" w:rsidRPr="008573C5" w:rsidRDefault="001C29BF" w:rsidP="00E30E2F">
      <w:pPr>
        <w:autoSpaceDE w:val="0"/>
        <w:autoSpaceDN w:val="0"/>
        <w:adjustRightInd w:val="0"/>
        <w:spacing w:line="360" w:lineRule="auto"/>
        <w:jc w:val="both"/>
      </w:pPr>
      <w:r w:rsidRPr="008573C5">
        <w:t>Malone, D., Fries, C. and Jones, T. (1993), An empirical investigation of the extent</w:t>
      </w:r>
      <w:r w:rsidR="00E30E2F" w:rsidRPr="008573C5">
        <w:t xml:space="preserve"> </w:t>
      </w:r>
      <w:r w:rsidRPr="008573C5">
        <w:t xml:space="preserve">of  </w:t>
      </w:r>
      <w:r w:rsidR="00E30E2F" w:rsidRPr="008573C5">
        <w:tab/>
      </w:r>
      <w:r w:rsidRPr="008573C5">
        <w:t xml:space="preserve">corporate financial disclosure in the Oil and Gas industry. </w:t>
      </w:r>
      <w:r w:rsidRPr="008573C5">
        <w:rPr>
          <w:i/>
          <w:iCs/>
        </w:rPr>
        <w:t xml:space="preserve">Journal of </w:t>
      </w:r>
      <w:r w:rsidR="00DF7BFA">
        <w:rPr>
          <w:i/>
          <w:iCs/>
        </w:rPr>
        <w:tab/>
      </w:r>
      <w:r w:rsidRPr="008573C5">
        <w:rPr>
          <w:i/>
          <w:iCs/>
        </w:rPr>
        <w:t>Accounting, Auditing and Finance,</w:t>
      </w:r>
      <w:r w:rsidRPr="008573C5">
        <w:rPr>
          <w:iCs/>
        </w:rPr>
        <w:t xml:space="preserve"> </w:t>
      </w:r>
      <w:r w:rsidRPr="008573C5">
        <w:t>3( 3), 249-273.</w:t>
      </w:r>
    </w:p>
    <w:p w:rsidR="001C29BF" w:rsidRPr="008573C5" w:rsidRDefault="001C29BF" w:rsidP="001E78A2">
      <w:pPr>
        <w:autoSpaceDE w:val="0"/>
        <w:autoSpaceDN w:val="0"/>
        <w:adjustRightInd w:val="0"/>
        <w:spacing w:line="360" w:lineRule="auto"/>
        <w:jc w:val="both"/>
      </w:pPr>
    </w:p>
    <w:p w:rsidR="001C29BF" w:rsidRPr="008573C5" w:rsidRDefault="001C29BF" w:rsidP="00E30E2F">
      <w:pPr>
        <w:autoSpaceDE w:val="0"/>
        <w:autoSpaceDN w:val="0"/>
        <w:adjustRightInd w:val="0"/>
        <w:spacing w:line="360" w:lineRule="auto"/>
        <w:jc w:val="both"/>
      </w:pPr>
      <w:r w:rsidRPr="008573C5">
        <w:t xml:space="preserve">McNally, G. M., Eng, L. H. and Hasseldine, C. R. (1982). Corporate financial </w:t>
      </w:r>
      <w:r w:rsidR="00DF7BFA">
        <w:tab/>
      </w:r>
      <w:r w:rsidRPr="008573C5">
        <w:t xml:space="preserve">reporting in </w:t>
      </w:r>
      <w:r w:rsidR="00E30E2F" w:rsidRPr="008573C5">
        <w:tab/>
      </w:r>
      <w:r w:rsidRPr="008573C5">
        <w:t xml:space="preserve">New Zealand: An analysis of user preferences, corporate </w:t>
      </w:r>
      <w:r w:rsidR="00DF7BFA">
        <w:tab/>
      </w:r>
      <w:r w:rsidRPr="008573C5">
        <w:t xml:space="preserve">characteristics and </w:t>
      </w:r>
      <w:r w:rsidR="00E30E2F" w:rsidRPr="008573C5">
        <w:tab/>
      </w:r>
      <w:r w:rsidRPr="008573C5">
        <w:t xml:space="preserve">disclosure practices for discretionary information',  </w:t>
      </w:r>
      <w:r w:rsidR="00DF7BFA">
        <w:tab/>
      </w:r>
      <w:r w:rsidRPr="008573C5">
        <w:rPr>
          <w:bCs/>
          <w:i/>
          <w:iCs/>
        </w:rPr>
        <w:t xml:space="preserve">Accounting and Business </w:t>
      </w:r>
      <w:r w:rsidR="00E30E2F" w:rsidRPr="008573C5">
        <w:rPr>
          <w:bCs/>
          <w:i/>
          <w:iCs/>
        </w:rPr>
        <w:tab/>
      </w:r>
      <w:r w:rsidRPr="008573C5">
        <w:rPr>
          <w:bCs/>
          <w:i/>
          <w:iCs/>
        </w:rPr>
        <w:t>Research,</w:t>
      </w:r>
      <w:r w:rsidRPr="008573C5">
        <w:rPr>
          <w:bCs/>
        </w:rPr>
        <w:t>13 (Winter), 11-20.</w:t>
      </w:r>
    </w:p>
    <w:p w:rsidR="001C29BF" w:rsidRPr="008573C5" w:rsidRDefault="001C29BF" w:rsidP="001E78A2">
      <w:pPr>
        <w:autoSpaceDE w:val="0"/>
        <w:autoSpaceDN w:val="0"/>
        <w:adjustRightInd w:val="0"/>
        <w:spacing w:line="360" w:lineRule="auto"/>
        <w:jc w:val="both"/>
      </w:pPr>
    </w:p>
    <w:p w:rsidR="001C29BF" w:rsidRPr="008573C5" w:rsidRDefault="001C29BF" w:rsidP="00E30E2F">
      <w:pPr>
        <w:autoSpaceDE w:val="0"/>
        <w:autoSpaceDN w:val="0"/>
        <w:adjustRightInd w:val="0"/>
        <w:spacing w:line="360" w:lineRule="auto"/>
        <w:jc w:val="both"/>
      </w:pPr>
      <w:r w:rsidRPr="008573C5">
        <w:t xml:space="preserve">Meek, G. C., Roberts, B. and Gray, J. (1995). Factors influencing voluntary annual </w:t>
      </w:r>
      <w:r w:rsidR="00DF7BFA">
        <w:tab/>
      </w:r>
      <w:r w:rsidRPr="008573C5">
        <w:t xml:space="preserve">report </w:t>
      </w:r>
      <w:r w:rsidR="00E30E2F" w:rsidRPr="008573C5">
        <w:tab/>
      </w:r>
      <w:r w:rsidRPr="008573C5">
        <w:t xml:space="preserve">disclosures by U.S., U.K. and Continental European multinational </w:t>
      </w:r>
      <w:r w:rsidR="00DF7BFA">
        <w:tab/>
      </w:r>
      <w:r w:rsidRPr="008573C5">
        <w:t xml:space="preserve">corporations. </w:t>
      </w:r>
      <w:r w:rsidR="00E30E2F" w:rsidRPr="008573C5">
        <w:tab/>
      </w:r>
      <w:r w:rsidRPr="008573C5">
        <w:rPr>
          <w:i/>
        </w:rPr>
        <w:t xml:space="preserve">Journal of International Business Studies, </w:t>
      </w:r>
      <w:r w:rsidRPr="008573C5">
        <w:t>26 (3), 555-572.</w:t>
      </w:r>
    </w:p>
    <w:p w:rsidR="001C29BF" w:rsidRPr="008573C5" w:rsidRDefault="001C29BF" w:rsidP="001E78A2">
      <w:pPr>
        <w:autoSpaceDE w:val="0"/>
        <w:autoSpaceDN w:val="0"/>
        <w:adjustRightInd w:val="0"/>
        <w:spacing w:line="360" w:lineRule="auto"/>
        <w:jc w:val="both"/>
        <w:rPr>
          <w:rFonts w:ascii="Times-Roman" w:hAnsi="Times-Roman" w:cs="Times-Roman"/>
          <w:sz w:val="16"/>
          <w:szCs w:val="16"/>
        </w:rPr>
      </w:pPr>
    </w:p>
    <w:p w:rsidR="001C29BF" w:rsidRPr="008573C5" w:rsidRDefault="001C29BF" w:rsidP="00E30E2F">
      <w:pPr>
        <w:autoSpaceDE w:val="0"/>
        <w:autoSpaceDN w:val="0"/>
        <w:adjustRightInd w:val="0"/>
        <w:spacing w:line="360" w:lineRule="auto"/>
        <w:jc w:val="both"/>
        <w:rPr>
          <w:iCs/>
        </w:rPr>
      </w:pPr>
      <w:r w:rsidRPr="008573C5">
        <w:t xml:space="preserve">Melis, A. (2007). Financial statements and positive accounting theory: </w:t>
      </w:r>
      <w:r w:rsidRPr="008573C5">
        <w:rPr>
          <w:bCs/>
        </w:rPr>
        <w:t>The early</w:t>
      </w:r>
      <w:r w:rsidR="00E30E2F" w:rsidRPr="008573C5">
        <w:rPr>
          <w:bCs/>
        </w:rPr>
        <w:t xml:space="preserve"> </w:t>
      </w:r>
      <w:r w:rsidR="00DF7BFA">
        <w:rPr>
          <w:bCs/>
        </w:rPr>
        <w:tab/>
      </w:r>
      <w:r w:rsidRPr="008573C5">
        <w:rPr>
          <w:bCs/>
        </w:rPr>
        <w:t xml:space="preserve">contribution </w:t>
      </w:r>
      <w:r w:rsidR="00E30E2F" w:rsidRPr="008573C5">
        <w:rPr>
          <w:bCs/>
        </w:rPr>
        <w:tab/>
      </w:r>
      <w:r w:rsidRPr="008573C5">
        <w:rPr>
          <w:bCs/>
        </w:rPr>
        <w:t xml:space="preserve">of Aldo Amaduzzi. </w:t>
      </w:r>
      <w:r w:rsidRPr="008573C5">
        <w:rPr>
          <w:i/>
          <w:iCs/>
        </w:rPr>
        <w:t xml:space="preserve">Accounting, Business &amp; Financial History, </w:t>
      </w:r>
      <w:r w:rsidR="00DF7BFA">
        <w:rPr>
          <w:i/>
          <w:iCs/>
        </w:rPr>
        <w:tab/>
      </w:r>
      <w:r w:rsidRPr="008573C5">
        <w:rPr>
          <w:iCs/>
        </w:rPr>
        <w:t>17 (1),</w:t>
      </w:r>
      <w:r w:rsidR="00E30E2F" w:rsidRPr="008573C5">
        <w:rPr>
          <w:iCs/>
        </w:rPr>
        <w:t xml:space="preserve"> </w:t>
      </w:r>
      <w:r w:rsidR="00DF7BFA">
        <w:rPr>
          <w:iCs/>
        </w:rPr>
        <w:tab/>
      </w:r>
      <w:r w:rsidRPr="008573C5">
        <w:rPr>
          <w:iCs/>
        </w:rPr>
        <w:t>53–62.</w:t>
      </w:r>
    </w:p>
    <w:p w:rsidR="001C29BF" w:rsidRPr="008573C5" w:rsidRDefault="001C29BF" w:rsidP="001E78A2">
      <w:pPr>
        <w:autoSpaceDE w:val="0"/>
        <w:autoSpaceDN w:val="0"/>
        <w:adjustRightInd w:val="0"/>
        <w:spacing w:line="360" w:lineRule="auto"/>
        <w:jc w:val="both"/>
      </w:pPr>
    </w:p>
    <w:p w:rsidR="001C29BF" w:rsidRPr="008573C5" w:rsidRDefault="001C29BF" w:rsidP="00E30E2F">
      <w:pPr>
        <w:autoSpaceDE w:val="0"/>
        <w:autoSpaceDN w:val="0"/>
        <w:adjustRightInd w:val="0"/>
        <w:spacing w:line="360" w:lineRule="auto"/>
        <w:jc w:val="both"/>
      </w:pPr>
      <w:r w:rsidRPr="008573C5">
        <w:t xml:space="preserve">Naser, K., Al-Khatib, K. and Karbhari, R. (2002). Empirical evidence on the depth of </w:t>
      </w:r>
      <w:r w:rsidR="00E30E2F" w:rsidRPr="008573C5">
        <w:tab/>
      </w:r>
      <w:r w:rsidRPr="008573C5">
        <w:t xml:space="preserve">corporate information disclosure in developing countries: The case of Jordan, </w:t>
      </w:r>
      <w:r w:rsidR="00E30E2F" w:rsidRPr="008573C5">
        <w:tab/>
      </w:r>
      <w:r w:rsidRPr="008573C5">
        <w:rPr>
          <w:i/>
        </w:rPr>
        <w:t xml:space="preserve">International Journal of Commerce and Management, </w:t>
      </w:r>
      <w:r w:rsidRPr="008573C5">
        <w:t>12 (3 &amp; 4),122-155.</w:t>
      </w:r>
    </w:p>
    <w:p w:rsidR="001C29BF" w:rsidRPr="008573C5" w:rsidRDefault="001C29BF" w:rsidP="001E78A2">
      <w:pPr>
        <w:autoSpaceDE w:val="0"/>
        <w:autoSpaceDN w:val="0"/>
        <w:adjustRightInd w:val="0"/>
        <w:spacing w:line="360" w:lineRule="auto"/>
        <w:jc w:val="both"/>
      </w:pPr>
    </w:p>
    <w:p w:rsidR="001C29BF" w:rsidRPr="008573C5" w:rsidRDefault="001C29BF" w:rsidP="00E30E2F">
      <w:pPr>
        <w:autoSpaceDE w:val="0"/>
        <w:autoSpaceDN w:val="0"/>
        <w:adjustRightInd w:val="0"/>
        <w:spacing w:line="360" w:lineRule="auto"/>
        <w:jc w:val="both"/>
      </w:pPr>
      <w:r w:rsidRPr="008573C5">
        <w:t>Naser, K. and R. Nuseibeh (2003). Quality of Financial Reporting: Evidence from</w:t>
      </w:r>
      <w:r w:rsidR="00E30E2F" w:rsidRPr="008573C5">
        <w:t xml:space="preserve"> </w:t>
      </w:r>
      <w:r w:rsidRPr="008573C5">
        <w:t xml:space="preserve">the </w:t>
      </w:r>
      <w:r w:rsidR="00DF7BFA">
        <w:tab/>
      </w:r>
      <w:r w:rsidRPr="008573C5">
        <w:t xml:space="preserve">listed </w:t>
      </w:r>
      <w:r w:rsidR="00E30E2F" w:rsidRPr="008573C5">
        <w:tab/>
      </w:r>
      <w:r w:rsidRPr="008573C5">
        <w:t xml:space="preserve">Saudi nonfinancial Companies”, </w:t>
      </w:r>
      <w:r w:rsidRPr="008573C5">
        <w:rPr>
          <w:i/>
        </w:rPr>
        <w:t xml:space="preserve">The International Journal of </w:t>
      </w:r>
      <w:r w:rsidR="00DF7BFA">
        <w:rPr>
          <w:i/>
        </w:rPr>
        <w:tab/>
      </w:r>
      <w:r w:rsidRPr="008573C5">
        <w:rPr>
          <w:i/>
        </w:rPr>
        <w:t>Accounting</w:t>
      </w:r>
      <w:r w:rsidRPr="008573C5">
        <w:t>, 38, 41–69.</w:t>
      </w:r>
    </w:p>
    <w:p w:rsidR="001C29BF" w:rsidRPr="008573C5" w:rsidRDefault="001C29BF" w:rsidP="001E78A2">
      <w:pPr>
        <w:autoSpaceDE w:val="0"/>
        <w:autoSpaceDN w:val="0"/>
        <w:adjustRightInd w:val="0"/>
        <w:spacing w:line="360" w:lineRule="auto"/>
        <w:jc w:val="both"/>
      </w:pPr>
    </w:p>
    <w:p w:rsidR="001C29BF" w:rsidRPr="008573C5" w:rsidRDefault="001C29BF" w:rsidP="00976262">
      <w:pPr>
        <w:autoSpaceDE w:val="0"/>
        <w:autoSpaceDN w:val="0"/>
        <w:adjustRightInd w:val="0"/>
        <w:spacing w:line="360" w:lineRule="auto"/>
        <w:jc w:val="both"/>
      </w:pPr>
      <w:r w:rsidRPr="008573C5">
        <w:t>Ofoegbu, G. and E. Okoye (2006). The relevance of accounting and auditing</w:t>
      </w:r>
      <w:r w:rsidR="00976262" w:rsidRPr="008573C5">
        <w:t xml:space="preserve"> </w:t>
      </w:r>
      <w:r w:rsidR="00DF7BFA">
        <w:tab/>
      </w:r>
      <w:r w:rsidRPr="008573C5">
        <w:t>Standards in</w:t>
      </w:r>
      <w:r w:rsidR="00976262" w:rsidRPr="008573C5">
        <w:t xml:space="preserve"> </w:t>
      </w:r>
      <w:r w:rsidR="00976262" w:rsidRPr="008573C5">
        <w:tab/>
      </w:r>
      <w:r w:rsidRPr="008573C5">
        <w:t xml:space="preserve"> corporate financial reporting in Nigeria: Emphasis on </w:t>
      </w:r>
      <w:r w:rsidR="00DF7BFA">
        <w:tab/>
      </w:r>
      <w:r w:rsidRPr="008573C5">
        <w:t xml:space="preserve">compliance. </w:t>
      </w:r>
      <w:r w:rsidRPr="008573C5">
        <w:rPr>
          <w:i/>
        </w:rPr>
        <w:t xml:space="preserve">The Nigerian Accountant, </w:t>
      </w:r>
      <w:r w:rsidR="008D2043">
        <w:t xml:space="preserve">39 ( 4), </w:t>
      </w:r>
      <w:r w:rsidRPr="008573C5">
        <w:t>45-53.</w:t>
      </w:r>
    </w:p>
    <w:p w:rsidR="00976262" w:rsidRPr="008573C5" w:rsidRDefault="00976262" w:rsidP="001E78A2">
      <w:pPr>
        <w:autoSpaceDE w:val="0"/>
        <w:autoSpaceDN w:val="0"/>
        <w:adjustRightInd w:val="0"/>
        <w:spacing w:line="360" w:lineRule="auto"/>
        <w:jc w:val="both"/>
      </w:pPr>
    </w:p>
    <w:p w:rsidR="001C29BF" w:rsidRPr="008573C5" w:rsidRDefault="001C29BF" w:rsidP="00976262">
      <w:pPr>
        <w:autoSpaceDE w:val="0"/>
        <w:autoSpaceDN w:val="0"/>
        <w:adjustRightInd w:val="0"/>
        <w:spacing w:line="360" w:lineRule="auto"/>
        <w:jc w:val="both"/>
      </w:pPr>
      <w:r w:rsidRPr="008573C5">
        <w:t>Okike, E.N.M. (2000)</w:t>
      </w:r>
      <w:r w:rsidR="003A4DBA" w:rsidRPr="008573C5">
        <w:t>.</w:t>
      </w:r>
      <w:r w:rsidRPr="008573C5">
        <w:t xml:space="preserve">  Extension of information in accounting reports: An </w:t>
      </w:r>
      <w:r w:rsidR="00DF7BFA">
        <w:tab/>
      </w:r>
      <w:r w:rsidRPr="008573C5">
        <w:t xml:space="preserve">investigation. </w:t>
      </w:r>
      <w:r w:rsidR="00976262" w:rsidRPr="008573C5">
        <w:tab/>
      </w:r>
      <w:r w:rsidRPr="008573C5">
        <w:t>N</w:t>
      </w:r>
      <w:r w:rsidRPr="008573C5">
        <w:rPr>
          <w:i/>
        </w:rPr>
        <w:t>igerian Financial Review,</w:t>
      </w:r>
      <w:r w:rsidRPr="008573C5">
        <w:t xml:space="preserve"> 3(2).</w:t>
      </w:r>
    </w:p>
    <w:p w:rsidR="001C29BF" w:rsidRPr="008573C5" w:rsidRDefault="001C29BF" w:rsidP="001E78A2">
      <w:pPr>
        <w:autoSpaceDE w:val="0"/>
        <w:autoSpaceDN w:val="0"/>
        <w:adjustRightInd w:val="0"/>
        <w:spacing w:line="360" w:lineRule="auto"/>
        <w:jc w:val="both"/>
      </w:pPr>
    </w:p>
    <w:p w:rsidR="00A7647C" w:rsidRPr="008573C5" w:rsidRDefault="00A7647C" w:rsidP="00976262">
      <w:pPr>
        <w:autoSpaceDE w:val="0"/>
        <w:autoSpaceDN w:val="0"/>
        <w:adjustRightInd w:val="0"/>
        <w:spacing w:line="360" w:lineRule="auto"/>
        <w:jc w:val="both"/>
        <w:rPr>
          <w:i/>
        </w:rPr>
      </w:pPr>
      <w:r w:rsidRPr="008573C5">
        <w:t xml:space="preserve">Osisioma, B.C. (2001).  Fine tuning corporate reporting task for accountants, </w:t>
      </w:r>
      <w:r w:rsidRPr="008573C5">
        <w:rPr>
          <w:i/>
        </w:rPr>
        <w:t xml:space="preserve">The </w:t>
      </w:r>
      <w:r w:rsidR="00DF7BFA">
        <w:rPr>
          <w:i/>
        </w:rPr>
        <w:tab/>
      </w:r>
      <w:r w:rsidRPr="008573C5">
        <w:rPr>
          <w:i/>
        </w:rPr>
        <w:t xml:space="preserve">Certified National Accountants, </w:t>
      </w:r>
      <w:r w:rsidRPr="008573C5">
        <w:t>9 (2), 40-55.</w:t>
      </w:r>
    </w:p>
    <w:p w:rsidR="00A7647C" w:rsidRPr="008573C5" w:rsidRDefault="00A7647C" w:rsidP="001E78A2">
      <w:pPr>
        <w:autoSpaceDE w:val="0"/>
        <w:autoSpaceDN w:val="0"/>
        <w:adjustRightInd w:val="0"/>
        <w:spacing w:line="360" w:lineRule="auto"/>
        <w:jc w:val="both"/>
      </w:pPr>
    </w:p>
    <w:p w:rsidR="001C29BF" w:rsidRPr="008573C5" w:rsidRDefault="001C29BF" w:rsidP="00976262">
      <w:pPr>
        <w:autoSpaceDE w:val="0"/>
        <w:autoSpaceDN w:val="0"/>
        <w:adjustRightInd w:val="0"/>
        <w:spacing w:line="360" w:lineRule="auto"/>
        <w:jc w:val="both"/>
        <w:rPr>
          <w:bCs/>
        </w:rPr>
      </w:pPr>
      <w:r w:rsidRPr="008573C5">
        <w:t>Owusu-Ansah</w:t>
      </w:r>
      <w:r w:rsidR="00A7647C" w:rsidRPr="008573C5">
        <w:t>,</w:t>
      </w:r>
      <w:r w:rsidRPr="008573C5">
        <w:t xml:space="preserve"> S. (1998). </w:t>
      </w:r>
      <w:r w:rsidRPr="008573C5">
        <w:rPr>
          <w:bCs/>
        </w:rPr>
        <w:t>The impact of corporate attributes on</w:t>
      </w:r>
      <w:r w:rsidRPr="008573C5">
        <w:t xml:space="preserve"> </w:t>
      </w:r>
      <w:r w:rsidRPr="008573C5">
        <w:rPr>
          <w:bCs/>
        </w:rPr>
        <w:t>the extent of</w:t>
      </w:r>
      <w:r w:rsidR="00976262" w:rsidRPr="008573C5">
        <w:rPr>
          <w:bCs/>
        </w:rPr>
        <w:t xml:space="preserve"> </w:t>
      </w:r>
      <w:r w:rsidR="008D2043">
        <w:rPr>
          <w:bCs/>
        </w:rPr>
        <w:tab/>
      </w:r>
      <w:r w:rsidRPr="008573C5">
        <w:rPr>
          <w:bCs/>
        </w:rPr>
        <w:t>mandatory disclosure and</w:t>
      </w:r>
      <w:r w:rsidRPr="008573C5">
        <w:t xml:space="preserve"> r</w:t>
      </w:r>
      <w:r w:rsidRPr="008573C5">
        <w:rPr>
          <w:bCs/>
        </w:rPr>
        <w:t xml:space="preserve">eporting by listed companies in Zimbabwe. </w:t>
      </w:r>
      <w:r w:rsidRPr="008573C5">
        <w:rPr>
          <w:i/>
        </w:rPr>
        <w:t xml:space="preserve">The </w:t>
      </w:r>
      <w:r w:rsidR="008D2043">
        <w:rPr>
          <w:i/>
        </w:rPr>
        <w:tab/>
      </w:r>
      <w:r w:rsidRPr="008573C5">
        <w:rPr>
          <w:i/>
        </w:rPr>
        <w:t xml:space="preserve">International Journal </w:t>
      </w:r>
      <w:r w:rsidR="00976262" w:rsidRPr="008573C5">
        <w:rPr>
          <w:i/>
        </w:rPr>
        <w:tab/>
      </w:r>
      <w:r w:rsidRPr="008573C5">
        <w:rPr>
          <w:i/>
        </w:rPr>
        <w:t>of Accounting</w:t>
      </w:r>
      <w:r w:rsidRPr="008573C5">
        <w:rPr>
          <w:i/>
          <w:iCs/>
        </w:rPr>
        <w:t>,</w:t>
      </w:r>
      <w:r w:rsidRPr="008573C5">
        <w:rPr>
          <w:iCs/>
        </w:rPr>
        <w:t xml:space="preserve"> 33 (5), 605-631.</w:t>
      </w:r>
    </w:p>
    <w:p w:rsidR="001C29BF" w:rsidRPr="008573C5" w:rsidRDefault="001C29BF" w:rsidP="001E78A2">
      <w:pPr>
        <w:autoSpaceDE w:val="0"/>
        <w:autoSpaceDN w:val="0"/>
        <w:adjustRightInd w:val="0"/>
        <w:spacing w:line="360" w:lineRule="auto"/>
        <w:jc w:val="both"/>
      </w:pPr>
    </w:p>
    <w:p w:rsidR="001C29BF" w:rsidRPr="008573C5" w:rsidRDefault="001C29BF" w:rsidP="00976262">
      <w:pPr>
        <w:autoSpaceDE w:val="0"/>
        <w:autoSpaceDN w:val="0"/>
        <w:adjustRightInd w:val="0"/>
        <w:spacing w:line="360" w:lineRule="auto"/>
        <w:jc w:val="both"/>
      </w:pPr>
      <w:r w:rsidRPr="008573C5">
        <w:t xml:space="preserve">Owusu-Ansah, S and Yeoh, J.(2005). The effect of legislation on corporate disclosure </w:t>
      </w:r>
      <w:r w:rsidR="00976262" w:rsidRPr="008573C5">
        <w:tab/>
      </w:r>
      <w:r w:rsidRPr="008573C5">
        <w:t>practices.</w:t>
      </w:r>
      <w:r w:rsidRPr="008573C5">
        <w:rPr>
          <w:b/>
          <w:bCs/>
        </w:rPr>
        <w:t xml:space="preserve"> </w:t>
      </w:r>
      <w:r w:rsidRPr="008573C5">
        <w:rPr>
          <w:i/>
          <w:iCs/>
        </w:rPr>
        <w:t xml:space="preserve">ABACUS, </w:t>
      </w:r>
      <w:r w:rsidRPr="008573C5">
        <w:rPr>
          <w:iCs/>
        </w:rPr>
        <w:t>41 (1 ), 92 - 109.</w:t>
      </w:r>
    </w:p>
    <w:p w:rsidR="001C29BF" w:rsidRPr="008573C5" w:rsidRDefault="001C29BF" w:rsidP="001E78A2">
      <w:pPr>
        <w:autoSpaceDE w:val="0"/>
        <w:autoSpaceDN w:val="0"/>
        <w:adjustRightInd w:val="0"/>
        <w:spacing w:line="360" w:lineRule="auto"/>
        <w:jc w:val="both"/>
      </w:pPr>
    </w:p>
    <w:p w:rsidR="001C29BF" w:rsidRPr="008573C5" w:rsidRDefault="001C29BF" w:rsidP="00976262">
      <w:pPr>
        <w:autoSpaceDE w:val="0"/>
        <w:autoSpaceDN w:val="0"/>
        <w:adjustRightInd w:val="0"/>
        <w:spacing w:line="360" w:lineRule="auto"/>
        <w:jc w:val="both"/>
      </w:pPr>
      <w:r w:rsidRPr="008573C5">
        <w:t xml:space="preserve">Prencipe, A. (2004). Proprietary costs and determinants of voluntary segment </w:t>
      </w:r>
      <w:r w:rsidR="008D2043">
        <w:tab/>
      </w:r>
      <w:r w:rsidRPr="008573C5">
        <w:t xml:space="preserve">disclosure: Evidence from Italian listed companies. </w:t>
      </w:r>
      <w:r w:rsidRPr="008573C5">
        <w:rPr>
          <w:i/>
          <w:iCs/>
        </w:rPr>
        <w:t xml:space="preserve">European Accounting </w:t>
      </w:r>
      <w:r w:rsidR="008D2043">
        <w:rPr>
          <w:i/>
          <w:iCs/>
        </w:rPr>
        <w:tab/>
      </w:r>
      <w:r w:rsidRPr="008573C5">
        <w:rPr>
          <w:i/>
          <w:iCs/>
        </w:rPr>
        <w:t xml:space="preserve">Review, </w:t>
      </w:r>
      <w:r w:rsidRPr="008573C5">
        <w:rPr>
          <w:iCs/>
        </w:rPr>
        <w:t xml:space="preserve">13 (2), </w:t>
      </w:r>
      <w:r w:rsidRPr="008573C5">
        <w:t xml:space="preserve"> 319</w:t>
      </w:r>
      <w:r w:rsidR="00976262" w:rsidRPr="008573C5">
        <w:t xml:space="preserve"> </w:t>
      </w:r>
      <w:r w:rsidRPr="008573C5">
        <w:t>–</w:t>
      </w:r>
      <w:r w:rsidR="00976262" w:rsidRPr="008573C5">
        <w:tab/>
      </w:r>
      <w:r w:rsidRPr="008573C5">
        <w:t>340.</w:t>
      </w:r>
    </w:p>
    <w:p w:rsidR="001C29BF" w:rsidRPr="008573C5" w:rsidRDefault="001C29BF" w:rsidP="001E78A2">
      <w:pPr>
        <w:autoSpaceDE w:val="0"/>
        <w:autoSpaceDN w:val="0"/>
        <w:adjustRightInd w:val="0"/>
        <w:spacing w:line="360" w:lineRule="auto"/>
        <w:jc w:val="both"/>
      </w:pPr>
    </w:p>
    <w:p w:rsidR="001C29BF" w:rsidRPr="008573C5" w:rsidRDefault="003A4DBA" w:rsidP="00976262">
      <w:pPr>
        <w:autoSpaceDE w:val="0"/>
        <w:autoSpaceDN w:val="0"/>
        <w:adjustRightInd w:val="0"/>
        <w:spacing w:line="360" w:lineRule="auto"/>
        <w:jc w:val="both"/>
      </w:pPr>
      <w:r w:rsidRPr="008573C5">
        <w:t xml:space="preserve">Raffournier, B. (1995). </w:t>
      </w:r>
      <w:r w:rsidR="001C29BF" w:rsidRPr="008573C5">
        <w:t xml:space="preserve"> The </w:t>
      </w:r>
      <w:r w:rsidRPr="008573C5">
        <w:t>d</w:t>
      </w:r>
      <w:r w:rsidR="001C29BF" w:rsidRPr="008573C5">
        <w:t xml:space="preserve">eterminants of </w:t>
      </w:r>
      <w:r w:rsidRPr="008573C5">
        <w:t>v</w:t>
      </w:r>
      <w:r w:rsidR="001C29BF" w:rsidRPr="008573C5">
        <w:t xml:space="preserve">oluntary </w:t>
      </w:r>
      <w:r w:rsidRPr="008573C5">
        <w:t>f</w:t>
      </w:r>
      <w:r w:rsidR="001C29BF" w:rsidRPr="008573C5">
        <w:t xml:space="preserve">inancial </w:t>
      </w:r>
      <w:r w:rsidRPr="008573C5">
        <w:t>d</w:t>
      </w:r>
      <w:r w:rsidR="001C29BF" w:rsidRPr="008573C5">
        <w:t xml:space="preserve">isclosure by Swiss </w:t>
      </w:r>
      <w:r w:rsidR="008D2043">
        <w:tab/>
      </w:r>
      <w:r w:rsidRPr="008573C5">
        <w:t>l</w:t>
      </w:r>
      <w:r w:rsidR="001C29BF" w:rsidRPr="008573C5">
        <w:t xml:space="preserve">isted </w:t>
      </w:r>
      <w:r w:rsidRPr="008573C5">
        <w:t xml:space="preserve"> </w:t>
      </w:r>
      <w:r w:rsidR="00976262" w:rsidRPr="008573C5">
        <w:tab/>
        <w:t>c</w:t>
      </w:r>
      <w:r w:rsidRPr="008573C5">
        <w:t>ompanies</w:t>
      </w:r>
      <w:r w:rsidR="00976262" w:rsidRPr="008573C5">
        <w:t>.</w:t>
      </w:r>
      <w:r w:rsidR="001C29BF" w:rsidRPr="008573C5">
        <w:t xml:space="preserve"> </w:t>
      </w:r>
      <w:r w:rsidR="001C29BF" w:rsidRPr="008573C5">
        <w:rPr>
          <w:i/>
          <w:iCs/>
        </w:rPr>
        <w:t xml:space="preserve">European Accounting Review, </w:t>
      </w:r>
      <w:r w:rsidR="001C29BF" w:rsidRPr="008573C5">
        <w:t xml:space="preserve"> 4</w:t>
      </w:r>
      <w:r w:rsidR="004B529C" w:rsidRPr="008573C5">
        <w:t xml:space="preserve"> (</w:t>
      </w:r>
      <w:r w:rsidR="001C29BF" w:rsidRPr="008573C5">
        <w:t>2</w:t>
      </w:r>
      <w:r w:rsidR="004B529C" w:rsidRPr="008573C5">
        <w:t>)</w:t>
      </w:r>
      <w:r w:rsidR="001C29BF" w:rsidRPr="008573C5">
        <w:t>, 261-280.</w:t>
      </w:r>
    </w:p>
    <w:p w:rsidR="00D904F6" w:rsidRPr="008573C5" w:rsidRDefault="00D904F6" w:rsidP="001E78A2">
      <w:pPr>
        <w:autoSpaceDE w:val="0"/>
        <w:autoSpaceDN w:val="0"/>
        <w:adjustRightInd w:val="0"/>
        <w:spacing w:line="360" w:lineRule="auto"/>
        <w:jc w:val="both"/>
      </w:pPr>
    </w:p>
    <w:p w:rsidR="00D904F6" w:rsidRPr="008573C5" w:rsidRDefault="00D904F6" w:rsidP="001E78A2">
      <w:pPr>
        <w:autoSpaceDE w:val="0"/>
        <w:autoSpaceDN w:val="0"/>
        <w:adjustRightInd w:val="0"/>
        <w:spacing w:line="360" w:lineRule="auto"/>
        <w:jc w:val="both"/>
        <w:rPr>
          <w:bCs/>
        </w:rPr>
      </w:pPr>
      <w:r w:rsidRPr="008573C5">
        <w:t xml:space="preserve">Rahman, M.Z. (1998). </w:t>
      </w:r>
      <w:r w:rsidRPr="008573C5">
        <w:rPr>
          <w:bCs/>
        </w:rPr>
        <w:t xml:space="preserve">The role of accounting in the East Asian financial crisis: </w:t>
      </w:r>
      <w:r w:rsidR="008D2043">
        <w:rPr>
          <w:bCs/>
        </w:rPr>
        <w:tab/>
      </w:r>
      <w:r w:rsidRPr="008573C5">
        <w:rPr>
          <w:bCs/>
        </w:rPr>
        <w:t xml:space="preserve">lessons learned? </w:t>
      </w:r>
      <w:r w:rsidRPr="008573C5">
        <w:rPr>
          <w:bCs/>
          <w:i/>
          <w:iCs/>
        </w:rPr>
        <w:t>Transnational Corporations,</w:t>
      </w:r>
      <w:r w:rsidRPr="008573C5">
        <w:rPr>
          <w:bCs/>
        </w:rPr>
        <w:t>7( 3), pp. 1-52</w:t>
      </w:r>
    </w:p>
    <w:p w:rsidR="00D904F6" w:rsidRPr="008573C5" w:rsidRDefault="00D904F6" w:rsidP="001E78A2">
      <w:pPr>
        <w:autoSpaceDE w:val="0"/>
        <w:autoSpaceDN w:val="0"/>
        <w:adjustRightInd w:val="0"/>
        <w:spacing w:line="360" w:lineRule="auto"/>
        <w:jc w:val="both"/>
      </w:pPr>
    </w:p>
    <w:p w:rsidR="001C29BF" w:rsidRPr="008573C5" w:rsidRDefault="001C29BF" w:rsidP="00976262">
      <w:pPr>
        <w:autoSpaceDE w:val="0"/>
        <w:autoSpaceDN w:val="0"/>
        <w:adjustRightInd w:val="0"/>
        <w:spacing w:line="360" w:lineRule="auto"/>
        <w:jc w:val="both"/>
      </w:pPr>
      <w:r w:rsidRPr="008573C5">
        <w:t>Ray, D.D.</w:t>
      </w:r>
      <w:r w:rsidR="006904D0" w:rsidRPr="008573C5">
        <w:t xml:space="preserve"> </w:t>
      </w:r>
      <w:r w:rsidRPr="008573C5">
        <w:t>( 1962).</w:t>
      </w:r>
      <w:r w:rsidR="006904D0" w:rsidRPr="008573C5">
        <w:t xml:space="preserve"> </w:t>
      </w:r>
      <w:r w:rsidRPr="008573C5">
        <w:rPr>
          <w:i/>
          <w:iCs/>
        </w:rPr>
        <w:t xml:space="preserve">Corporate Reporting and Investment Decisions.  </w:t>
      </w:r>
      <w:r w:rsidRPr="008573C5">
        <w:t xml:space="preserve">by A. R. Cerf, </w:t>
      </w:r>
      <w:r w:rsidR="008D2043">
        <w:tab/>
      </w:r>
      <w:r w:rsidRPr="008573C5">
        <w:t xml:space="preserve">book review in </w:t>
      </w:r>
      <w:r w:rsidRPr="008573C5">
        <w:rPr>
          <w:i/>
          <w:iCs/>
        </w:rPr>
        <w:t>The Accounting Review</w:t>
      </w:r>
      <w:r w:rsidRPr="008573C5">
        <w:t>,  37 (3), 595-596.</w:t>
      </w:r>
    </w:p>
    <w:p w:rsidR="001C29BF" w:rsidRPr="008573C5" w:rsidRDefault="001C29BF" w:rsidP="001E78A2">
      <w:pPr>
        <w:spacing w:line="360" w:lineRule="auto"/>
        <w:jc w:val="both"/>
        <w:rPr>
          <w:rFonts w:ascii="Times" w:hAnsi="Times" w:cs="Times"/>
          <w:sz w:val="29"/>
          <w:szCs w:val="29"/>
        </w:rPr>
      </w:pPr>
    </w:p>
    <w:p w:rsidR="001C29BF" w:rsidRPr="008573C5" w:rsidRDefault="001C29BF" w:rsidP="00976262">
      <w:pPr>
        <w:autoSpaceDE w:val="0"/>
        <w:autoSpaceDN w:val="0"/>
        <w:adjustRightInd w:val="0"/>
        <w:spacing w:line="360" w:lineRule="auto"/>
        <w:jc w:val="both"/>
      </w:pPr>
      <w:r w:rsidRPr="008573C5">
        <w:rPr>
          <w:bCs/>
          <w:iCs/>
        </w:rPr>
        <w:t>Schipper, K. (2007)</w:t>
      </w:r>
      <w:r w:rsidR="006904D0" w:rsidRPr="008573C5">
        <w:rPr>
          <w:bCs/>
          <w:iCs/>
        </w:rPr>
        <w:t>.</w:t>
      </w:r>
      <w:r w:rsidRPr="008573C5">
        <w:rPr>
          <w:bCs/>
          <w:i/>
          <w:iCs/>
        </w:rPr>
        <w:t xml:space="preserve"> </w:t>
      </w:r>
      <w:r w:rsidRPr="008573C5">
        <w:rPr>
          <w:bCs/>
        </w:rPr>
        <w:t xml:space="preserve">Required disclosures in financial reports.  </w:t>
      </w:r>
      <w:r w:rsidRPr="008573C5">
        <w:rPr>
          <w:i/>
          <w:iCs/>
        </w:rPr>
        <w:t xml:space="preserve">The Accounting </w:t>
      </w:r>
      <w:r w:rsidR="008D2043">
        <w:rPr>
          <w:i/>
          <w:iCs/>
        </w:rPr>
        <w:tab/>
      </w:r>
      <w:r w:rsidRPr="008573C5">
        <w:rPr>
          <w:i/>
          <w:iCs/>
        </w:rPr>
        <w:t>Review,</w:t>
      </w:r>
      <w:r w:rsidRPr="008573C5">
        <w:t xml:space="preserve"> 82 ( 2), 301–326.</w:t>
      </w:r>
    </w:p>
    <w:p w:rsidR="001C29BF" w:rsidRPr="008573C5" w:rsidRDefault="001C29BF" w:rsidP="001E78A2">
      <w:pPr>
        <w:autoSpaceDE w:val="0"/>
        <w:autoSpaceDN w:val="0"/>
        <w:adjustRightInd w:val="0"/>
        <w:spacing w:line="360" w:lineRule="auto"/>
        <w:jc w:val="both"/>
      </w:pPr>
    </w:p>
    <w:p w:rsidR="001C29BF" w:rsidRPr="008573C5" w:rsidRDefault="001C29BF" w:rsidP="00976262">
      <w:pPr>
        <w:autoSpaceDE w:val="0"/>
        <w:autoSpaceDN w:val="0"/>
        <w:adjustRightInd w:val="0"/>
        <w:spacing w:line="360" w:lineRule="auto"/>
        <w:jc w:val="both"/>
        <w:rPr>
          <w:bCs/>
        </w:rPr>
      </w:pPr>
      <w:r w:rsidRPr="008573C5">
        <w:t>Singhvi, S.S.</w:t>
      </w:r>
      <w:r w:rsidR="006904D0" w:rsidRPr="008573C5">
        <w:t xml:space="preserve"> </w:t>
      </w:r>
      <w:r w:rsidRPr="008573C5">
        <w:t xml:space="preserve">(1968). </w:t>
      </w:r>
      <w:r w:rsidRPr="008573C5">
        <w:rPr>
          <w:bCs/>
        </w:rPr>
        <w:t xml:space="preserve">Corporate disclosure through annual reports in the United States </w:t>
      </w:r>
      <w:r w:rsidR="008D2043">
        <w:rPr>
          <w:bCs/>
        </w:rPr>
        <w:tab/>
      </w:r>
      <w:r w:rsidRPr="008573C5">
        <w:rPr>
          <w:bCs/>
        </w:rPr>
        <w:t>of America and India.</w:t>
      </w:r>
      <w:r w:rsidRPr="008573C5">
        <w:rPr>
          <w:b/>
          <w:bCs/>
        </w:rPr>
        <w:t xml:space="preserve"> </w:t>
      </w:r>
      <w:r w:rsidRPr="008573C5">
        <w:rPr>
          <w:i/>
          <w:iCs/>
        </w:rPr>
        <w:t>The Journal of Finance</w:t>
      </w:r>
      <w:r w:rsidRPr="008573C5">
        <w:t>, 23(3), 551-552.</w:t>
      </w:r>
    </w:p>
    <w:p w:rsidR="001C29BF" w:rsidRPr="008573C5" w:rsidRDefault="001C29BF" w:rsidP="001E78A2">
      <w:pPr>
        <w:spacing w:line="360" w:lineRule="auto"/>
        <w:jc w:val="both"/>
      </w:pPr>
    </w:p>
    <w:p w:rsidR="001C29BF" w:rsidRPr="008573C5" w:rsidRDefault="001C29BF" w:rsidP="00976262">
      <w:pPr>
        <w:autoSpaceDE w:val="0"/>
        <w:autoSpaceDN w:val="0"/>
        <w:adjustRightInd w:val="0"/>
        <w:spacing w:line="360" w:lineRule="auto"/>
        <w:jc w:val="both"/>
        <w:rPr>
          <w:bCs/>
        </w:rPr>
      </w:pPr>
      <w:r w:rsidRPr="008573C5">
        <w:t xml:space="preserve">Singhvi, S.S.and Desai, H.B. ( 1971). </w:t>
      </w:r>
      <w:r w:rsidRPr="008573C5">
        <w:rPr>
          <w:bCs/>
        </w:rPr>
        <w:t xml:space="preserve">An empirical analysis of the quality of </w:t>
      </w:r>
      <w:r w:rsidR="008D2043">
        <w:rPr>
          <w:bCs/>
        </w:rPr>
        <w:tab/>
      </w:r>
      <w:r w:rsidRPr="008573C5">
        <w:rPr>
          <w:bCs/>
        </w:rPr>
        <w:t xml:space="preserve">corporate financial disclosure. </w:t>
      </w:r>
      <w:r w:rsidRPr="008573C5">
        <w:rPr>
          <w:i/>
          <w:iCs/>
        </w:rPr>
        <w:t>The Accounting Review</w:t>
      </w:r>
      <w:r w:rsidRPr="008573C5">
        <w:t>, 46 (1), 129-138.</w:t>
      </w:r>
    </w:p>
    <w:p w:rsidR="001C29BF" w:rsidRPr="008573C5" w:rsidRDefault="001C29BF" w:rsidP="001E78A2">
      <w:pPr>
        <w:autoSpaceDE w:val="0"/>
        <w:autoSpaceDN w:val="0"/>
        <w:adjustRightInd w:val="0"/>
        <w:spacing w:line="360" w:lineRule="auto"/>
        <w:jc w:val="both"/>
        <w:rPr>
          <w:b/>
          <w:bCs/>
          <w:sz w:val="16"/>
          <w:szCs w:val="16"/>
        </w:rPr>
      </w:pPr>
    </w:p>
    <w:p w:rsidR="001C29BF" w:rsidRPr="008573C5" w:rsidRDefault="001C29BF" w:rsidP="00976262">
      <w:pPr>
        <w:autoSpaceDE w:val="0"/>
        <w:autoSpaceDN w:val="0"/>
        <w:adjustRightInd w:val="0"/>
        <w:spacing w:line="360" w:lineRule="auto"/>
        <w:jc w:val="both"/>
      </w:pPr>
      <w:r w:rsidRPr="008573C5">
        <w:t xml:space="preserve">Stanga, K.G. (1976). Disclosure in public annual reports. </w:t>
      </w:r>
      <w:r w:rsidRPr="008573C5">
        <w:rPr>
          <w:i/>
        </w:rPr>
        <w:t xml:space="preserve">Financial Management, </w:t>
      </w:r>
      <w:r w:rsidRPr="008573C5">
        <w:t xml:space="preserve">5 </w:t>
      </w:r>
      <w:r w:rsidR="008D2043">
        <w:tab/>
      </w:r>
      <w:r w:rsidRPr="008573C5">
        <w:t>(Winter), 42-52.</w:t>
      </w:r>
    </w:p>
    <w:p w:rsidR="001C29BF" w:rsidRPr="008573C5" w:rsidRDefault="001C29BF" w:rsidP="001E78A2">
      <w:pPr>
        <w:autoSpaceDE w:val="0"/>
        <w:autoSpaceDN w:val="0"/>
        <w:adjustRightInd w:val="0"/>
        <w:spacing w:line="360" w:lineRule="auto"/>
        <w:jc w:val="both"/>
      </w:pPr>
    </w:p>
    <w:p w:rsidR="001C29BF" w:rsidRPr="008573C5" w:rsidRDefault="001C29BF" w:rsidP="00976262">
      <w:pPr>
        <w:autoSpaceDE w:val="0"/>
        <w:autoSpaceDN w:val="0"/>
        <w:adjustRightInd w:val="0"/>
        <w:spacing w:line="360" w:lineRule="auto"/>
        <w:jc w:val="both"/>
      </w:pPr>
      <w:r w:rsidRPr="008573C5">
        <w:t>Street, D.L., Gray, S.J. and Bryant, S.M. (1999). Acceptance and observance of</w:t>
      </w:r>
      <w:r w:rsidR="00976262" w:rsidRPr="008573C5">
        <w:t xml:space="preserve"> </w:t>
      </w:r>
      <w:r w:rsidR="008D2043">
        <w:tab/>
      </w:r>
      <w:r w:rsidRPr="008573C5">
        <w:t xml:space="preserve">International </w:t>
      </w:r>
      <w:r w:rsidR="00976262" w:rsidRPr="008573C5">
        <w:tab/>
      </w:r>
      <w:r w:rsidRPr="008573C5">
        <w:t xml:space="preserve">Accounting Standards: An empirical study of companies </w:t>
      </w:r>
      <w:r w:rsidR="008D2043">
        <w:tab/>
      </w:r>
      <w:r w:rsidRPr="008573C5">
        <w:t xml:space="preserve">claiming to comply with </w:t>
      </w:r>
      <w:r w:rsidR="00976262" w:rsidRPr="008573C5">
        <w:tab/>
      </w:r>
      <w:r w:rsidRPr="008573C5">
        <w:t xml:space="preserve">IASs. </w:t>
      </w:r>
      <w:r w:rsidRPr="008573C5">
        <w:rPr>
          <w:i/>
        </w:rPr>
        <w:t>The International Journal of Accounting</w:t>
      </w:r>
      <w:r w:rsidRPr="008573C5">
        <w:t xml:space="preserve">, </w:t>
      </w:r>
      <w:r w:rsidR="008D2043">
        <w:tab/>
      </w:r>
      <w:r w:rsidRPr="008573C5">
        <w:t>34 (1), 11–48.</w:t>
      </w:r>
    </w:p>
    <w:p w:rsidR="001C29BF" w:rsidRPr="008573C5" w:rsidRDefault="001C29BF" w:rsidP="001E78A2">
      <w:pPr>
        <w:autoSpaceDE w:val="0"/>
        <w:autoSpaceDN w:val="0"/>
        <w:adjustRightInd w:val="0"/>
        <w:spacing w:line="360" w:lineRule="auto"/>
        <w:jc w:val="both"/>
      </w:pPr>
    </w:p>
    <w:p w:rsidR="001C29BF" w:rsidRPr="008573C5" w:rsidRDefault="001C29BF" w:rsidP="00976262">
      <w:pPr>
        <w:autoSpaceDE w:val="0"/>
        <w:autoSpaceDN w:val="0"/>
        <w:adjustRightInd w:val="0"/>
        <w:spacing w:line="360" w:lineRule="auto"/>
        <w:jc w:val="both"/>
      </w:pPr>
      <w:r w:rsidRPr="008573C5">
        <w:t>Street, D.L and Bryant, S.M.</w:t>
      </w:r>
      <w:r w:rsidR="006904D0" w:rsidRPr="008573C5">
        <w:t xml:space="preserve"> </w:t>
      </w:r>
      <w:r w:rsidRPr="008573C5">
        <w:t xml:space="preserve">(2000). Disclosure level and compliance with IASs: A </w:t>
      </w:r>
      <w:r w:rsidR="00976262" w:rsidRPr="008573C5">
        <w:tab/>
      </w:r>
      <w:r w:rsidRPr="008573C5">
        <w:t xml:space="preserve">comparison of companies with and without U.S. listings and filings. </w:t>
      </w:r>
      <w:r w:rsidRPr="008573C5">
        <w:rPr>
          <w:i/>
        </w:rPr>
        <w:t xml:space="preserve">The </w:t>
      </w:r>
      <w:r w:rsidR="008D2043">
        <w:rPr>
          <w:i/>
        </w:rPr>
        <w:tab/>
      </w:r>
      <w:r w:rsidRPr="008573C5">
        <w:rPr>
          <w:i/>
        </w:rPr>
        <w:t xml:space="preserve">International </w:t>
      </w:r>
      <w:r w:rsidR="00976262" w:rsidRPr="008573C5">
        <w:rPr>
          <w:i/>
        </w:rPr>
        <w:tab/>
      </w:r>
      <w:r w:rsidRPr="008573C5">
        <w:rPr>
          <w:i/>
        </w:rPr>
        <w:t>Journal of Accounting</w:t>
      </w:r>
      <w:r w:rsidRPr="008573C5">
        <w:t>, 35 (3), 41–69.</w:t>
      </w:r>
    </w:p>
    <w:p w:rsidR="001C29BF" w:rsidRPr="008573C5" w:rsidRDefault="001C29BF" w:rsidP="001E78A2">
      <w:pPr>
        <w:autoSpaceDE w:val="0"/>
        <w:autoSpaceDN w:val="0"/>
        <w:adjustRightInd w:val="0"/>
        <w:spacing w:line="360" w:lineRule="auto"/>
        <w:ind w:left="720"/>
        <w:jc w:val="both"/>
      </w:pPr>
    </w:p>
    <w:p w:rsidR="001C29BF" w:rsidRPr="008573C5" w:rsidRDefault="001C29BF" w:rsidP="00976262">
      <w:pPr>
        <w:autoSpaceDE w:val="0"/>
        <w:autoSpaceDN w:val="0"/>
        <w:adjustRightInd w:val="0"/>
        <w:spacing w:line="360" w:lineRule="auto"/>
        <w:jc w:val="both"/>
        <w:rPr>
          <w:bCs/>
        </w:rPr>
      </w:pPr>
      <w:r w:rsidRPr="008573C5">
        <w:t>Taplin R., Tower,</w:t>
      </w:r>
      <w:r w:rsidR="006904D0" w:rsidRPr="008573C5">
        <w:t xml:space="preserve"> </w:t>
      </w:r>
      <w:r w:rsidRPr="008573C5">
        <w:t>G. and Hancock, P.</w:t>
      </w:r>
      <w:r w:rsidR="006904D0" w:rsidRPr="008573C5">
        <w:t xml:space="preserve"> </w:t>
      </w:r>
      <w:r w:rsidRPr="008573C5">
        <w:t xml:space="preserve">(2002). </w:t>
      </w:r>
      <w:r w:rsidRPr="008573C5">
        <w:rPr>
          <w:bCs/>
        </w:rPr>
        <w:t xml:space="preserve">Disclosure (discernibility) and </w:t>
      </w:r>
      <w:r w:rsidR="008D2043">
        <w:rPr>
          <w:bCs/>
        </w:rPr>
        <w:tab/>
      </w:r>
      <w:r w:rsidRPr="008573C5">
        <w:rPr>
          <w:bCs/>
        </w:rPr>
        <w:t xml:space="preserve">compliance of </w:t>
      </w:r>
      <w:r w:rsidR="00976262" w:rsidRPr="008573C5">
        <w:rPr>
          <w:bCs/>
        </w:rPr>
        <w:tab/>
      </w:r>
      <w:r w:rsidRPr="008573C5">
        <w:rPr>
          <w:bCs/>
        </w:rPr>
        <w:t xml:space="preserve">accounting policies: Asia-Pacific evidence.  </w:t>
      </w:r>
      <w:r w:rsidRPr="008573C5">
        <w:rPr>
          <w:bCs/>
          <w:i/>
          <w:iCs/>
        </w:rPr>
        <w:t xml:space="preserve">Accounting Forum, </w:t>
      </w:r>
      <w:r w:rsidR="008D2043">
        <w:rPr>
          <w:bCs/>
          <w:i/>
          <w:iCs/>
        </w:rPr>
        <w:tab/>
      </w:r>
      <w:r w:rsidRPr="008573C5">
        <w:rPr>
          <w:bCs/>
          <w:iCs/>
        </w:rPr>
        <w:t xml:space="preserve">26 (2), </w:t>
      </w:r>
      <w:r w:rsidR="008D2043">
        <w:rPr>
          <w:bCs/>
          <w:iCs/>
        </w:rPr>
        <w:tab/>
      </w:r>
      <w:r w:rsidRPr="008573C5">
        <w:rPr>
          <w:bCs/>
          <w:iCs/>
        </w:rPr>
        <w:t>172-190.</w:t>
      </w:r>
    </w:p>
    <w:p w:rsidR="001C29BF" w:rsidRPr="008573C5" w:rsidRDefault="001C29BF" w:rsidP="001E78A2">
      <w:pPr>
        <w:autoSpaceDE w:val="0"/>
        <w:autoSpaceDN w:val="0"/>
        <w:adjustRightInd w:val="0"/>
        <w:spacing w:line="360" w:lineRule="auto"/>
        <w:jc w:val="both"/>
      </w:pPr>
    </w:p>
    <w:p w:rsidR="001C29BF" w:rsidRPr="008573C5" w:rsidRDefault="001C29BF" w:rsidP="00976262">
      <w:pPr>
        <w:autoSpaceDE w:val="0"/>
        <w:autoSpaceDN w:val="0"/>
        <w:adjustRightInd w:val="0"/>
        <w:spacing w:line="360" w:lineRule="auto"/>
        <w:jc w:val="both"/>
      </w:pPr>
      <w:r w:rsidRPr="008573C5">
        <w:t xml:space="preserve">Taylor, M.E and Jones, R.A. (1999). The use of International Accounting Standards </w:t>
      </w:r>
      <w:r w:rsidR="00976262" w:rsidRPr="008573C5">
        <w:tab/>
      </w:r>
      <w:r w:rsidRPr="008573C5">
        <w:t xml:space="preserve">terminology, a survey of IAS compliance disclosure. </w:t>
      </w:r>
      <w:r w:rsidRPr="008573C5">
        <w:rPr>
          <w:i/>
        </w:rPr>
        <w:t xml:space="preserve">The International </w:t>
      </w:r>
      <w:r w:rsidR="008D2043">
        <w:rPr>
          <w:i/>
        </w:rPr>
        <w:tab/>
      </w:r>
      <w:r w:rsidRPr="008573C5">
        <w:rPr>
          <w:i/>
        </w:rPr>
        <w:t>Journal of Accounting</w:t>
      </w:r>
      <w:r w:rsidRPr="008573C5">
        <w:t xml:space="preserve">, 34 (4), 557–570. </w:t>
      </w:r>
    </w:p>
    <w:p w:rsidR="001C29BF" w:rsidRPr="008573C5" w:rsidRDefault="001C29BF" w:rsidP="001E78A2">
      <w:pPr>
        <w:autoSpaceDE w:val="0"/>
        <w:autoSpaceDN w:val="0"/>
        <w:adjustRightInd w:val="0"/>
        <w:spacing w:line="360" w:lineRule="auto"/>
        <w:jc w:val="both"/>
        <w:rPr>
          <w:bCs/>
          <w:iCs/>
        </w:rPr>
      </w:pPr>
    </w:p>
    <w:p w:rsidR="001C29BF" w:rsidRPr="008573C5" w:rsidRDefault="001C29BF" w:rsidP="00976262">
      <w:pPr>
        <w:pStyle w:val="NormalWeb"/>
        <w:spacing w:before="0" w:beforeAutospacing="0" w:after="0" w:afterAutospacing="0" w:line="360" w:lineRule="auto"/>
        <w:jc w:val="both"/>
        <w:rPr>
          <w:i/>
          <w:iCs/>
        </w:rPr>
      </w:pPr>
      <w:r w:rsidRPr="008573C5">
        <w:rPr>
          <w:bCs/>
          <w:iCs/>
        </w:rPr>
        <w:t>Tower,G., Hancock, P. and Taplin, R.H. (1999).</w:t>
      </w:r>
      <w:r w:rsidRPr="008573C5">
        <w:rPr>
          <w:bCs/>
          <w:i/>
          <w:iCs/>
        </w:rPr>
        <w:t xml:space="preserve"> </w:t>
      </w:r>
      <w:r w:rsidRPr="008573C5">
        <w:rPr>
          <w:bCs/>
        </w:rPr>
        <w:t xml:space="preserve">A regional study of listed </w:t>
      </w:r>
      <w:r w:rsidR="008D2043">
        <w:rPr>
          <w:bCs/>
        </w:rPr>
        <w:tab/>
      </w:r>
      <w:r w:rsidRPr="008573C5">
        <w:rPr>
          <w:bCs/>
        </w:rPr>
        <w:t xml:space="preserve">companies' </w:t>
      </w:r>
      <w:r w:rsidR="008D2043">
        <w:rPr>
          <w:bCs/>
        </w:rPr>
        <w:tab/>
      </w:r>
      <w:r w:rsidRPr="008573C5">
        <w:rPr>
          <w:bCs/>
        </w:rPr>
        <w:t xml:space="preserve">compliance with International Accounting Standards. </w:t>
      </w:r>
      <w:r w:rsidRPr="008573C5">
        <w:rPr>
          <w:i/>
          <w:iCs/>
        </w:rPr>
        <w:t xml:space="preserve">Accounting </w:t>
      </w:r>
      <w:r w:rsidR="008D2043">
        <w:rPr>
          <w:i/>
          <w:iCs/>
        </w:rPr>
        <w:tab/>
      </w:r>
      <w:r w:rsidRPr="008573C5">
        <w:rPr>
          <w:i/>
          <w:iCs/>
        </w:rPr>
        <w:t>Forum,</w:t>
      </w:r>
      <w:r w:rsidRPr="008573C5">
        <w:rPr>
          <w:iCs/>
        </w:rPr>
        <w:t xml:space="preserve"> 23 </w:t>
      </w:r>
      <w:r w:rsidR="008D2043">
        <w:rPr>
          <w:iCs/>
        </w:rPr>
        <w:tab/>
      </w:r>
      <w:r w:rsidRPr="008573C5">
        <w:rPr>
          <w:iCs/>
        </w:rPr>
        <w:t>(3), 293-305</w:t>
      </w:r>
      <w:r w:rsidRPr="008573C5">
        <w:rPr>
          <w:i/>
          <w:iCs/>
        </w:rPr>
        <w:t>.</w:t>
      </w:r>
    </w:p>
    <w:p w:rsidR="001C29BF" w:rsidRPr="008573C5" w:rsidRDefault="001C29BF" w:rsidP="001E78A2">
      <w:pPr>
        <w:pStyle w:val="NormalWeb"/>
        <w:spacing w:before="0" w:beforeAutospacing="0" w:after="0" w:afterAutospacing="0" w:line="360" w:lineRule="auto"/>
        <w:ind w:left="720"/>
        <w:jc w:val="both"/>
        <w:rPr>
          <w:i/>
          <w:iCs/>
        </w:rPr>
      </w:pPr>
    </w:p>
    <w:p w:rsidR="001C29BF" w:rsidRPr="008573C5" w:rsidRDefault="001C29BF" w:rsidP="001E78A2">
      <w:pPr>
        <w:spacing w:line="360" w:lineRule="auto"/>
        <w:jc w:val="both"/>
      </w:pPr>
      <w:r w:rsidRPr="008573C5">
        <w:t xml:space="preserve">Wallace, R. S. O. (1988).  Corporate financial reporting in Nigeria. </w:t>
      </w:r>
      <w:r w:rsidRPr="008573C5">
        <w:rPr>
          <w:i/>
        </w:rPr>
        <w:t xml:space="preserve">Accounting and </w:t>
      </w:r>
      <w:r w:rsidRPr="008573C5">
        <w:rPr>
          <w:i/>
        </w:rPr>
        <w:tab/>
        <w:t xml:space="preserve">Business Research, </w:t>
      </w:r>
      <w:r w:rsidRPr="008573C5">
        <w:t xml:space="preserve">18 (72), 352-362. </w:t>
      </w:r>
    </w:p>
    <w:p w:rsidR="001C29BF" w:rsidRPr="008573C5" w:rsidRDefault="001C29BF" w:rsidP="001E78A2">
      <w:pPr>
        <w:spacing w:line="360" w:lineRule="auto"/>
        <w:jc w:val="both"/>
      </w:pPr>
    </w:p>
    <w:p w:rsidR="001C29BF" w:rsidRPr="008573C5" w:rsidRDefault="001C29BF" w:rsidP="00976262">
      <w:pPr>
        <w:autoSpaceDE w:val="0"/>
        <w:autoSpaceDN w:val="0"/>
        <w:adjustRightInd w:val="0"/>
        <w:spacing w:line="360" w:lineRule="auto"/>
        <w:jc w:val="both"/>
        <w:rPr>
          <w:bCs/>
        </w:rPr>
      </w:pPr>
      <w:r w:rsidRPr="008573C5">
        <w:rPr>
          <w:bCs/>
        </w:rPr>
        <w:t>Wallace, R.S.O. (1990). Survival strategies of a global organization: The case of</w:t>
      </w:r>
      <w:r w:rsidR="00976262" w:rsidRPr="008573C5">
        <w:rPr>
          <w:bCs/>
        </w:rPr>
        <w:t xml:space="preserve"> </w:t>
      </w:r>
      <w:r w:rsidRPr="008573C5">
        <w:rPr>
          <w:bCs/>
        </w:rPr>
        <w:t xml:space="preserve">the </w:t>
      </w:r>
      <w:r w:rsidR="00976262" w:rsidRPr="008573C5">
        <w:rPr>
          <w:bCs/>
        </w:rPr>
        <w:tab/>
      </w:r>
      <w:r w:rsidRPr="008573C5">
        <w:rPr>
          <w:bCs/>
        </w:rPr>
        <w:t xml:space="preserve">International Accounting Standard Committee. </w:t>
      </w:r>
      <w:r w:rsidRPr="008573C5">
        <w:rPr>
          <w:bCs/>
          <w:i/>
        </w:rPr>
        <w:t>Accounting Horizon,</w:t>
      </w:r>
      <w:r w:rsidRPr="008573C5">
        <w:rPr>
          <w:bCs/>
        </w:rPr>
        <w:t xml:space="preserve"> 1-22.</w:t>
      </w:r>
    </w:p>
    <w:p w:rsidR="001C29BF" w:rsidRPr="008573C5" w:rsidRDefault="001C29BF" w:rsidP="001E78A2">
      <w:pPr>
        <w:autoSpaceDE w:val="0"/>
        <w:autoSpaceDN w:val="0"/>
        <w:adjustRightInd w:val="0"/>
        <w:spacing w:line="360" w:lineRule="auto"/>
        <w:ind w:left="720" w:firstLine="60"/>
        <w:jc w:val="both"/>
        <w:rPr>
          <w:bCs/>
          <w:i/>
        </w:rPr>
      </w:pPr>
    </w:p>
    <w:p w:rsidR="001C29BF" w:rsidRPr="008573C5" w:rsidRDefault="001C29BF" w:rsidP="00976262">
      <w:pPr>
        <w:autoSpaceDE w:val="0"/>
        <w:autoSpaceDN w:val="0"/>
        <w:adjustRightInd w:val="0"/>
        <w:spacing w:line="360" w:lineRule="auto"/>
        <w:jc w:val="both"/>
        <w:rPr>
          <w:bCs/>
        </w:rPr>
      </w:pPr>
      <w:r w:rsidRPr="008573C5">
        <w:rPr>
          <w:bCs/>
        </w:rPr>
        <w:t xml:space="preserve">Wallace, R.S.O and Naser, K. (1995). Firm-specific determinants of the </w:t>
      </w:r>
      <w:r w:rsidR="008D2043">
        <w:rPr>
          <w:bCs/>
        </w:rPr>
        <w:tab/>
      </w:r>
      <w:r w:rsidRPr="008573C5">
        <w:rPr>
          <w:bCs/>
        </w:rPr>
        <w:t xml:space="preserve">comprehensiveness of mandatory disclosure in the corporate annual reports of </w:t>
      </w:r>
      <w:r w:rsidR="008D2043">
        <w:rPr>
          <w:bCs/>
        </w:rPr>
        <w:tab/>
      </w:r>
      <w:r w:rsidRPr="008573C5">
        <w:rPr>
          <w:bCs/>
        </w:rPr>
        <w:t>firms listed on the Stock Exchange of Hong Kong.</w:t>
      </w:r>
      <w:r w:rsidRPr="008573C5">
        <w:t xml:space="preserve"> </w:t>
      </w:r>
      <w:r w:rsidRPr="008573C5">
        <w:rPr>
          <w:i/>
        </w:rPr>
        <w:t xml:space="preserve">Journal of Accounting and </w:t>
      </w:r>
      <w:r w:rsidR="008D2043">
        <w:rPr>
          <w:i/>
        </w:rPr>
        <w:tab/>
      </w:r>
      <w:r w:rsidRPr="008573C5">
        <w:rPr>
          <w:i/>
        </w:rPr>
        <w:t>Public Policy</w:t>
      </w:r>
      <w:r w:rsidRPr="008573C5">
        <w:t>, 14, 311-368.</w:t>
      </w:r>
    </w:p>
    <w:p w:rsidR="001C29BF" w:rsidRPr="008573C5" w:rsidRDefault="001C29BF" w:rsidP="001E78A2">
      <w:pPr>
        <w:autoSpaceDE w:val="0"/>
        <w:autoSpaceDN w:val="0"/>
        <w:adjustRightInd w:val="0"/>
        <w:spacing w:line="360" w:lineRule="auto"/>
        <w:jc w:val="both"/>
      </w:pPr>
      <w:r w:rsidRPr="008573C5">
        <w:rPr>
          <w:b/>
          <w:bCs/>
        </w:rPr>
        <w:t xml:space="preserve"> </w:t>
      </w:r>
    </w:p>
    <w:p w:rsidR="001C29BF" w:rsidRPr="008573C5" w:rsidRDefault="001C29BF" w:rsidP="00976262">
      <w:pPr>
        <w:autoSpaceDE w:val="0"/>
        <w:autoSpaceDN w:val="0"/>
        <w:adjustRightInd w:val="0"/>
        <w:spacing w:line="360" w:lineRule="auto"/>
        <w:jc w:val="both"/>
        <w:rPr>
          <w:bCs/>
        </w:rPr>
      </w:pPr>
      <w:r w:rsidRPr="008573C5">
        <w:t>Wallace, R.S.O., Naser, K. and Mora, A.</w:t>
      </w:r>
      <w:r w:rsidRPr="008573C5">
        <w:rPr>
          <w:bCs/>
        </w:rPr>
        <w:t xml:space="preserve"> (1994). The relationship between the </w:t>
      </w:r>
      <w:r w:rsidR="00976262" w:rsidRPr="008573C5">
        <w:rPr>
          <w:bCs/>
        </w:rPr>
        <w:tab/>
      </w:r>
      <w:r w:rsidRPr="008573C5">
        <w:rPr>
          <w:bCs/>
        </w:rPr>
        <w:t xml:space="preserve">comprehensiveness of corporate annual reports and firm characteristics in </w:t>
      </w:r>
      <w:r w:rsidR="008D2043">
        <w:rPr>
          <w:bCs/>
        </w:rPr>
        <w:tab/>
      </w:r>
      <w:r w:rsidRPr="008573C5">
        <w:rPr>
          <w:bCs/>
        </w:rPr>
        <w:t xml:space="preserve">Spain. </w:t>
      </w:r>
      <w:r w:rsidR="00976262" w:rsidRPr="008573C5">
        <w:rPr>
          <w:bCs/>
        </w:rPr>
        <w:tab/>
      </w:r>
      <w:r w:rsidRPr="008573C5">
        <w:rPr>
          <w:bCs/>
          <w:i/>
          <w:iCs/>
        </w:rPr>
        <w:t>Accounting and Business Research,</w:t>
      </w:r>
      <w:r w:rsidRPr="008573C5">
        <w:rPr>
          <w:bCs/>
        </w:rPr>
        <w:t xml:space="preserve"> 25 (97), 41-53. </w:t>
      </w:r>
    </w:p>
    <w:p w:rsidR="001C29BF" w:rsidRPr="008573C5" w:rsidRDefault="001C29BF" w:rsidP="001E78A2">
      <w:pPr>
        <w:autoSpaceDE w:val="0"/>
        <w:autoSpaceDN w:val="0"/>
        <w:adjustRightInd w:val="0"/>
        <w:spacing w:line="360" w:lineRule="auto"/>
        <w:jc w:val="both"/>
        <w:rPr>
          <w:bCs/>
        </w:rPr>
      </w:pPr>
    </w:p>
    <w:p w:rsidR="001C29BF" w:rsidRPr="008573C5" w:rsidRDefault="001C29BF" w:rsidP="00976262">
      <w:pPr>
        <w:autoSpaceDE w:val="0"/>
        <w:autoSpaceDN w:val="0"/>
        <w:adjustRightInd w:val="0"/>
        <w:spacing w:line="360" w:lineRule="auto"/>
        <w:jc w:val="both"/>
        <w:rPr>
          <w:sz w:val="20"/>
          <w:szCs w:val="20"/>
        </w:rPr>
      </w:pPr>
      <w:r w:rsidRPr="008573C5">
        <w:rPr>
          <w:bCs/>
        </w:rPr>
        <w:t>Watts, R.L.</w:t>
      </w:r>
      <w:r w:rsidR="006904D0" w:rsidRPr="008573C5">
        <w:rPr>
          <w:bCs/>
        </w:rPr>
        <w:t xml:space="preserve"> </w:t>
      </w:r>
      <w:r w:rsidRPr="008573C5">
        <w:rPr>
          <w:bCs/>
        </w:rPr>
        <w:t>(1977). Corporate financial statements, a product of the market and</w:t>
      </w:r>
      <w:r w:rsidR="00976262" w:rsidRPr="008573C5">
        <w:rPr>
          <w:bCs/>
        </w:rPr>
        <w:t xml:space="preserve"> </w:t>
      </w:r>
      <w:r w:rsidR="008D2043">
        <w:rPr>
          <w:bCs/>
        </w:rPr>
        <w:tab/>
      </w:r>
      <w:r w:rsidRPr="008573C5">
        <w:rPr>
          <w:bCs/>
        </w:rPr>
        <w:t xml:space="preserve">political processes. </w:t>
      </w:r>
      <w:r w:rsidRPr="008573C5">
        <w:rPr>
          <w:i/>
          <w:iCs/>
        </w:rPr>
        <w:t>Australian Journal of Management</w:t>
      </w:r>
      <w:r w:rsidRPr="008573C5">
        <w:t>, 4, 53-75.</w:t>
      </w:r>
    </w:p>
    <w:p w:rsidR="001C29BF" w:rsidRPr="008573C5" w:rsidRDefault="001C29BF" w:rsidP="001E78A2">
      <w:pPr>
        <w:autoSpaceDE w:val="0"/>
        <w:autoSpaceDN w:val="0"/>
        <w:adjustRightInd w:val="0"/>
        <w:spacing w:line="360" w:lineRule="auto"/>
        <w:jc w:val="both"/>
        <w:rPr>
          <w:sz w:val="20"/>
          <w:szCs w:val="20"/>
        </w:rPr>
      </w:pPr>
    </w:p>
    <w:p w:rsidR="001C29BF" w:rsidRPr="008573C5" w:rsidRDefault="001C29BF" w:rsidP="00976262">
      <w:pPr>
        <w:autoSpaceDE w:val="0"/>
        <w:autoSpaceDN w:val="0"/>
        <w:adjustRightInd w:val="0"/>
        <w:spacing w:line="360" w:lineRule="auto"/>
        <w:jc w:val="both"/>
        <w:rPr>
          <w:bCs/>
        </w:rPr>
      </w:pPr>
      <w:r w:rsidRPr="008573C5">
        <w:t>Watts, R.L and Zimmerman, J.L. (1978). T</w:t>
      </w:r>
      <w:r w:rsidRPr="008573C5">
        <w:rPr>
          <w:bCs/>
        </w:rPr>
        <w:t>owards a positive theory of the</w:t>
      </w:r>
      <w:r w:rsidR="00976262" w:rsidRPr="008573C5">
        <w:rPr>
          <w:bCs/>
        </w:rPr>
        <w:t xml:space="preserve"> </w:t>
      </w:r>
      <w:r w:rsidR="008D2043">
        <w:rPr>
          <w:bCs/>
        </w:rPr>
        <w:tab/>
      </w:r>
      <w:r w:rsidRPr="008573C5">
        <w:rPr>
          <w:bCs/>
        </w:rPr>
        <w:t xml:space="preserve">determination of Accounting Standards. </w:t>
      </w:r>
      <w:r w:rsidRPr="008573C5">
        <w:rPr>
          <w:i/>
          <w:iCs/>
        </w:rPr>
        <w:t>The Accounting Review</w:t>
      </w:r>
      <w:r w:rsidRPr="008573C5">
        <w:t xml:space="preserve">, 53 (1), </w:t>
      </w:r>
      <w:r w:rsidR="008D2043">
        <w:tab/>
      </w:r>
      <w:r w:rsidRPr="008573C5">
        <w:t>112-134.</w:t>
      </w:r>
    </w:p>
    <w:p w:rsidR="001C29BF" w:rsidRPr="008573C5" w:rsidRDefault="001C29BF" w:rsidP="001E78A2">
      <w:pPr>
        <w:autoSpaceDE w:val="0"/>
        <w:autoSpaceDN w:val="0"/>
        <w:adjustRightInd w:val="0"/>
        <w:spacing w:line="360" w:lineRule="auto"/>
        <w:jc w:val="both"/>
        <w:rPr>
          <w:i/>
          <w:iCs/>
          <w:sz w:val="12"/>
          <w:szCs w:val="12"/>
        </w:rPr>
      </w:pPr>
    </w:p>
    <w:p w:rsidR="001C29BF" w:rsidRPr="008573C5" w:rsidRDefault="001C29BF" w:rsidP="001E78A2">
      <w:pPr>
        <w:autoSpaceDE w:val="0"/>
        <w:autoSpaceDN w:val="0"/>
        <w:adjustRightInd w:val="0"/>
        <w:spacing w:line="360" w:lineRule="auto"/>
        <w:jc w:val="both"/>
      </w:pPr>
      <w:r w:rsidRPr="008573C5">
        <w:t xml:space="preserve">Watts, R.L., and Zimmerman, J.L. (1990). </w:t>
      </w:r>
      <w:r w:rsidRPr="008573C5">
        <w:rPr>
          <w:bCs/>
        </w:rPr>
        <w:t xml:space="preserve">Positive accounting theory: A ten year </w:t>
      </w:r>
      <w:r w:rsidRPr="008573C5">
        <w:rPr>
          <w:bCs/>
        </w:rPr>
        <w:tab/>
        <w:t xml:space="preserve">Perspective. </w:t>
      </w:r>
      <w:r w:rsidRPr="008573C5">
        <w:rPr>
          <w:i/>
          <w:iCs/>
        </w:rPr>
        <w:t>The Accounting Review</w:t>
      </w:r>
      <w:r w:rsidRPr="008573C5">
        <w:t>, 65 (1), 131-156.</w:t>
      </w:r>
    </w:p>
    <w:p w:rsidR="001C29BF" w:rsidRPr="008573C5" w:rsidRDefault="001C29BF" w:rsidP="001E78A2">
      <w:pPr>
        <w:autoSpaceDE w:val="0"/>
        <w:autoSpaceDN w:val="0"/>
        <w:adjustRightInd w:val="0"/>
        <w:spacing w:line="360" w:lineRule="auto"/>
        <w:jc w:val="both"/>
        <w:rPr>
          <w:bCs/>
        </w:rPr>
      </w:pPr>
    </w:p>
    <w:p w:rsidR="001C29BF" w:rsidRPr="008573C5" w:rsidRDefault="001C29BF" w:rsidP="00976262">
      <w:pPr>
        <w:autoSpaceDE w:val="0"/>
        <w:autoSpaceDN w:val="0"/>
        <w:adjustRightInd w:val="0"/>
        <w:spacing w:line="360" w:lineRule="auto"/>
        <w:jc w:val="both"/>
      </w:pPr>
      <w:r w:rsidRPr="008573C5">
        <w:t xml:space="preserve">Wilson M. and Shailer, G. (2007). </w:t>
      </w:r>
      <w:r w:rsidRPr="008573C5">
        <w:rPr>
          <w:bCs/>
        </w:rPr>
        <w:t xml:space="preserve">Accounting manipulations and political costs: </w:t>
      </w:r>
      <w:r w:rsidR="008D2043">
        <w:rPr>
          <w:bCs/>
        </w:rPr>
        <w:tab/>
      </w:r>
      <w:r w:rsidRPr="008573C5">
        <w:rPr>
          <w:bCs/>
        </w:rPr>
        <w:t xml:space="preserve">Tooth &amp; </w:t>
      </w:r>
      <w:r w:rsidR="00976262" w:rsidRPr="008573C5">
        <w:rPr>
          <w:bCs/>
        </w:rPr>
        <w:t>C</w:t>
      </w:r>
      <w:r w:rsidRPr="008573C5">
        <w:rPr>
          <w:bCs/>
        </w:rPr>
        <w:t xml:space="preserve">o. </w:t>
      </w:r>
      <w:r w:rsidR="00976262" w:rsidRPr="008573C5">
        <w:rPr>
          <w:bCs/>
        </w:rPr>
        <w:tab/>
      </w:r>
      <w:r w:rsidRPr="008573C5">
        <w:rPr>
          <w:bCs/>
        </w:rPr>
        <w:t xml:space="preserve">ltd, 1910-1965. </w:t>
      </w:r>
      <w:r w:rsidRPr="008573C5">
        <w:rPr>
          <w:bCs/>
          <w:i/>
        </w:rPr>
        <w:t xml:space="preserve">Accounting and </w:t>
      </w:r>
      <w:r w:rsidRPr="008573C5">
        <w:rPr>
          <w:i/>
          <w:iCs/>
        </w:rPr>
        <w:t>Business Research,</w:t>
      </w:r>
      <w:r w:rsidRPr="008573C5">
        <w:t xml:space="preserve"> 17 (4), </w:t>
      </w:r>
      <w:r w:rsidR="008D2043">
        <w:tab/>
      </w:r>
      <w:r w:rsidRPr="008573C5">
        <w:t>247-266.</w:t>
      </w:r>
    </w:p>
    <w:p w:rsidR="001C29BF" w:rsidRPr="008573C5" w:rsidRDefault="001C29BF" w:rsidP="001E78A2">
      <w:pPr>
        <w:autoSpaceDE w:val="0"/>
        <w:autoSpaceDN w:val="0"/>
        <w:adjustRightInd w:val="0"/>
        <w:spacing w:line="360" w:lineRule="auto"/>
        <w:jc w:val="both"/>
      </w:pPr>
    </w:p>
    <w:p w:rsidR="001C29BF" w:rsidRPr="008573C5" w:rsidRDefault="001C29BF" w:rsidP="001E78A2">
      <w:pPr>
        <w:autoSpaceDE w:val="0"/>
        <w:autoSpaceDN w:val="0"/>
        <w:adjustRightInd w:val="0"/>
        <w:spacing w:line="360" w:lineRule="auto"/>
        <w:jc w:val="both"/>
      </w:pPr>
      <w:r w:rsidRPr="008573C5">
        <w:t xml:space="preserve">Xiao, Y. (1999). Corporate disclosures made by Chinese listed companies. </w:t>
      </w:r>
      <w:r w:rsidRPr="008573C5">
        <w:rPr>
          <w:i/>
        </w:rPr>
        <w:t xml:space="preserve">The </w:t>
      </w:r>
      <w:r w:rsidRPr="008573C5">
        <w:rPr>
          <w:i/>
        </w:rPr>
        <w:tab/>
        <w:t xml:space="preserve">International Journal of Accounting, </w:t>
      </w:r>
      <w:r w:rsidRPr="008573C5">
        <w:t xml:space="preserve"> 34 (3), 349-373.</w:t>
      </w:r>
    </w:p>
    <w:p w:rsidR="001C29BF" w:rsidRPr="008573C5" w:rsidRDefault="001C29BF" w:rsidP="001C29BF">
      <w:pPr>
        <w:autoSpaceDE w:val="0"/>
        <w:autoSpaceDN w:val="0"/>
        <w:adjustRightInd w:val="0"/>
        <w:spacing w:line="360" w:lineRule="auto"/>
        <w:jc w:val="both"/>
        <w:rPr>
          <w:rFonts w:ascii="AdvTT17231a59.B" w:hAnsi="AdvTT17231a59.B" w:cs="AdvTT17231a59.B"/>
          <w:sz w:val="20"/>
          <w:szCs w:val="20"/>
        </w:rPr>
      </w:pPr>
    </w:p>
    <w:p w:rsidR="009D7BFE" w:rsidRPr="008573C5" w:rsidRDefault="009D7BFE" w:rsidP="001F60B6">
      <w:pPr>
        <w:autoSpaceDE w:val="0"/>
        <w:autoSpaceDN w:val="0"/>
        <w:adjustRightInd w:val="0"/>
        <w:spacing w:line="360" w:lineRule="auto"/>
        <w:ind w:left="720" w:hanging="720"/>
        <w:jc w:val="both"/>
        <w:rPr>
          <w:b/>
          <w:sz w:val="28"/>
          <w:szCs w:val="28"/>
        </w:rPr>
      </w:pPr>
      <w:r w:rsidRPr="008573C5">
        <w:rPr>
          <w:b/>
          <w:sz w:val="28"/>
          <w:szCs w:val="28"/>
        </w:rPr>
        <w:t>I</w:t>
      </w:r>
      <w:r w:rsidR="00D24B65" w:rsidRPr="008573C5">
        <w:rPr>
          <w:b/>
          <w:sz w:val="28"/>
          <w:szCs w:val="28"/>
        </w:rPr>
        <w:t>nternet Sources</w:t>
      </w:r>
    </w:p>
    <w:p w:rsidR="00FE2969" w:rsidRPr="008573C5" w:rsidRDefault="00FE2969" w:rsidP="00FE2969">
      <w:pPr>
        <w:spacing w:line="360" w:lineRule="auto"/>
        <w:jc w:val="both"/>
      </w:pPr>
    </w:p>
    <w:p w:rsidR="00D904F6" w:rsidRPr="008573C5" w:rsidRDefault="006904D0" w:rsidP="00976262">
      <w:pPr>
        <w:autoSpaceDE w:val="0"/>
        <w:autoSpaceDN w:val="0"/>
        <w:adjustRightInd w:val="0"/>
        <w:spacing w:line="360" w:lineRule="auto"/>
        <w:jc w:val="both"/>
      </w:pPr>
      <w:r w:rsidRPr="008573C5">
        <w:t>Bush, G. ( 2008).</w:t>
      </w:r>
      <w:r w:rsidR="00D904F6" w:rsidRPr="008573C5">
        <w:t xml:space="preserve"> President Bush discusses financial markets and World economy. </w:t>
      </w:r>
      <w:r w:rsidR="00D904F6" w:rsidRPr="008573C5">
        <w:tab/>
        <w:t xml:space="preserve">Retrieved  January 2009 from </w:t>
      </w:r>
      <w:hyperlink r:id="rId23" w:history="1">
        <w:r w:rsidR="00D904F6" w:rsidRPr="008573C5">
          <w:rPr>
            <w:rStyle w:val="Hyperlink"/>
            <w:color w:val="auto"/>
          </w:rPr>
          <w:t>http://www.0811bush.pdf</w:t>
        </w:r>
      </w:hyperlink>
      <w:r w:rsidR="00D904F6" w:rsidRPr="008573C5">
        <w:t>.</w:t>
      </w:r>
    </w:p>
    <w:p w:rsidR="00D904F6" w:rsidRPr="008573C5" w:rsidRDefault="00D904F6" w:rsidP="00976262">
      <w:pPr>
        <w:spacing w:line="360" w:lineRule="auto"/>
        <w:jc w:val="both"/>
      </w:pPr>
    </w:p>
    <w:p w:rsidR="00C477E0" w:rsidRPr="008573C5" w:rsidRDefault="00C477E0" w:rsidP="00976262">
      <w:pPr>
        <w:autoSpaceDE w:val="0"/>
        <w:autoSpaceDN w:val="0"/>
        <w:adjustRightInd w:val="0"/>
        <w:spacing w:line="360" w:lineRule="auto"/>
        <w:jc w:val="both"/>
      </w:pPr>
      <w:r w:rsidRPr="008573C5">
        <w:t xml:space="preserve">Egedegbe, M. (2009). Adoption of IFRS on the NSE, Retrieved May 31, </w:t>
      </w:r>
      <w:r w:rsidR="00976262" w:rsidRPr="008573C5">
        <w:tab/>
      </w:r>
      <w:r w:rsidRPr="008573C5">
        <w:t>fromhttp://www.stockmarketnigeria.com/2009/04/21/adoption_of_ifrs_on_the</w:t>
      </w:r>
      <w:r w:rsidR="008D2043">
        <w:t xml:space="preserve"> </w:t>
      </w:r>
      <w:r w:rsidR="008D2043">
        <w:tab/>
      </w:r>
      <w:r w:rsidRPr="008573C5">
        <w:t xml:space="preserve">_rise </w:t>
      </w:r>
    </w:p>
    <w:p w:rsidR="00C477E0" w:rsidRPr="008573C5" w:rsidRDefault="00C477E0" w:rsidP="00976262">
      <w:pPr>
        <w:autoSpaceDE w:val="0"/>
        <w:autoSpaceDN w:val="0"/>
        <w:adjustRightInd w:val="0"/>
        <w:spacing w:line="360" w:lineRule="auto"/>
        <w:jc w:val="both"/>
      </w:pPr>
    </w:p>
    <w:p w:rsidR="004E5EFA" w:rsidRPr="008573C5" w:rsidRDefault="004E5EFA" w:rsidP="00976262">
      <w:pPr>
        <w:autoSpaceDE w:val="0"/>
        <w:autoSpaceDN w:val="0"/>
        <w:adjustRightInd w:val="0"/>
        <w:spacing w:line="360" w:lineRule="auto"/>
        <w:jc w:val="both"/>
        <w:rPr>
          <w:iCs/>
        </w:rPr>
      </w:pPr>
      <w:r w:rsidRPr="008573C5">
        <w:rPr>
          <w:iCs/>
        </w:rPr>
        <w:t xml:space="preserve">Galleria (2009): Lagos State. </w:t>
      </w:r>
      <w:r w:rsidRPr="008573C5">
        <w:rPr>
          <w:i/>
          <w:iCs/>
        </w:rPr>
        <w:t>Galleria</w:t>
      </w:r>
      <w:r w:rsidRPr="008573C5">
        <w:rPr>
          <w:iCs/>
        </w:rPr>
        <w:t xml:space="preserve">. Retrieved May 30, from </w:t>
      </w:r>
      <w:r w:rsidRPr="008573C5">
        <w:rPr>
          <w:iCs/>
        </w:rPr>
        <w:tab/>
        <w:t>http://www.nigeriagalleria.com/Nigeria/States_Nigeria/Lagos+State.html</w:t>
      </w:r>
    </w:p>
    <w:p w:rsidR="00C03248" w:rsidRPr="008573C5" w:rsidRDefault="00C03248" w:rsidP="00976262">
      <w:pPr>
        <w:autoSpaceDE w:val="0"/>
        <w:autoSpaceDN w:val="0"/>
        <w:adjustRightInd w:val="0"/>
        <w:spacing w:line="360" w:lineRule="auto"/>
        <w:jc w:val="both"/>
      </w:pPr>
    </w:p>
    <w:p w:rsidR="004E5EFA" w:rsidRPr="008D2043" w:rsidRDefault="00C03248" w:rsidP="00976262">
      <w:pPr>
        <w:autoSpaceDE w:val="0"/>
        <w:autoSpaceDN w:val="0"/>
        <w:adjustRightInd w:val="0"/>
        <w:spacing w:line="360" w:lineRule="auto"/>
        <w:jc w:val="both"/>
      </w:pPr>
      <w:r w:rsidRPr="008573C5">
        <w:t>HDI (</w:t>
      </w:r>
      <w:r w:rsidRPr="008D2043">
        <w:t xml:space="preserve">2006): Human Development Index, Nigeria. Retrieved July 2009, from </w:t>
      </w:r>
      <w:r w:rsidR="00976262" w:rsidRPr="008D2043">
        <w:tab/>
      </w:r>
      <w:hyperlink r:id="rId24" w:history="1">
        <w:r w:rsidR="008D2043" w:rsidRPr="008D2043">
          <w:rPr>
            <w:rStyle w:val="Hyperlink"/>
            <w:color w:val="auto"/>
          </w:rPr>
          <w:t>http://hdrstats.undp.org/en/2008/countries/country_fact_sheets/cty_fs_NGA.ht</w:t>
        </w:r>
      </w:hyperlink>
      <w:r w:rsidR="008D2043" w:rsidRPr="008D2043">
        <w:tab/>
        <w:t>m</w:t>
      </w:r>
      <w:r w:rsidRPr="008D2043">
        <w:t>l</w:t>
      </w:r>
    </w:p>
    <w:p w:rsidR="00C03248" w:rsidRPr="008D2043" w:rsidRDefault="00C03248" w:rsidP="00976262">
      <w:pPr>
        <w:autoSpaceDE w:val="0"/>
        <w:autoSpaceDN w:val="0"/>
        <w:adjustRightInd w:val="0"/>
        <w:spacing w:line="360" w:lineRule="auto"/>
        <w:jc w:val="both"/>
      </w:pPr>
    </w:p>
    <w:p w:rsidR="00EF51FA" w:rsidRPr="008573C5" w:rsidRDefault="00EF51FA" w:rsidP="00976262">
      <w:pPr>
        <w:autoSpaceDE w:val="0"/>
        <w:autoSpaceDN w:val="0"/>
        <w:adjustRightInd w:val="0"/>
        <w:spacing w:line="360" w:lineRule="auto"/>
        <w:jc w:val="both"/>
        <w:rPr>
          <w:bCs/>
        </w:rPr>
      </w:pPr>
      <w:r w:rsidRPr="008573C5">
        <w:t xml:space="preserve">IASB (2006). </w:t>
      </w:r>
      <w:r w:rsidRPr="008573C5">
        <w:rPr>
          <w:bCs/>
        </w:rPr>
        <w:t xml:space="preserve">Preliminary Views on an improved Conceptual Framework for </w:t>
      </w:r>
      <w:r w:rsidR="008D2043">
        <w:rPr>
          <w:bCs/>
        </w:rPr>
        <w:tab/>
      </w:r>
      <w:r w:rsidRPr="008573C5">
        <w:rPr>
          <w:bCs/>
        </w:rPr>
        <w:t xml:space="preserve">Financial Reporting: The Objective of Financial Reporting and Qualitative </w:t>
      </w:r>
      <w:r w:rsidR="008D2043">
        <w:rPr>
          <w:bCs/>
        </w:rPr>
        <w:tab/>
      </w:r>
      <w:r w:rsidRPr="008573C5">
        <w:rPr>
          <w:bCs/>
        </w:rPr>
        <w:t xml:space="preserve">Characteristics of Decision-useful Financial Reporting Information, </w:t>
      </w:r>
      <w:r w:rsidR="008D2043">
        <w:rPr>
          <w:bCs/>
        </w:rPr>
        <w:tab/>
      </w:r>
      <w:r w:rsidRPr="008573C5">
        <w:rPr>
          <w:bCs/>
        </w:rPr>
        <w:t xml:space="preserve">Discussion Paper, Retrieved February 28 from </w:t>
      </w:r>
      <w:hyperlink r:id="rId25" w:history="1">
        <w:r w:rsidRPr="008573C5">
          <w:rPr>
            <w:rStyle w:val="Hyperlink"/>
            <w:bCs/>
            <w:color w:val="auto"/>
          </w:rPr>
          <w:t>www.iasb.org</w:t>
        </w:r>
      </w:hyperlink>
      <w:r w:rsidRPr="008573C5">
        <w:rPr>
          <w:bCs/>
        </w:rPr>
        <w:t>.</w:t>
      </w:r>
    </w:p>
    <w:p w:rsidR="00EF51FA" w:rsidRPr="008573C5" w:rsidRDefault="00EF51FA" w:rsidP="00976262">
      <w:pPr>
        <w:spacing w:line="360" w:lineRule="auto"/>
        <w:jc w:val="both"/>
      </w:pPr>
    </w:p>
    <w:p w:rsidR="00FE2969" w:rsidRPr="008D2043" w:rsidRDefault="00FE2969" w:rsidP="00976262">
      <w:pPr>
        <w:spacing w:line="360" w:lineRule="auto"/>
        <w:jc w:val="both"/>
      </w:pPr>
      <w:r w:rsidRPr="008573C5">
        <w:t>Impey</w:t>
      </w:r>
      <w:r w:rsidRPr="008D2043">
        <w:t xml:space="preserve">, A. (n. d). Understanding IFRS. Retrieved November 1, 2007, from </w:t>
      </w:r>
      <w:r w:rsidR="00976262" w:rsidRPr="008D2043">
        <w:tab/>
      </w:r>
      <w:hyperlink r:id="rId26" w:history="1">
        <w:r w:rsidR="008D2043" w:rsidRPr="008D2043">
          <w:rPr>
            <w:rStyle w:val="Hyperlink"/>
            <w:color w:val="auto"/>
          </w:rPr>
          <w:t>http://www.pwc.com/Extweb/pwcpublications.nsf/docid/161BDC4202A1237</w:t>
        </w:r>
        <w:r w:rsidR="008D2043" w:rsidRPr="008D2043">
          <w:rPr>
            <w:rStyle w:val="Hyperlink"/>
            <w:color w:val="auto"/>
            <w:u w:val="none"/>
          </w:rPr>
          <w:tab/>
        </w:r>
        <w:r w:rsidR="008D2043" w:rsidRPr="008D2043">
          <w:rPr>
            <w:rStyle w:val="Hyperlink"/>
            <w:color w:val="auto"/>
          </w:rPr>
          <w:t>802572E700318D4E</w:t>
        </w:r>
      </w:hyperlink>
      <w:r w:rsidRPr="008D2043">
        <w:t>.</w:t>
      </w:r>
    </w:p>
    <w:p w:rsidR="00FE2969" w:rsidRPr="008D2043" w:rsidRDefault="00FE2969" w:rsidP="00976262">
      <w:pPr>
        <w:autoSpaceDE w:val="0"/>
        <w:autoSpaceDN w:val="0"/>
        <w:adjustRightInd w:val="0"/>
        <w:spacing w:line="360" w:lineRule="auto"/>
        <w:jc w:val="both"/>
      </w:pPr>
    </w:p>
    <w:p w:rsidR="00624C57" w:rsidRPr="008573C5" w:rsidRDefault="00624C57" w:rsidP="00976262">
      <w:pPr>
        <w:autoSpaceDE w:val="0"/>
        <w:autoSpaceDN w:val="0"/>
        <w:adjustRightInd w:val="0"/>
        <w:spacing w:line="360" w:lineRule="auto"/>
        <w:jc w:val="both"/>
      </w:pPr>
      <w:r w:rsidRPr="008573C5">
        <w:t xml:space="preserve">NASB (2007). Nigerian Accounting Standard Board history. Retrieved October 10, </w:t>
      </w:r>
      <w:r w:rsidRPr="008573C5">
        <w:tab/>
        <w:t>2007, from http://www.nig-asb.org</w:t>
      </w:r>
      <w:r w:rsidR="009C4ECD" w:rsidRPr="008573C5">
        <w:t>.</w:t>
      </w:r>
      <w:r w:rsidRPr="008573C5">
        <w:t xml:space="preserve"> </w:t>
      </w:r>
    </w:p>
    <w:p w:rsidR="00D550BC" w:rsidRPr="008573C5" w:rsidRDefault="00D550BC" w:rsidP="00976262">
      <w:pPr>
        <w:autoSpaceDE w:val="0"/>
        <w:autoSpaceDN w:val="0"/>
        <w:adjustRightInd w:val="0"/>
        <w:spacing w:line="360" w:lineRule="auto"/>
        <w:jc w:val="both"/>
      </w:pPr>
    </w:p>
    <w:p w:rsidR="00D15C30" w:rsidRPr="008573C5" w:rsidRDefault="00D550BC" w:rsidP="00976262">
      <w:pPr>
        <w:autoSpaceDE w:val="0"/>
        <w:autoSpaceDN w:val="0"/>
        <w:adjustRightInd w:val="0"/>
        <w:spacing w:line="360" w:lineRule="auto"/>
        <w:jc w:val="both"/>
        <w:rPr>
          <w:lang w:val="en-GB" w:eastAsia="en-GB"/>
        </w:rPr>
      </w:pPr>
      <w:r w:rsidRPr="008573C5">
        <w:t xml:space="preserve">Nnadi, G.  (2009b). </w:t>
      </w:r>
      <w:r w:rsidRPr="008573C5">
        <w:rPr>
          <w:bCs/>
        </w:rPr>
        <w:t xml:space="preserve">Financial Reporting: Nigeria Urged to Adopt IFRS, </w:t>
      </w:r>
      <w:r w:rsidR="007C68DF" w:rsidRPr="008573C5">
        <w:rPr>
          <w:bCs/>
          <w:i/>
        </w:rPr>
        <w:t xml:space="preserve">Financial </w:t>
      </w:r>
      <w:r w:rsidR="007C68DF" w:rsidRPr="008573C5">
        <w:rPr>
          <w:bCs/>
          <w:i/>
        </w:rPr>
        <w:tab/>
        <w:t>Nigeria</w:t>
      </w:r>
      <w:r w:rsidR="008D2043">
        <w:rPr>
          <w:bCs/>
        </w:rPr>
        <w:t xml:space="preserve">. </w:t>
      </w:r>
      <w:r w:rsidRPr="008573C5">
        <w:rPr>
          <w:bCs/>
        </w:rPr>
        <w:t>Retrieved</w:t>
      </w:r>
      <w:r w:rsidR="007C68DF" w:rsidRPr="008573C5">
        <w:rPr>
          <w:bCs/>
        </w:rPr>
        <w:t xml:space="preserve"> </w:t>
      </w:r>
      <w:r w:rsidRPr="008573C5">
        <w:rPr>
          <w:bCs/>
        </w:rPr>
        <w:t xml:space="preserve">May 30, 2007 from </w:t>
      </w:r>
      <w:r w:rsidR="00976262" w:rsidRPr="008573C5">
        <w:rPr>
          <w:bCs/>
        </w:rPr>
        <w:tab/>
      </w:r>
      <w:r w:rsidRPr="008573C5">
        <w:rPr>
          <w:bCs/>
        </w:rPr>
        <w:t>http://www.financialnigeria.com/NEWS/news_item_detail.aspx?item=3380</w:t>
      </w:r>
      <w:r w:rsidR="009C4ECD" w:rsidRPr="008573C5">
        <w:rPr>
          <w:bCs/>
        </w:rPr>
        <w:t>.</w:t>
      </w:r>
      <w:r w:rsidRPr="008573C5">
        <w:rPr>
          <w:bCs/>
        </w:rPr>
        <w:t xml:space="preserve"> </w:t>
      </w:r>
      <w:r w:rsidR="006E22C9" w:rsidRPr="008573C5">
        <w:rPr>
          <w:bCs/>
        </w:rPr>
        <w:object w:dxaOrig="225" w:dyaOrig="225">
          <v:shape id="_x0000_i1043" type="#_x0000_t75" style="width:1in;height:18.4pt" o:ole="">
            <v:imagedata r:id="rId27" o:title=""/>
          </v:shape>
          <w:control r:id="rId28" w:name="DefaultOcxName21" w:shapeid="_x0000_i1043"/>
        </w:object>
      </w:r>
      <w:r w:rsidR="006E22C9" w:rsidRPr="008573C5">
        <w:rPr>
          <w:bCs/>
        </w:rPr>
        <w:object w:dxaOrig="225" w:dyaOrig="225">
          <v:shape id="_x0000_i1046" type="#_x0000_t75" style="width:1in;height:18.4pt" o:ole="">
            <v:imagedata r:id="rId29" o:title=""/>
          </v:shape>
          <w:control r:id="rId30" w:name="DefaultOcxName31" w:shapeid="_x0000_i1046"/>
        </w:object>
      </w:r>
      <w:r w:rsidRPr="008573C5">
        <w:rPr>
          <w:bCs/>
        </w:rPr>
        <w:br/>
      </w:r>
    </w:p>
    <w:p w:rsidR="00F91FB7" w:rsidRPr="008573C5" w:rsidRDefault="00F91FB7" w:rsidP="00976262">
      <w:pPr>
        <w:pStyle w:val="NormalWeb"/>
        <w:spacing w:before="0" w:beforeAutospacing="0" w:after="0" w:afterAutospacing="0" w:line="360" w:lineRule="auto"/>
        <w:jc w:val="both"/>
        <w:rPr>
          <w:i/>
        </w:rPr>
      </w:pPr>
      <w:r w:rsidRPr="008573C5">
        <w:t xml:space="preserve">Nzekwe, S. ( 2009, March 19). ANAN commends Senate on Financial Reporting </w:t>
      </w:r>
      <w:r w:rsidR="008D2043">
        <w:tab/>
        <w:t>C</w:t>
      </w:r>
      <w:r w:rsidRPr="008573C5">
        <w:t xml:space="preserve">ouncil </w:t>
      </w:r>
      <w:r w:rsidR="00976262" w:rsidRPr="008573C5">
        <w:tab/>
      </w:r>
      <w:r w:rsidRPr="008573C5">
        <w:t xml:space="preserve">Bill, </w:t>
      </w:r>
      <w:r w:rsidR="007C68DF" w:rsidRPr="008573C5">
        <w:rPr>
          <w:i/>
        </w:rPr>
        <w:t>Guardian</w:t>
      </w:r>
      <w:r w:rsidR="007C68DF" w:rsidRPr="008573C5">
        <w:t>.</w:t>
      </w:r>
      <w:r w:rsidRPr="008573C5">
        <w:t xml:space="preserve"> Retrieved, March 19, from </w:t>
      </w:r>
      <w:r w:rsidR="00976262" w:rsidRPr="008573C5">
        <w:tab/>
      </w:r>
      <w:r w:rsidRPr="008573C5">
        <w:rPr>
          <w:rStyle w:val="HTMLCite"/>
          <w:i w:val="0"/>
        </w:rPr>
        <w:t>www.ngrguardiannews.com/...//indexn3_html</w:t>
      </w:r>
      <w:r w:rsidR="009C4ECD" w:rsidRPr="008573C5">
        <w:rPr>
          <w:rStyle w:val="HTMLCite"/>
          <w:i w:val="0"/>
        </w:rPr>
        <w:t>.</w:t>
      </w:r>
    </w:p>
    <w:p w:rsidR="00F91FB7" w:rsidRPr="008573C5" w:rsidRDefault="00F91FB7" w:rsidP="00976262">
      <w:pPr>
        <w:autoSpaceDE w:val="0"/>
        <w:autoSpaceDN w:val="0"/>
        <w:adjustRightInd w:val="0"/>
        <w:spacing w:line="360" w:lineRule="auto"/>
        <w:jc w:val="both"/>
        <w:rPr>
          <w:lang w:val="en-GB" w:eastAsia="en-GB"/>
        </w:rPr>
      </w:pPr>
    </w:p>
    <w:p w:rsidR="008D2043" w:rsidRPr="008D2043" w:rsidRDefault="007C68DF" w:rsidP="00976262">
      <w:pPr>
        <w:autoSpaceDE w:val="0"/>
        <w:autoSpaceDN w:val="0"/>
        <w:adjustRightInd w:val="0"/>
        <w:spacing w:line="360" w:lineRule="auto"/>
        <w:jc w:val="both"/>
      </w:pPr>
      <w:r w:rsidRPr="008573C5">
        <w:t xml:space="preserve">Reuters (2009, April 7). Nigeria’s First Bank, Access Bank adopt IFRS. </w:t>
      </w:r>
      <w:r w:rsidRPr="008573C5">
        <w:rPr>
          <w:i/>
        </w:rPr>
        <w:t>Reuters</w:t>
      </w:r>
      <w:r w:rsidRPr="008573C5">
        <w:t xml:space="preserve">, </w:t>
      </w:r>
      <w:r w:rsidRPr="008573C5">
        <w:tab/>
        <w:t xml:space="preserve">Retrieved </w:t>
      </w:r>
      <w:r w:rsidR="00976262" w:rsidRPr="008573C5">
        <w:tab/>
      </w:r>
      <w:r w:rsidRPr="008573C5">
        <w:t xml:space="preserve">30 May from </w:t>
      </w:r>
      <w:r w:rsidRPr="008D2043">
        <w:tab/>
      </w:r>
      <w:hyperlink r:id="rId31" w:history="1">
        <w:r w:rsidR="008D2043" w:rsidRPr="008D2043">
          <w:rPr>
            <w:rStyle w:val="Hyperlink"/>
            <w:color w:val="auto"/>
          </w:rPr>
          <w:t>http://www.reuters.com/article/rbssbanks/</w:t>
        </w:r>
      </w:hyperlink>
    </w:p>
    <w:p w:rsidR="007C68DF" w:rsidRPr="008D2043" w:rsidRDefault="007C68DF" w:rsidP="008D2043">
      <w:pPr>
        <w:autoSpaceDE w:val="0"/>
        <w:autoSpaceDN w:val="0"/>
        <w:adjustRightInd w:val="0"/>
        <w:spacing w:line="360" w:lineRule="auto"/>
        <w:ind w:firstLine="720"/>
        <w:jc w:val="both"/>
      </w:pPr>
      <w:r w:rsidRPr="008D2043">
        <w:t>idusc756466620090407</w:t>
      </w:r>
    </w:p>
    <w:p w:rsidR="007C68DF" w:rsidRPr="008D2043" w:rsidRDefault="007C68DF" w:rsidP="00976262">
      <w:pPr>
        <w:autoSpaceDE w:val="0"/>
        <w:autoSpaceDN w:val="0"/>
        <w:adjustRightInd w:val="0"/>
        <w:spacing w:line="360" w:lineRule="auto"/>
        <w:jc w:val="both"/>
        <w:rPr>
          <w:lang w:val="en-GB" w:eastAsia="en-GB"/>
        </w:rPr>
      </w:pPr>
    </w:p>
    <w:p w:rsidR="008D2043" w:rsidRPr="008D2043" w:rsidRDefault="00D15C30" w:rsidP="00976262">
      <w:pPr>
        <w:autoSpaceDE w:val="0"/>
        <w:autoSpaceDN w:val="0"/>
        <w:adjustRightInd w:val="0"/>
        <w:spacing w:line="360" w:lineRule="auto"/>
        <w:jc w:val="both"/>
      </w:pPr>
      <w:r w:rsidRPr="008D2043">
        <w:rPr>
          <w:lang w:val="en-GB" w:eastAsia="en-GB"/>
        </w:rPr>
        <w:t>Securities and Exchange Commission</w:t>
      </w:r>
      <w:r w:rsidRPr="008D2043">
        <w:rPr>
          <w:rFonts w:ascii="Times" w:hAnsi="Times" w:cs="Times"/>
        </w:rPr>
        <w:t>, (n.d). Capital market data bank. Retrieved</w:t>
      </w:r>
      <w:r w:rsidR="00976262" w:rsidRPr="008D2043">
        <w:rPr>
          <w:rFonts w:ascii="Times" w:hAnsi="Times" w:cs="Times"/>
        </w:rPr>
        <w:t xml:space="preserve"> </w:t>
      </w:r>
      <w:r w:rsidR="008D2043" w:rsidRPr="008D2043">
        <w:rPr>
          <w:rFonts w:ascii="Times" w:hAnsi="Times" w:cs="Times"/>
        </w:rPr>
        <w:tab/>
      </w:r>
      <w:r w:rsidRPr="008D2043">
        <w:rPr>
          <w:rFonts w:ascii="Times" w:hAnsi="Times" w:cs="Times"/>
        </w:rPr>
        <w:t xml:space="preserve">January 18, </w:t>
      </w:r>
      <w:r w:rsidR="00976262" w:rsidRPr="008D2043">
        <w:rPr>
          <w:rFonts w:ascii="Times" w:hAnsi="Times" w:cs="Times"/>
        </w:rPr>
        <w:tab/>
      </w:r>
      <w:r w:rsidRPr="008D2043">
        <w:rPr>
          <w:rFonts w:ascii="Times" w:hAnsi="Times" w:cs="Times"/>
        </w:rPr>
        <w:t>2009</w:t>
      </w:r>
      <w:r w:rsidR="008D2043" w:rsidRPr="008D2043">
        <w:rPr>
          <w:rFonts w:ascii="Times" w:hAnsi="Times" w:cs="Times"/>
        </w:rPr>
        <w:t xml:space="preserve"> </w:t>
      </w:r>
      <w:r w:rsidRPr="008D2043">
        <w:rPr>
          <w:rFonts w:ascii="Times" w:hAnsi="Times" w:cs="Times"/>
        </w:rPr>
        <w:t xml:space="preserve">from </w:t>
      </w:r>
      <w:r w:rsidR="008D2043" w:rsidRPr="008D2043">
        <w:rPr>
          <w:rFonts w:ascii="Times" w:hAnsi="Times" w:cs="Times"/>
        </w:rPr>
        <w:tab/>
      </w:r>
      <w:hyperlink r:id="rId32" w:history="1">
        <w:r w:rsidRPr="008D2043">
          <w:rPr>
            <w:rStyle w:val="Hyperlink"/>
            <w:rFonts w:ascii="Times" w:hAnsi="Times" w:cs="Times"/>
            <w:color w:val="auto"/>
            <w:u w:val="none"/>
          </w:rPr>
          <w:t>http://wwwdatabase.sec.gov.ng/growthof</w:t>
        </w:r>
      </w:hyperlink>
    </w:p>
    <w:p w:rsidR="00D15C30" w:rsidRPr="008573C5" w:rsidRDefault="00D15C30" w:rsidP="008D2043">
      <w:pPr>
        <w:autoSpaceDE w:val="0"/>
        <w:autoSpaceDN w:val="0"/>
        <w:adjustRightInd w:val="0"/>
        <w:spacing w:line="360" w:lineRule="auto"/>
        <w:ind w:firstLine="720"/>
        <w:jc w:val="both"/>
      </w:pPr>
      <w:r w:rsidRPr="008573C5">
        <w:rPr>
          <w:rFonts w:ascii="Times" w:hAnsi="Times" w:cs="Times"/>
        </w:rPr>
        <w:t>securities.htm.</w:t>
      </w:r>
    </w:p>
    <w:p w:rsidR="006651E8" w:rsidRPr="008573C5" w:rsidRDefault="006651E8" w:rsidP="00976262">
      <w:pPr>
        <w:pStyle w:val="NormalWeb"/>
        <w:spacing w:before="0" w:beforeAutospacing="0" w:after="0" w:afterAutospacing="0" w:line="360" w:lineRule="auto"/>
        <w:jc w:val="both"/>
      </w:pPr>
    </w:p>
    <w:p w:rsidR="00D15C30" w:rsidRPr="008573C5" w:rsidRDefault="00D15C30" w:rsidP="00976262">
      <w:pPr>
        <w:autoSpaceDE w:val="0"/>
        <w:autoSpaceDN w:val="0"/>
        <w:adjustRightInd w:val="0"/>
        <w:spacing w:line="360" w:lineRule="auto"/>
        <w:jc w:val="both"/>
        <w:rPr>
          <w:lang w:val="en-GB" w:eastAsia="en-GB"/>
        </w:rPr>
      </w:pPr>
      <w:r w:rsidRPr="008573C5">
        <w:rPr>
          <w:lang w:val="en-GB" w:eastAsia="en-GB"/>
        </w:rPr>
        <w:t xml:space="preserve">Securities and Exchange Commission Rules and Regulation (1990). Retrieved </w:t>
      </w:r>
      <w:r w:rsidR="008D2043" w:rsidRPr="008D2043">
        <w:rPr>
          <w:lang w:val="en-GB" w:eastAsia="en-GB"/>
        </w:rPr>
        <w:tab/>
      </w:r>
      <w:r w:rsidRPr="008D2043">
        <w:rPr>
          <w:lang w:val="en-GB" w:eastAsia="en-GB"/>
        </w:rPr>
        <w:t xml:space="preserve">January 18, </w:t>
      </w:r>
      <w:r w:rsidR="00976262" w:rsidRPr="008D2043">
        <w:rPr>
          <w:lang w:val="en-GB" w:eastAsia="en-GB"/>
        </w:rPr>
        <w:tab/>
      </w:r>
      <w:r w:rsidRPr="008D2043">
        <w:rPr>
          <w:lang w:val="en-GB" w:eastAsia="en-GB"/>
        </w:rPr>
        <w:t>2009</w:t>
      </w:r>
      <w:r w:rsidR="00976262" w:rsidRPr="008D2043">
        <w:rPr>
          <w:lang w:val="en-GB" w:eastAsia="en-GB"/>
        </w:rPr>
        <w:t xml:space="preserve"> from </w:t>
      </w:r>
      <w:hyperlink r:id="rId33" w:history="1">
        <w:r w:rsidR="008D2043" w:rsidRPr="008D2043">
          <w:rPr>
            <w:rStyle w:val="Hyperlink"/>
            <w:color w:val="auto"/>
            <w:lang w:val="en-GB" w:eastAsia="en-GB"/>
          </w:rPr>
          <w:t xml:space="preserve">http://www.elaws.gov.on.ca/html/statutes/english </w:t>
        </w:r>
        <w:r w:rsidR="008D2043" w:rsidRPr="008D2043">
          <w:rPr>
            <w:rStyle w:val="Hyperlink"/>
            <w:color w:val="auto"/>
            <w:u w:val="none"/>
            <w:lang w:val="en-GB" w:eastAsia="en-GB"/>
          </w:rPr>
          <w:tab/>
        </w:r>
        <w:r w:rsidR="008D2043" w:rsidRPr="008D2043">
          <w:rPr>
            <w:rStyle w:val="Hyperlink"/>
            <w:color w:val="auto"/>
            <w:lang w:val="en-GB" w:eastAsia="en-GB"/>
          </w:rPr>
          <w:t>/elaws_statutes_90505</w:t>
        </w:r>
      </w:hyperlink>
      <w:r w:rsidRPr="008573C5">
        <w:rPr>
          <w:lang w:val="en-GB" w:eastAsia="en-GB"/>
        </w:rPr>
        <w:t>_e.htm</w:t>
      </w:r>
    </w:p>
    <w:p w:rsidR="00D15C30" w:rsidRPr="008573C5" w:rsidRDefault="00D15C30" w:rsidP="00976262">
      <w:pPr>
        <w:pStyle w:val="NormalWeb"/>
        <w:spacing w:before="0" w:beforeAutospacing="0" w:after="0" w:afterAutospacing="0" w:line="360" w:lineRule="auto"/>
        <w:jc w:val="both"/>
      </w:pPr>
    </w:p>
    <w:p w:rsidR="006651E8" w:rsidRPr="008573C5" w:rsidRDefault="006651E8" w:rsidP="00976262">
      <w:pPr>
        <w:pStyle w:val="NormalWeb"/>
        <w:spacing w:before="0" w:beforeAutospacing="0" w:after="0" w:afterAutospacing="0" w:line="360" w:lineRule="auto"/>
        <w:jc w:val="both"/>
      </w:pPr>
      <w:r w:rsidRPr="008573C5">
        <w:t xml:space="preserve">Waresul Karim, A.K.M. and Ahmed, J.U. (2006). Determinants of IAS disclosure </w:t>
      </w:r>
      <w:r w:rsidR="0078793E" w:rsidRPr="008573C5">
        <w:tab/>
      </w:r>
      <w:r w:rsidRPr="008573C5">
        <w:t xml:space="preserve">compliance in emerging economies: Evidence from exchange-listed </w:t>
      </w:r>
      <w:r w:rsidR="008D2043">
        <w:tab/>
      </w:r>
      <w:r w:rsidRPr="008573C5">
        <w:t xml:space="preserve">companies in </w:t>
      </w:r>
      <w:r w:rsidR="0078793E" w:rsidRPr="008573C5">
        <w:tab/>
      </w:r>
      <w:r w:rsidRPr="008573C5">
        <w:t xml:space="preserve">Bangladesh. Retrieved May 1, 2007, from </w:t>
      </w:r>
      <w:r w:rsidR="0078793E" w:rsidRPr="008573C5">
        <w:tab/>
      </w:r>
      <w:hyperlink r:id="rId34" w:history="1">
        <w:r w:rsidRPr="008573C5">
          <w:rPr>
            <w:rStyle w:val="Hyperlink"/>
            <w:color w:val="auto"/>
          </w:rPr>
          <w:t>http://www.eaa2006.com/pdf/EAA2006_0867_paper.pdf</w:t>
        </w:r>
      </w:hyperlink>
      <w:r w:rsidRPr="008573C5">
        <w:t>.</w:t>
      </w:r>
    </w:p>
    <w:p w:rsidR="000A67B7" w:rsidRPr="008573C5" w:rsidRDefault="000A67B7" w:rsidP="001F60B6">
      <w:pPr>
        <w:autoSpaceDE w:val="0"/>
        <w:autoSpaceDN w:val="0"/>
        <w:adjustRightInd w:val="0"/>
        <w:spacing w:line="360" w:lineRule="auto"/>
        <w:ind w:left="720" w:hanging="720"/>
        <w:jc w:val="both"/>
        <w:rPr>
          <w:b/>
        </w:rPr>
      </w:pPr>
    </w:p>
    <w:p w:rsidR="00A01073" w:rsidRPr="008573C5" w:rsidRDefault="00135314" w:rsidP="001F60B6">
      <w:pPr>
        <w:autoSpaceDE w:val="0"/>
        <w:autoSpaceDN w:val="0"/>
        <w:adjustRightInd w:val="0"/>
        <w:spacing w:line="360" w:lineRule="auto"/>
        <w:ind w:left="720" w:hanging="720"/>
        <w:jc w:val="both"/>
        <w:rPr>
          <w:b/>
        </w:rPr>
      </w:pPr>
      <w:r>
        <w:rPr>
          <w:b/>
          <w:sz w:val="28"/>
          <w:szCs w:val="28"/>
        </w:rPr>
        <w:t>Research Reports</w:t>
      </w:r>
    </w:p>
    <w:p w:rsidR="007B599B" w:rsidRPr="008573C5" w:rsidRDefault="00055748" w:rsidP="0078793E">
      <w:pPr>
        <w:pStyle w:val="NormalWeb"/>
        <w:spacing w:before="0" w:beforeAutospacing="0" w:after="0" w:afterAutospacing="0" w:line="360" w:lineRule="auto"/>
        <w:jc w:val="both"/>
      </w:pPr>
      <w:r w:rsidRPr="008573C5">
        <w:t>Street, D.L. and</w:t>
      </w:r>
      <w:r w:rsidR="007B599B" w:rsidRPr="008573C5">
        <w:t xml:space="preserve"> Gray</w:t>
      </w:r>
      <w:r w:rsidRPr="008573C5">
        <w:t>, S.J.</w:t>
      </w:r>
      <w:r w:rsidR="007B599B" w:rsidRPr="008573C5">
        <w:t xml:space="preserve"> (2001).  Observance of International Accounting</w:t>
      </w:r>
      <w:r w:rsidR="0078793E" w:rsidRPr="008573C5">
        <w:t xml:space="preserve"> </w:t>
      </w:r>
      <w:r w:rsidR="008D2043">
        <w:tab/>
      </w:r>
      <w:r w:rsidR="007B599B" w:rsidRPr="008573C5">
        <w:t xml:space="preserve">Standards: </w:t>
      </w:r>
      <w:r w:rsidR="0078793E" w:rsidRPr="008573C5">
        <w:tab/>
      </w:r>
      <w:r w:rsidR="007B599B" w:rsidRPr="008573C5">
        <w:t xml:space="preserve">Factors explaining non-compliance. Association of Chartered </w:t>
      </w:r>
      <w:r w:rsidR="008D2043">
        <w:tab/>
      </w:r>
      <w:r w:rsidR="007B599B" w:rsidRPr="008573C5">
        <w:t xml:space="preserve">Certified </w:t>
      </w:r>
      <w:r w:rsidR="008D2043">
        <w:t xml:space="preserve"> </w:t>
      </w:r>
      <w:r w:rsidR="007B599B" w:rsidRPr="008573C5">
        <w:t xml:space="preserve">Accountants, Research Report 74, Retrieved May 1, 2007, </w:t>
      </w:r>
      <w:r w:rsidR="008D2043">
        <w:tab/>
      </w:r>
      <w:r w:rsidR="007B599B" w:rsidRPr="008573C5">
        <w:t xml:space="preserve">from </w:t>
      </w:r>
      <w:hyperlink r:id="rId35" w:history="1">
        <w:r w:rsidR="007B599B" w:rsidRPr="008573C5">
          <w:rPr>
            <w:rStyle w:val="Hyperlink"/>
            <w:color w:val="auto"/>
          </w:rPr>
          <w:t>http://www.accaglobal.com</w:t>
        </w:r>
      </w:hyperlink>
      <w:r w:rsidR="007B599B" w:rsidRPr="008573C5">
        <w:t>.</w:t>
      </w:r>
    </w:p>
    <w:p w:rsidR="007201C7" w:rsidRPr="008573C5" w:rsidRDefault="007201C7" w:rsidP="0078793E">
      <w:pPr>
        <w:spacing w:line="360" w:lineRule="auto"/>
        <w:jc w:val="both"/>
        <w:rPr>
          <w:bCs/>
        </w:rPr>
      </w:pPr>
    </w:p>
    <w:p w:rsidR="00416DF6" w:rsidRPr="008573C5" w:rsidRDefault="00416DF6" w:rsidP="0078793E">
      <w:pPr>
        <w:spacing w:line="360" w:lineRule="auto"/>
        <w:jc w:val="both"/>
      </w:pPr>
      <w:r w:rsidRPr="008573C5">
        <w:rPr>
          <w:bCs/>
        </w:rPr>
        <w:t xml:space="preserve">World Bank (2004). Report on the Observance of Standards and Codes (ROSC) </w:t>
      </w:r>
      <w:r w:rsidR="008D2043">
        <w:rPr>
          <w:bCs/>
        </w:rPr>
        <w:tab/>
        <w:t xml:space="preserve">Nigeria, </w:t>
      </w:r>
      <w:r w:rsidRPr="008573C5">
        <w:rPr>
          <w:bCs/>
        </w:rPr>
        <w:t>Accounting and Auditing.</w:t>
      </w:r>
      <w:r w:rsidRPr="008573C5">
        <w:t xml:space="preserve"> Retrieved  May  1, 2007, from  </w:t>
      </w:r>
      <w:r w:rsidR="0078793E" w:rsidRPr="008573C5">
        <w:tab/>
      </w:r>
      <w:r w:rsidRPr="008573C5">
        <w:t>http://www.worldbank.org/ifa/rosc_aa_nga.pdf.</w:t>
      </w:r>
    </w:p>
    <w:p w:rsidR="00DE4A72" w:rsidRPr="008573C5" w:rsidRDefault="00DE4A72" w:rsidP="001F60B6">
      <w:pPr>
        <w:autoSpaceDE w:val="0"/>
        <w:autoSpaceDN w:val="0"/>
        <w:adjustRightInd w:val="0"/>
        <w:spacing w:line="360" w:lineRule="auto"/>
        <w:ind w:left="720" w:hanging="720"/>
        <w:jc w:val="both"/>
        <w:rPr>
          <w:b/>
        </w:rPr>
      </w:pPr>
    </w:p>
    <w:p w:rsidR="008D2043" w:rsidRDefault="008D2043" w:rsidP="001F60B6">
      <w:pPr>
        <w:autoSpaceDE w:val="0"/>
        <w:autoSpaceDN w:val="0"/>
        <w:adjustRightInd w:val="0"/>
        <w:spacing w:line="360" w:lineRule="auto"/>
        <w:ind w:left="720" w:hanging="720"/>
        <w:jc w:val="both"/>
        <w:rPr>
          <w:b/>
        </w:rPr>
      </w:pPr>
    </w:p>
    <w:p w:rsidR="009D7BFE" w:rsidRPr="00135314" w:rsidRDefault="00DE4A72" w:rsidP="001F60B6">
      <w:pPr>
        <w:autoSpaceDE w:val="0"/>
        <w:autoSpaceDN w:val="0"/>
        <w:adjustRightInd w:val="0"/>
        <w:spacing w:line="360" w:lineRule="auto"/>
        <w:ind w:left="720" w:hanging="720"/>
        <w:jc w:val="both"/>
        <w:rPr>
          <w:b/>
          <w:sz w:val="28"/>
          <w:szCs w:val="28"/>
        </w:rPr>
      </w:pPr>
      <w:r w:rsidRPr="00135314">
        <w:rPr>
          <w:b/>
          <w:sz w:val="28"/>
          <w:szCs w:val="28"/>
        </w:rPr>
        <w:t>C</w:t>
      </w:r>
      <w:r w:rsidR="00135314" w:rsidRPr="00135314">
        <w:rPr>
          <w:b/>
          <w:sz w:val="28"/>
          <w:szCs w:val="28"/>
        </w:rPr>
        <w:t>onference Papers</w:t>
      </w:r>
    </w:p>
    <w:p w:rsidR="00DE4A72" w:rsidRPr="008573C5" w:rsidRDefault="00DE4A72" w:rsidP="0078793E">
      <w:pPr>
        <w:autoSpaceDE w:val="0"/>
        <w:autoSpaceDN w:val="0"/>
        <w:adjustRightInd w:val="0"/>
        <w:spacing w:line="360" w:lineRule="auto"/>
        <w:jc w:val="both"/>
        <w:rPr>
          <w:sz w:val="20"/>
          <w:szCs w:val="20"/>
        </w:rPr>
      </w:pPr>
      <w:r w:rsidRPr="008573C5">
        <w:t>Nnadi, G.S. (2009). NASB: Historical background, due process in Standards setting</w:t>
      </w:r>
      <w:r w:rsidR="0078793E" w:rsidRPr="008573C5">
        <w:t xml:space="preserve"> </w:t>
      </w:r>
      <w:r w:rsidR="008D2043">
        <w:tab/>
      </w:r>
      <w:r w:rsidRPr="008573C5">
        <w:t xml:space="preserve">and </w:t>
      </w:r>
      <w:r w:rsidR="0078793E" w:rsidRPr="008573C5">
        <w:tab/>
      </w:r>
      <w:r w:rsidRPr="008573C5">
        <w:t xml:space="preserve">future outlook. A paper </w:t>
      </w:r>
      <w:r w:rsidRPr="008573C5">
        <w:rPr>
          <w:bCs/>
        </w:rPr>
        <w:t>delivered at the</w:t>
      </w:r>
      <w:r w:rsidRPr="008573C5">
        <w:t xml:space="preserve"> seminar for lecturers of </w:t>
      </w:r>
      <w:r w:rsidR="008D2043">
        <w:tab/>
      </w:r>
      <w:r w:rsidRPr="008573C5">
        <w:t xml:space="preserve">accounting and related subjects on SASs, IFRSs and IPSASs, 29-30 </w:t>
      </w:r>
      <w:r w:rsidR="008D2043">
        <w:tab/>
      </w:r>
      <w:r w:rsidRPr="008573C5">
        <w:t>April</w:t>
      </w:r>
      <w:r w:rsidRPr="008573C5">
        <w:rPr>
          <w:sz w:val="28"/>
          <w:szCs w:val="28"/>
        </w:rPr>
        <w:t xml:space="preserve"> </w:t>
      </w:r>
      <w:r w:rsidRPr="008573C5">
        <w:t xml:space="preserve">held at Precious Palm </w:t>
      </w:r>
      <w:r w:rsidR="0078793E" w:rsidRPr="008573C5">
        <w:tab/>
      </w:r>
      <w:r w:rsidRPr="008573C5">
        <w:t>Hotel. Benin, Edo State.</w:t>
      </w:r>
    </w:p>
    <w:p w:rsidR="00DE4A72" w:rsidRPr="008573C5" w:rsidRDefault="00DE4A72" w:rsidP="00DE4A72">
      <w:pPr>
        <w:autoSpaceDE w:val="0"/>
        <w:autoSpaceDN w:val="0"/>
        <w:adjustRightInd w:val="0"/>
        <w:spacing w:line="360" w:lineRule="auto"/>
        <w:jc w:val="both"/>
      </w:pPr>
    </w:p>
    <w:p w:rsidR="00DE4A72" w:rsidRPr="008573C5" w:rsidRDefault="00DE4A72" w:rsidP="0078793E">
      <w:pPr>
        <w:autoSpaceDE w:val="0"/>
        <w:autoSpaceDN w:val="0"/>
        <w:adjustRightInd w:val="0"/>
        <w:spacing w:line="360" w:lineRule="auto"/>
        <w:jc w:val="both"/>
        <w:rPr>
          <w:sz w:val="20"/>
          <w:szCs w:val="20"/>
        </w:rPr>
      </w:pPr>
      <w:r w:rsidRPr="008573C5">
        <w:t>Porter, T.</w:t>
      </w:r>
      <w:r w:rsidR="006904D0" w:rsidRPr="008573C5">
        <w:t xml:space="preserve"> </w:t>
      </w:r>
      <w:r w:rsidRPr="008573C5">
        <w:t>(2004). P</w:t>
      </w:r>
      <w:r w:rsidRPr="008573C5">
        <w:rPr>
          <w:bCs/>
        </w:rPr>
        <w:t xml:space="preserve">rivate authority, technical authority, and the globalization of </w:t>
      </w:r>
      <w:r w:rsidR="008D2043">
        <w:rPr>
          <w:bCs/>
        </w:rPr>
        <w:tab/>
      </w:r>
      <w:r w:rsidRPr="008573C5">
        <w:rPr>
          <w:bCs/>
        </w:rPr>
        <w:t>Accounting Standards” a paper delivered at the</w:t>
      </w:r>
      <w:r w:rsidRPr="008573C5">
        <w:t xml:space="preserve"> inaugural workshop of </w:t>
      </w:r>
      <w:r w:rsidR="008D2043">
        <w:tab/>
      </w:r>
      <w:r w:rsidRPr="008573C5">
        <w:t>ARCCGOR, 17 – 18 December</w:t>
      </w:r>
      <w:r w:rsidRPr="008573C5">
        <w:rPr>
          <w:sz w:val="28"/>
          <w:szCs w:val="28"/>
        </w:rPr>
        <w:t xml:space="preserve"> </w:t>
      </w:r>
      <w:r w:rsidRPr="008573C5">
        <w:t>held at the Vrije Universiteit Amsterdam.</w:t>
      </w:r>
    </w:p>
    <w:p w:rsidR="003B5D13" w:rsidRPr="008573C5" w:rsidRDefault="0094126B" w:rsidP="001F60B6">
      <w:pPr>
        <w:autoSpaceDE w:val="0"/>
        <w:autoSpaceDN w:val="0"/>
        <w:adjustRightInd w:val="0"/>
        <w:spacing w:line="360" w:lineRule="auto"/>
        <w:ind w:left="720" w:hanging="720"/>
        <w:jc w:val="both"/>
        <w:rPr>
          <w:b/>
          <w:sz w:val="28"/>
          <w:szCs w:val="28"/>
        </w:rPr>
      </w:pPr>
      <w:r w:rsidRPr="008573C5">
        <w:rPr>
          <w:b/>
          <w:sz w:val="28"/>
          <w:szCs w:val="28"/>
        </w:rPr>
        <w:t>A</w:t>
      </w:r>
      <w:r w:rsidR="00D24B65" w:rsidRPr="008573C5">
        <w:rPr>
          <w:b/>
          <w:sz w:val="28"/>
          <w:szCs w:val="28"/>
        </w:rPr>
        <w:t>ccounting Standards</w:t>
      </w:r>
    </w:p>
    <w:p w:rsidR="0094126B" w:rsidRPr="008573C5" w:rsidRDefault="0094126B" w:rsidP="001F60B6">
      <w:pPr>
        <w:spacing w:line="360" w:lineRule="auto"/>
        <w:jc w:val="both"/>
      </w:pPr>
      <w:r w:rsidRPr="008573C5">
        <w:t>International Accounting Standard (IAS 1): Presentation of Financial Statement.</w:t>
      </w:r>
    </w:p>
    <w:p w:rsidR="0094126B" w:rsidRPr="008573C5" w:rsidRDefault="0094126B" w:rsidP="001F60B6">
      <w:pPr>
        <w:spacing w:line="360" w:lineRule="auto"/>
        <w:jc w:val="both"/>
      </w:pPr>
      <w:r w:rsidRPr="008573C5">
        <w:t>International Accounting Standard (IAS 2) : Inventories.</w:t>
      </w:r>
    </w:p>
    <w:p w:rsidR="0094126B" w:rsidRPr="008573C5" w:rsidRDefault="0094126B" w:rsidP="001F60B6">
      <w:pPr>
        <w:spacing w:line="360" w:lineRule="auto"/>
        <w:jc w:val="both"/>
      </w:pPr>
      <w:r w:rsidRPr="008573C5">
        <w:t>International Accounting Standard (IAS 10) : Events after the balance sheet date.</w:t>
      </w:r>
    </w:p>
    <w:p w:rsidR="0094126B" w:rsidRPr="008573C5" w:rsidRDefault="0094126B" w:rsidP="001F60B6">
      <w:pPr>
        <w:spacing w:line="360" w:lineRule="auto"/>
        <w:jc w:val="both"/>
      </w:pPr>
      <w:r w:rsidRPr="008573C5">
        <w:t>International Accounting Standard (IAS 12) :Income Taxes.</w:t>
      </w:r>
    </w:p>
    <w:p w:rsidR="0094126B" w:rsidRPr="008573C5" w:rsidRDefault="0094126B" w:rsidP="001F60B6">
      <w:pPr>
        <w:spacing w:line="360" w:lineRule="auto"/>
        <w:jc w:val="both"/>
      </w:pPr>
      <w:r w:rsidRPr="008573C5">
        <w:t>International Accounting Standard (IAS 14) :Segment Reporting.</w:t>
      </w:r>
    </w:p>
    <w:p w:rsidR="0094126B" w:rsidRPr="008573C5" w:rsidRDefault="0094126B" w:rsidP="001F60B6">
      <w:pPr>
        <w:spacing w:line="360" w:lineRule="auto"/>
        <w:jc w:val="both"/>
      </w:pPr>
      <w:r w:rsidRPr="008573C5">
        <w:t>International Accounting Standard (IAS 16) :Property, Plant and Equipment.</w:t>
      </w:r>
    </w:p>
    <w:p w:rsidR="0094126B" w:rsidRPr="008573C5" w:rsidRDefault="0094126B" w:rsidP="001F60B6">
      <w:pPr>
        <w:spacing w:line="360" w:lineRule="auto"/>
        <w:jc w:val="both"/>
      </w:pPr>
      <w:r w:rsidRPr="008573C5">
        <w:t>International Accounting Standard (IAS 18) :Revenue.</w:t>
      </w:r>
    </w:p>
    <w:p w:rsidR="0094126B" w:rsidRPr="008573C5" w:rsidRDefault="0094126B" w:rsidP="001F60B6">
      <w:pPr>
        <w:spacing w:line="360" w:lineRule="auto"/>
        <w:jc w:val="both"/>
      </w:pPr>
      <w:r w:rsidRPr="008573C5">
        <w:t xml:space="preserve">International Accounting Standard (IAS 20) :Accounting for Government Grants and </w:t>
      </w:r>
    </w:p>
    <w:p w:rsidR="0094126B" w:rsidRPr="008573C5" w:rsidRDefault="0094126B" w:rsidP="001F60B6">
      <w:pPr>
        <w:spacing w:line="360" w:lineRule="auto"/>
        <w:jc w:val="both"/>
      </w:pPr>
      <w:r w:rsidRPr="008573C5">
        <w:tab/>
        <w:t>Disclosure of Government Assistance.</w:t>
      </w:r>
    </w:p>
    <w:p w:rsidR="0094126B" w:rsidRPr="008573C5" w:rsidRDefault="0094126B" w:rsidP="001F60B6">
      <w:pPr>
        <w:spacing w:line="360" w:lineRule="auto"/>
        <w:jc w:val="both"/>
      </w:pPr>
      <w:r w:rsidRPr="008573C5">
        <w:t xml:space="preserve">International Accounting Standard (IAS 21) :The Effects of Changes in Foreign </w:t>
      </w:r>
    </w:p>
    <w:p w:rsidR="0094126B" w:rsidRPr="008573C5" w:rsidRDefault="0094126B" w:rsidP="001F60B6">
      <w:pPr>
        <w:spacing w:line="360" w:lineRule="auto"/>
        <w:jc w:val="both"/>
      </w:pPr>
      <w:r w:rsidRPr="008573C5">
        <w:tab/>
        <w:t>Exchange Rates.</w:t>
      </w:r>
    </w:p>
    <w:p w:rsidR="0094126B" w:rsidRPr="008573C5" w:rsidRDefault="0094126B" w:rsidP="001F60B6">
      <w:pPr>
        <w:spacing w:line="360" w:lineRule="auto"/>
        <w:jc w:val="both"/>
      </w:pPr>
      <w:r w:rsidRPr="008573C5">
        <w:t>International Accounting Standard (IAS 23) :Borrowing Costs.</w:t>
      </w:r>
    </w:p>
    <w:p w:rsidR="0094126B" w:rsidRPr="008573C5" w:rsidRDefault="0094126B" w:rsidP="001F60B6">
      <w:pPr>
        <w:spacing w:line="360" w:lineRule="auto"/>
        <w:jc w:val="both"/>
      </w:pPr>
      <w:r w:rsidRPr="008573C5">
        <w:t>International Accounting Standard (IAS 24)  :Related Party Disclosures.</w:t>
      </w:r>
    </w:p>
    <w:p w:rsidR="0094126B" w:rsidRPr="008573C5" w:rsidRDefault="0094126B" w:rsidP="001F60B6">
      <w:pPr>
        <w:spacing w:line="360" w:lineRule="auto"/>
        <w:jc w:val="both"/>
      </w:pPr>
      <w:r w:rsidRPr="008573C5">
        <w:t xml:space="preserve">International Accounting Standard (IAS 27)  :Consolidated and Separate Financial </w:t>
      </w:r>
    </w:p>
    <w:p w:rsidR="0094126B" w:rsidRPr="008573C5" w:rsidRDefault="0094126B" w:rsidP="001F60B6">
      <w:pPr>
        <w:spacing w:line="360" w:lineRule="auto"/>
        <w:jc w:val="both"/>
      </w:pPr>
      <w:r w:rsidRPr="008573C5">
        <w:tab/>
        <w:t>Statements.</w:t>
      </w:r>
    </w:p>
    <w:p w:rsidR="0094126B" w:rsidRPr="008573C5" w:rsidRDefault="0094126B" w:rsidP="001F60B6">
      <w:pPr>
        <w:spacing w:line="360" w:lineRule="auto"/>
        <w:jc w:val="both"/>
      </w:pPr>
      <w:r w:rsidRPr="008573C5">
        <w:t>International Accounting Standard (IAS 28)  :Investment In Associates.</w:t>
      </w:r>
    </w:p>
    <w:p w:rsidR="0094126B" w:rsidRPr="008573C5" w:rsidRDefault="0094126B" w:rsidP="001F60B6">
      <w:pPr>
        <w:spacing w:line="360" w:lineRule="auto"/>
        <w:jc w:val="both"/>
      </w:pPr>
      <w:r w:rsidRPr="008573C5">
        <w:t>International Accounting Standard (IAS 31) : Interest in Joint Venture.</w:t>
      </w:r>
    </w:p>
    <w:p w:rsidR="0094126B" w:rsidRPr="008573C5" w:rsidRDefault="0094126B" w:rsidP="001F60B6">
      <w:pPr>
        <w:spacing w:line="360" w:lineRule="auto"/>
        <w:jc w:val="both"/>
      </w:pPr>
      <w:r w:rsidRPr="008573C5">
        <w:t>International Accounting Standard (IAS 32) : Financial Instruments Presentation.</w:t>
      </w:r>
    </w:p>
    <w:p w:rsidR="0094126B" w:rsidRPr="008573C5" w:rsidRDefault="0094126B" w:rsidP="001F60B6">
      <w:pPr>
        <w:spacing w:line="360" w:lineRule="auto"/>
        <w:jc w:val="both"/>
      </w:pPr>
      <w:r w:rsidRPr="008573C5">
        <w:t>International Accounting Standard (IAS 36) : Impairment of Assets.</w:t>
      </w:r>
    </w:p>
    <w:p w:rsidR="0094126B" w:rsidRPr="008573C5" w:rsidRDefault="0094126B" w:rsidP="001F60B6">
      <w:pPr>
        <w:spacing w:line="360" w:lineRule="auto"/>
        <w:jc w:val="both"/>
      </w:pPr>
      <w:r w:rsidRPr="008573C5">
        <w:t xml:space="preserve">International Accounting Standard (IAS 37) : Provisions, Contingent Liabilities, and </w:t>
      </w:r>
    </w:p>
    <w:p w:rsidR="0094126B" w:rsidRPr="008573C5" w:rsidRDefault="0094126B" w:rsidP="001F60B6">
      <w:pPr>
        <w:spacing w:line="360" w:lineRule="auto"/>
        <w:jc w:val="both"/>
      </w:pPr>
      <w:r w:rsidRPr="008573C5">
        <w:tab/>
        <w:t>Contingent Assets.</w:t>
      </w:r>
    </w:p>
    <w:p w:rsidR="0094126B" w:rsidRPr="008573C5" w:rsidRDefault="0094126B" w:rsidP="001F60B6">
      <w:pPr>
        <w:spacing w:line="360" w:lineRule="auto"/>
        <w:jc w:val="both"/>
      </w:pPr>
      <w:r w:rsidRPr="008573C5">
        <w:t>International Accounting Standard (IAS 38)  : Intangible Assets.</w:t>
      </w:r>
    </w:p>
    <w:p w:rsidR="0094126B" w:rsidRPr="008573C5" w:rsidRDefault="0094126B" w:rsidP="001F60B6">
      <w:pPr>
        <w:spacing w:line="360" w:lineRule="auto"/>
        <w:jc w:val="both"/>
      </w:pPr>
      <w:r w:rsidRPr="008573C5">
        <w:t>International Accounting Standard (IAS 40) : Investment Property.</w:t>
      </w:r>
    </w:p>
    <w:p w:rsidR="0094126B" w:rsidRPr="008573C5" w:rsidRDefault="0094126B" w:rsidP="001F60B6">
      <w:pPr>
        <w:spacing w:line="360" w:lineRule="auto"/>
        <w:jc w:val="both"/>
      </w:pPr>
      <w:r w:rsidRPr="008573C5">
        <w:t>International Financial Reporting  Standard (IFRS 2) : Share Based Payment.</w:t>
      </w:r>
    </w:p>
    <w:p w:rsidR="0094126B" w:rsidRPr="008573C5" w:rsidRDefault="0094126B" w:rsidP="001F60B6">
      <w:pPr>
        <w:spacing w:line="360" w:lineRule="auto"/>
        <w:jc w:val="both"/>
      </w:pPr>
      <w:r w:rsidRPr="008573C5">
        <w:t>International Financial Reporting  Standard (IFRS 3) : Business Combinations.</w:t>
      </w:r>
    </w:p>
    <w:p w:rsidR="0094126B" w:rsidRPr="008573C5" w:rsidRDefault="0094126B" w:rsidP="001F60B6">
      <w:pPr>
        <w:autoSpaceDE w:val="0"/>
        <w:autoSpaceDN w:val="0"/>
        <w:adjustRightInd w:val="0"/>
        <w:spacing w:line="360" w:lineRule="auto"/>
        <w:jc w:val="both"/>
      </w:pPr>
      <w:r w:rsidRPr="008573C5">
        <w:t>Statement of Accounting Standard (SAS 1) : Disclosure of Accounting Policies.</w:t>
      </w:r>
    </w:p>
    <w:p w:rsidR="0094126B" w:rsidRPr="008573C5" w:rsidRDefault="0094126B" w:rsidP="001F60B6">
      <w:pPr>
        <w:autoSpaceDE w:val="0"/>
        <w:autoSpaceDN w:val="0"/>
        <w:adjustRightInd w:val="0"/>
        <w:spacing w:line="360" w:lineRule="auto"/>
        <w:jc w:val="both"/>
      </w:pPr>
      <w:r w:rsidRPr="008573C5">
        <w:t xml:space="preserve">Statement of Accounting Standard (SAS 2) : Information to be disclosed in the </w:t>
      </w:r>
    </w:p>
    <w:p w:rsidR="0094126B" w:rsidRPr="008573C5" w:rsidRDefault="0094126B" w:rsidP="001F60B6">
      <w:pPr>
        <w:autoSpaceDE w:val="0"/>
        <w:autoSpaceDN w:val="0"/>
        <w:adjustRightInd w:val="0"/>
        <w:spacing w:line="360" w:lineRule="auto"/>
        <w:jc w:val="both"/>
      </w:pPr>
      <w:r w:rsidRPr="008573C5">
        <w:tab/>
        <w:t>Financial Statements.</w:t>
      </w:r>
    </w:p>
    <w:p w:rsidR="0094126B" w:rsidRPr="008573C5" w:rsidRDefault="0094126B" w:rsidP="001F60B6">
      <w:pPr>
        <w:autoSpaceDE w:val="0"/>
        <w:autoSpaceDN w:val="0"/>
        <w:adjustRightInd w:val="0"/>
        <w:spacing w:line="360" w:lineRule="auto"/>
        <w:jc w:val="both"/>
      </w:pPr>
      <w:r w:rsidRPr="008573C5">
        <w:t>Statement of Accounting Standard  (SAS 3) : Accounting for Property, Plant and</w:t>
      </w:r>
    </w:p>
    <w:p w:rsidR="0094126B" w:rsidRPr="008573C5" w:rsidRDefault="0094126B" w:rsidP="001F60B6">
      <w:pPr>
        <w:autoSpaceDE w:val="0"/>
        <w:autoSpaceDN w:val="0"/>
        <w:adjustRightInd w:val="0"/>
        <w:spacing w:line="360" w:lineRule="auto"/>
        <w:ind w:firstLine="720"/>
        <w:jc w:val="both"/>
      </w:pPr>
      <w:r w:rsidRPr="008573C5">
        <w:t xml:space="preserve"> Equipment. </w:t>
      </w:r>
    </w:p>
    <w:p w:rsidR="0094126B" w:rsidRPr="008573C5" w:rsidRDefault="0094126B" w:rsidP="001F60B6">
      <w:pPr>
        <w:autoSpaceDE w:val="0"/>
        <w:autoSpaceDN w:val="0"/>
        <w:adjustRightInd w:val="0"/>
        <w:spacing w:line="360" w:lineRule="auto"/>
        <w:jc w:val="both"/>
      </w:pPr>
      <w:r w:rsidRPr="008573C5">
        <w:t>Statement of Accounting Standard (SAS 4) : On Stocks.</w:t>
      </w:r>
    </w:p>
    <w:p w:rsidR="0094126B" w:rsidRPr="008573C5" w:rsidRDefault="0094126B" w:rsidP="001F60B6">
      <w:pPr>
        <w:autoSpaceDE w:val="0"/>
        <w:autoSpaceDN w:val="0"/>
        <w:adjustRightInd w:val="0"/>
        <w:spacing w:line="360" w:lineRule="auto"/>
        <w:jc w:val="both"/>
      </w:pPr>
      <w:r w:rsidRPr="008573C5">
        <w:t xml:space="preserve">Statement of Accounting Standard (SAS 7) : On Foreign Currency Conversions and </w:t>
      </w:r>
    </w:p>
    <w:p w:rsidR="0094126B" w:rsidRPr="008573C5" w:rsidRDefault="0094126B" w:rsidP="001F60B6">
      <w:pPr>
        <w:autoSpaceDE w:val="0"/>
        <w:autoSpaceDN w:val="0"/>
        <w:adjustRightInd w:val="0"/>
        <w:spacing w:line="360" w:lineRule="auto"/>
        <w:jc w:val="both"/>
      </w:pPr>
      <w:r w:rsidRPr="008573C5">
        <w:tab/>
        <w:t>Translations.</w:t>
      </w:r>
    </w:p>
    <w:p w:rsidR="0094126B" w:rsidRPr="008573C5" w:rsidRDefault="0094126B" w:rsidP="001F60B6">
      <w:pPr>
        <w:autoSpaceDE w:val="0"/>
        <w:autoSpaceDN w:val="0"/>
        <w:adjustRightInd w:val="0"/>
        <w:spacing w:line="360" w:lineRule="auto"/>
        <w:jc w:val="both"/>
      </w:pPr>
      <w:r w:rsidRPr="008573C5">
        <w:t xml:space="preserve">Statement of Accounting Standard  (SAS 8) : Accounting for Employees’ Retirement </w:t>
      </w:r>
    </w:p>
    <w:p w:rsidR="0094126B" w:rsidRPr="008573C5" w:rsidRDefault="0094126B" w:rsidP="001F60B6">
      <w:pPr>
        <w:autoSpaceDE w:val="0"/>
        <w:autoSpaceDN w:val="0"/>
        <w:adjustRightInd w:val="0"/>
        <w:spacing w:line="360" w:lineRule="auto"/>
        <w:jc w:val="both"/>
      </w:pPr>
      <w:r w:rsidRPr="008573C5">
        <w:tab/>
        <w:t>Benefits.</w:t>
      </w:r>
    </w:p>
    <w:p w:rsidR="0094126B" w:rsidRPr="008573C5" w:rsidRDefault="0094126B" w:rsidP="001F60B6">
      <w:pPr>
        <w:autoSpaceDE w:val="0"/>
        <w:autoSpaceDN w:val="0"/>
        <w:adjustRightInd w:val="0"/>
        <w:spacing w:line="360" w:lineRule="auto"/>
        <w:jc w:val="both"/>
      </w:pPr>
      <w:r w:rsidRPr="008573C5">
        <w:t>Statement of Accounting Standard (SAS 9) :Accounting for Depreciation.</w:t>
      </w:r>
    </w:p>
    <w:p w:rsidR="0094126B" w:rsidRPr="008573C5" w:rsidRDefault="0094126B" w:rsidP="001F60B6">
      <w:pPr>
        <w:autoSpaceDE w:val="0"/>
        <w:autoSpaceDN w:val="0"/>
        <w:adjustRightInd w:val="0"/>
        <w:spacing w:line="360" w:lineRule="auto"/>
        <w:jc w:val="both"/>
      </w:pPr>
      <w:r w:rsidRPr="008573C5">
        <w:t>Statement of Accounting Standard (SAS 13) : Accounting for Investments.</w:t>
      </w:r>
    </w:p>
    <w:p w:rsidR="0094126B" w:rsidRPr="008573C5" w:rsidRDefault="0094126B" w:rsidP="001F60B6">
      <w:pPr>
        <w:autoSpaceDE w:val="0"/>
        <w:autoSpaceDN w:val="0"/>
        <w:adjustRightInd w:val="0"/>
        <w:spacing w:line="360" w:lineRule="auto"/>
        <w:jc w:val="both"/>
      </w:pPr>
      <w:r w:rsidRPr="008573C5">
        <w:t>Statement of Accounting Standard (SAS 18) : Statement of Cash Flows.</w:t>
      </w:r>
    </w:p>
    <w:p w:rsidR="0094126B" w:rsidRPr="008573C5" w:rsidRDefault="0094126B" w:rsidP="001F60B6">
      <w:pPr>
        <w:autoSpaceDE w:val="0"/>
        <w:autoSpaceDN w:val="0"/>
        <w:adjustRightInd w:val="0"/>
        <w:spacing w:line="360" w:lineRule="auto"/>
        <w:jc w:val="both"/>
      </w:pPr>
      <w:r w:rsidRPr="008573C5">
        <w:t>Statement of Accounting Standard (SAS 19) : Accounting for Taxes</w:t>
      </w:r>
    </w:p>
    <w:p w:rsidR="0094126B" w:rsidRPr="008573C5" w:rsidRDefault="0094126B" w:rsidP="001F60B6">
      <w:pPr>
        <w:autoSpaceDE w:val="0"/>
        <w:autoSpaceDN w:val="0"/>
        <w:adjustRightInd w:val="0"/>
        <w:spacing w:line="360" w:lineRule="auto"/>
        <w:jc w:val="both"/>
      </w:pPr>
      <w:r w:rsidRPr="008573C5">
        <w:t>Statement of Accounting Standard (SAS 21) : On Earnings Per Share.</w:t>
      </w:r>
    </w:p>
    <w:p w:rsidR="0094126B" w:rsidRPr="008573C5" w:rsidRDefault="0094126B" w:rsidP="001F60B6">
      <w:pPr>
        <w:autoSpaceDE w:val="0"/>
        <w:autoSpaceDN w:val="0"/>
        <w:adjustRightInd w:val="0"/>
        <w:spacing w:line="360" w:lineRule="auto"/>
        <w:jc w:val="both"/>
      </w:pPr>
      <w:r w:rsidRPr="008573C5">
        <w:t>Statement of Accounting Standard (SAS 22) : On Research and Development Costs.</w:t>
      </w:r>
    </w:p>
    <w:p w:rsidR="0094126B" w:rsidRPr="008573C5" w:rsidRDefault="0094126B" w:rsidP="001F60B6">
      <w:pPr>
        <w:autoSpaceDE w:val="0"/>
        <w:autoSpaceDN w:val="0"/>
        <w:adjustRightInd w:val="0"/>
        <w:spacing w:line="360" w:lineRule="auto"/>
        <w:jc w:val="both"/>
      </w:pPr>
      <w:r w:rsidRPr="008573C5">
        <w:t>Statement of Accounting Standard (SAS 23) : On Provisions, Contingent liabilities</w:t>
      </w:r>
    </w:p>
    <w:p w:rsidR="0094126B" w:rsidRPr="008573C5" w:rsidRDefault="0094126B" w:rsidP="001F60B6">
      <w:pPr>
        <w:autoSpaceDE w:val="0"/>
        <w:autoSpaceDN w:val="0"/>
        <w:adjustRightInd w:val="0"/>
        <w:spacing w:line="360" w:lineRule="auto"/>
        <w:ind w:firstLine="720"/>
        <w:jc w:val="both"/>
      </w:pPr>
      <w:r w:rsidRPr="008573C5">
        <w:t xml:space="preserve"> and Contingent Assets. </w:t>
      </w:r>
    </w:p>
    <w:p w:rsidR="009D7BFE" w:rsidRPr="008573C5" w:rsidRDefault="003B5D13" w:rsidP="001F60B6">
      <w:pPr>
        <w:autoSpaceDE w:val="0"/>
        <w:autoSpaceDN w:val="0"/>
        <w:adjustRightInd w:val="0"/>
        <w:spacing w:line="360" w:lineRule="auto"/>
        <w:ind w:left="720" w:hanging="720"/>
        <w:jc w:val="both"/>
        <w:rPr>
          <w:b/>
          <w:sz w:val="28"/>
          <w:szCs w:val="28"/>
        </w:rPr>
      </w:pPr>
      <w:r w:rsidRPr="008573C5">
        <w:rPr>
          <w:b/>
          <w:sz w:val="28"/>
          <w:szCs w:val="28"/>
        </w:rPr>
        <w:t>U</w:t>
      </w:r>
      <w:r w:rsidR="00704E16" w:rsidRPr="008573C5">
        <w:rPr>
          <w:b/>
          <w:sz w:val="28"/>
          <w:szCs w:val="28"/>
        </w:rPr>
        <w:t xml:space="preserve">npublished </w:t>
      </w:r>
      <w:r w:rsidRPr="008573C5">
        <w:rPr>
          <w:b/>
          <w:sz w:val="28"/>
          <w:szCs w:val="28"/>
        </w:rPr>
        <w:t>Ph.D. T</w:t>
      </w:r>
      <w:r w:rsidR="00704E16" w:rsidRPr="008573C5">
        <w:rPr>
          <w:b/>
          <w:sz w:val="28"/>
          <w:szCs w:val="28"/>
        </w:rPr>
        <w:t>heses</w:t>
      </w:r>
    </w:p>
    <w:p w:rsidR="00BC30CB" w:rsidRPr="008573C5" w:rsidRDefault="00BC30CB" w:rsidP="0078793E">
      <w:pPr>
        <w:autoSpaceDE w:val="0"/>
        <w:autoSpaceDN w:val="0"/>
        <w:adjustRightInd w:val="0"/>
        <w:spacing w:line="360" w:lineRule="auto"/>
        <w:jc w:val="both"/>
      </w:pPr>
      <w:r w:rsidRPr="008573C5">
        <w:t>Adeyemi, S.B.</w:t>
      </w:r>
      <w:r w:rsidR="006904D0" w:rsidRPr="008573C5">
        <w:t xml:space="preserve"> </w:t>
      </w:r>
      <w:r w:rsidRPr="008573C5">
        <w:t xml:space="preserve">(2006). “ Impact of Accounting Standards on Financial Reporting in </w:t>
      </w:r>
      <w:r w:rsidRPr="008573C5">
        <w:tab/>
        <w:t>Nigeria”, Unpublished PhD. Thesis, University of Lagos.</w:t>
      </w:r>
    </w:p>
    <w:p w:rsidR="00135314" w:rsidRDefault="00135314" w:rsidP="0078793E">
      <w:pPr>
        <w:autoSpaceDE w:val="0"/>
        <w:autoSpaceDN w:val="0"/>
        <w:adjustRightInd w:val="0"/>
        <w:spacing w:line="360" w:lineRule="auto"/>
        <w:jc w:val="both"/>
      </w:pPr>
    </w:p>
    <w:p w:rsidR="00BC30CB" w:rsidRPr="008573C5" w:rsidRDefault="00BC30CB" w:rsidP="0078793E">
      <w:pPr>
        <w:autoSpaceDE w:val="0"/>
        <w:autoSpaceDN w:val="0"/>
        <w:adjustRightInd w:val="0"/>
        <w:spacing w:line="360" w:lineRule="auto"/>
        <w:jc w:val="both"/>
      </w:pPr>
      <w:r w:rsidRPr="008573C5">
        <w:t>Al-Shammari, B.A. (2005). Compliance with IAS by listed companies in the Gulf co-</w:t>
      </w:r>
      <w:r w:rsidR="0078793E" w:rsidRPr="008573C5">
        <w:tab/>
      </w:r>
      <w:r w:rsidRPr="008573C5">
        <w:t xml:space="preserve">operation member states: An empirical study. Unpublished Doctoral </w:t>
      </w:r>
      <w:r w:rsidR="008D2043">
        <w:tab/>
      </w:r>
      <w:r w:rsidRPr="008573C5">
        <w:t>Dissertation, U</w:t>
      </w:r>
      <w:r w:rsidR="0018086E" w:rsidRPr="008573C5">
        <w:t>niversity of Western Australia, Perth.</w:t>
      </w:r>
      <w:r w:rsidRPr="008573C5">
        <w:t xml:space="preserve"> </w:t>
      </w:r>
    </w:p>
    <w:p w:rsidR="00A074C4" w:rsidRPr="008573C5" w:rsidRDefault="009D7BFE" w:rsidP="0078793E">
      <w:pPr>
        <w:spacing w:line="360" w:lineRule="auto"/>
        <w:jc w:val="both"/>
      </w:pPr>
      <w:r w:rsidRPr="008573C5">
        <w:t>Emenyonu, E.D.O.</w:t>
      </w:r>
      <w:r w:rsidR="006904D0" w:rsidRPr="008573C5">
        <w:t xml:space="preserve"> </w:t>
      </w:r>
      <w:r w:rsidRPr="008573C5">
        <w:t xml:space="preserve">(1993). </w:t>
      </w:r>
      <w:r w:rsidR="00BC30CB" w:rsidRPr="008573C5">
        <w:t>International a</w:t>
      </w:r>
      <w:r w:rsidRPr="008573C5">
        <w:t xml:space="preserve">ccounting </w:t>
      </w:r>
      <w:r w:rsidR="00BC30CB" w:rsidRPr="008573C5">
        <w:t>h</w:t>
      </w:r>
      <w:r w:rsidRPr="008573C5">
        <w:t xml:space="preserve">armonisation in </w:t>
      </w:r>
      <w:r w:rsidR="00BC30CB" w:rsidRPr="008573C5">
        <w:t>d</w:t>
      </w:r>
      <w:r w:rsidRPr="008573C5">
        <w:t>eveloped</w:t>
      </w:r>
      <w:r w:rsidR="0078793E" w:rsidRPr="008573C5">
        <w:t xml:space="preserve"> </w:t>
      </w:r>
      <w:r w:rsidR="00BC30CB" w:rsidRPr="008573C5">
        <w:t>s</w:t>
      </w:r>
      <w:r w:rsidRPr="008573C5">
        <w:t xml:space="preserve">tock </w:t>
      </w:r>
      <w:r w:rsidR="008D2043">
        <w:tab/>
      </w:r>
      <w:r w:rsidR="00BC30CB" w:rsidRPr="008573C5">
        <w:t>m</w:t>
      </w:r>
      <w:r w:rsidRPr="008573C5">
        <w:t xml:space="preserve">arket </w:t>
      </w:r>
      <w:r w:rsidR="00BC30CB" w:rsidRPr="008573C5">
        <w:t>c</w:t>
      </w:r>
      <w:r w:rsidRPr="008573C5">
        <w:t xml:space="preserve">ountries: An </w:t>
      </w:r>
      <w:r w:rsidR="00BC30CB" w:rsidRPr="008573C5">
        <w:t>e</w:t>
      </w:r>
      <w:r w:rsidRPr="008573C5">
        <w:t xml:space="preserve">mpirical </w:t>
      </w:r>
      <w:r w:rsidR="00BC30CB" w:rsidRPr="008573C5">
        <w:t>comparative s</w:t>
      </w:r>
      <w:r w:rsidRPr="008573C5">
        <w:t xml:space="preserve">tudy of </w:t>
      </w:r>
      <w:r w:rsidR="00BC30CB" w:rsidRPr="008573C5">
        <w:t xml:space="preserve">measurement and </w:t>
      </w:r>
      <w:r w:rsidR="008D2043">
        <w:tab/>
      </w:r>
      <w:r w:rsidR="00BC30CB" w:rsidRPr="008573C5">
        <w:t>associated d</w:t>
      </w:r>
      <w:r w:rsidRPr="008573C5">
        <w:t xml:space="preserve">isclosure </w:t>
      </w:r>
      <w:r w:rsidR="0078793E" w:rsidRPr="008573C5">
        <w:tab/>
      </w:r>
      <w:r w:rsidR="00BC30CB" w:rsidRPr="008573C5">
        <w:t>p</w:t>
      </w:r>
      <w:r w:rsidRPr="008573C5">
        <w:t xml:space="preserve">ractices in France, Germany, Japan, United Kingdom, </w:t>
      </w:r>
      <w:r w:rsidR="008D2043">
        <w:tab/>
      </w:r>
      <w:r w:rsidRPr="008573C5">
        <w:t xml:space="preserve">and the United States of </w:t>
      </w:r>
      <w:r w:rsidR="0078793E" w:rsidRPr="008573C5">
        <w:tab/>
      </w:r>
      <w:r w:rsidRPr="008573C5">
        <w:t>America</w:t>
      </w:r>
      <w:r w:rsidR="00BC30CB" w:rsidRPr="008573C5">
        <w:t>.</w:t>
      </w:r>
      <w:r w:rsidRPr="008573C5">
        <w:t xml:space="preserve"> Unpublished Ph</w:t>
      </w:r>
      <w:r w:rsidR="00BC30CB" w:rsidRPr="008573C5">
        <w:t>.</w:t>
      </w:r>
      <w:r w:rsidRPr="008573C5">
        <w:t>D</w:t>
      </w:r>
      <w:r w:rsidR="00BC30CB" w:rsidRPr="008573C5">
        <w:t>.</w:t>
      </w:r>
      <w:r w:rsidRPr="008573C5">
        <w:t xml:space="preserve">. Thesis, University </w:t>
      </w:r>
      <w:r w:rsidR="008D2043">
        <w:tab/>
      </w:r>
      <w:r w:rsidRPr="008573C5">
        <w:t>of Glasgow.</w:t>
      </w:r>
    </w:p>
    <w:p w:rsidR="00A074C4" w:rsidRPr="005E7FBD" w:rsidRDefault="005E7FBD" w:rsidP="00E52F3F">
      <w:pPr>
        <w:jc w:val="center"/>
        <w:rPr>
          <w:b/>
          <w:sz w:val="32"/>
          <w:szCs w:val="32"/>
        </w:rPr>
      </w:pPr>
      <w:r w:rsidRPr="005E7FBD">
        <w:rPr>
          <w:b/>
          <w:sz w:val="32"/>
          <w:szCs w:val="32"/>
        </w:rPr>
        <w:t>A</w:t>
      </w:r>
      <w:r w:rsidR="00961BB2" w:rsidRPr="005E7FBD">
        <w:rPr>
          <w:b/>
          <w:sz w:val="32"/>
          <w:szCs w:val="32"/>
        </w:rPr>
        <w:t xml:space="preserve">PPENDIX </w:t>
      </w:r>
      <w:r w:rsidR="00A074C4" w:rsidRPr="005E7FBD">
        <w:rPr>
          <w:b/>
          <w:sz w:val="32"/>
          <w:szCs w:val="32"/>
        </w:rPr>
        <w:t>I</w:t>
      </w:r>
    </w:p>
    <w:p w:rsidR="00A074C4" w:rsidRPr="008573C5" w:rsidRDefault="00A074C4" w:rsidP="00E52F3F">
      <w:pPr>
        <w:jc w:val="center"/>
        <w:rPr>
          <w:b/>
          <w:sz w:val="28"/>
          <w:szCs w:val="28"/>
        </w:rPr>
      </w:pPr>
    </w:p>
    <w:p w:rsidR="00E52F3F" w:rsidRPr="008573C5" w:rsidRDefault="00E52F3F" w:rsidP="00E52F3F">
      <w:pPr>
        <w:jc w:val="center"/>
        <w:rPr>
          <w:b/>
          <w:sz w:val="28"/>
          <w:szCs w:val="28"/>
        </w:rPr>
      </w:pPr>
      <w:r w:rsidRPr="008573C5">
        <w:rPr>
          <w:b/>
          <w:sz w:val="28"/>
          <w:szCs w:val="28"/>
        </w:rPr>
        <w:t xml:space="preserve"> </w:t>
      </w:r>
      <w:r w:rsidR="00C21B86" w:rsidRPr="008573C5">
        <w:rPr>
          <w:b/>
          <w:sz w:val="28"/>
          <w:szCs w:val="28"/>
        </w:rPr>
        <w:t xml:space="preserve">The </w:t>
      </w:r>
      <w:r w:rsidR="00A074C4" w:rsidRPr="008573C5">
        <w:rPr>
          <w:b/>
          <w:sz w:val="28"/>
          <w:szCs w:val="28"/>
        </w:rPr>
        <w:t>Companies and</w:t>
      </w:r>
      <w:r w:rsidR="00C21B86" w:rsidRPr="008573C5">
        <w:rPr>
          <w:b/>
          <w:sz w:val="28"/>
          <w:szCs w:val="28"/>
        </w:rPr>
        <w:t xml:space="preserve"> </w:t>
      </w:r>
      <w:r w:rsidR="00A074C4" w:rsidRPr="008573C5">
        <w:rPr>
          <w:b/>
          <w:sz w:val="28"/>
          <w:szCs w:val="28"/>
        </w:rPr>
        <w:t>Industries Sampled</w:t>
      </w:r>
      <w:r w:rsidR="00C21B86" w:rsidRPr="008573C5">
        <w:rPr>
          <w:b/>
          <w:sz w:val="28"/>
          <w:szCs w:val="28"/>
        </w:rPr>
        <w:t xml:space="preserve"> </w:t>
      </w:r>
    </w:p>
    <w:p w:rsidR="00E52F3F" w:rsidRPr="008573C5" w:rsidRDefault="00E52F3F" w:rsidP="00E52F3F">
      <w:pPr>
        <w:jc w:val="center"/>
        <w:rPr>
          <w:sz w:val="28"/>
          <w:szCs w:val="28"/>
        </w:rPr>
      </w:pPr>
    </w:p>
    <w:p w:rsidR="00C21B86" w:rsidRPr="008573C5" w:rsidRDefault="00C21B86" w:rsidP="00E52F3F">
      <w:pPr>
        <w:jc w:val="center"/>
      </w:pPr>
    </w:p>
    <w:tbl>
      <w:tblPr>
        <w:tblW w:w="7745" w:type="dxa"/>
        <w:tblInd w:w="93" w:type="dxa"/>
        <w:tblLook w:val="04A0"/>
      </w:tblPr>
      <w:tblGrid>
        <w:gridCol w:w="960"/>
        <w:gridCol w:w="2785"/>
        <w:gridCol w:w="4000"/>
      </w:tblGrid>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pPr>
              <w:rPr>
                <w:b/>
              </w:rPr>
            </w:pPr>
            <w:r w:rsidRPr="008573C5">
              <w:rPr>
                <w:b/>
              </w:rPr>
              <w:t>No</w:t>
            </w:r>
          </w:p>
        </w:tc>
        <w:tc>
          <w:tcPr>
            <w:tcW w:w="2785" w:type="dxa"/>
            <w:tcBorders>
              <w:top w:val="nil"/>
              <w:left w:val="nil"/>
              <w:bottom w:val="nil"/>
              <w:right w:val="nil"/>
            </w:tcBorders>
            <w:shd w:val="clear" w:color="auto" w:fill="auto"/>
            <w:noWrap/>
            <w:vAlign w:val="bottom"/>
          </w:tcPr>
          <w:p w:rsidR="00C21B86" w:rsidRPr="008573C5" w:rsidRDefault="00C21B86" w:rsidP="008B10F8">
            <w:pPr>
              <w:rPr>
                <w:b/>
              </w:rPr>
            </w:pPr>
            <w:r w:rsidRPr="008573C5">
              <w:rPr>
                <w:b/>
              </w:rPr>
              <w:t>Industry</w:t>
            </w:r>
          </w:p>
        </w:tc>
        <w:tc>
          <w:tcPr>
            <w:tcW w:w="4000" w:type="dxa"/>
            <w:tcBorders>
              <w:top w:val="nil"/>
              <w:left w:val="nil"/>
              <w:bottom w:val="nil"/>
              <w:right w:val="nil"/>
            </w:tcBorders>
            <w:shd w:val="clear" w:color="auto" w:fill="auto"/>
            <w:noWrap/>
            <w:vAlign w:val="bottom"/>
          </w:tcPr>
          <w:p w:rsidR="00C21B86" w:rsidRPr="008573C5" w:rsidRDefault="00C21B86" w:rsidP="008B10F8">
            <w:pPr>
              <w:rPr>
                <w:b/>
              </w:rPr>
            </w:pPr>
            <w:r w:rsidRPr="008573C5">
              <w:rPr>
                <w:b/>
              </w:rPr>
              <w:t>Company</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1</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Agriculture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Livestock Feeds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2</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Agriculture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Okomu Oil Palm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3</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Agriculture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Presco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4</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Automobile and Tyre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Dunlop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5</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Automobile and Tyre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RT Briscoe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6</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Aviation</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Nigerian Aviation Handling Company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7</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Banking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Access Bank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8</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Banking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Afribank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9</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Banking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Diamond Bank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10</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Banking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Ecobank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11</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Banking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Fidelity Bank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12</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Banking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First Bank of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13</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Banking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GTBank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14</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Banking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IBTC Charterd Bank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15</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Banking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Intercontinental Bank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16</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Banking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Oceanic Bank International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17</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Banking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PlatinumHabib Bank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18</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Banking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SKPE Bank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19</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Banking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Sterling Bank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20</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Banking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United Bank of Africa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21</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Banking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Union Bank of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22</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Banking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Zenith Bank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23</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Breweries</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Guniness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24</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Breweries</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Nigerian Breweries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25</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Building Materials</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Ashaka Cement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26</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Building Materials</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Cement Co. of Northern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27</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Building Materials</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Nigerian Wire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28</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Building Materials</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WAPCO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29</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Chemical and Paints</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DN Meyer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30</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Chemical and Paints</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CAP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31</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Commercial services</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Trans-Nationwide Express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32</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 xml:space="preserve">Computer and office </w:t>
            </w:r>
            <w:r w:rsidR="008311F1" w:rsidRPr="008573C5">
              <w:t>equipment</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Thomas Wyatt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33</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 xml:space="preserve">Computer and office </w:t>
            </w:r>
            <w:r w:rsidR="008311F1" w:rsidRPr="008573C5">
              <w:t>equipment</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Tripple Gee and Company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34</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Conglomerate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A.G. Leventis (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35</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Conglomerate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Chellarams.</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36</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Conglomerate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John Holt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37</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Conglomerate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P Z industries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38</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Conglomerate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SCOA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39</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Conglomerate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UAC of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40</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Conglomerate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Unilever Nigeria</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41</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Construction</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Cappa and D'alberto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42</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Construction</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Costain (WA)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43</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Engineering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Linterlinked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44</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Food/Beverages &amp; Tobacco</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7up Bottling Co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45</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Food/Beverages &amp; Tobacco</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Dangote Flour Mills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46</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Food/Beverages &amp; Tobacco</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Flour Mills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47</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Food/Beverages &amp; Tobacco</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Nestle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48</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Food/Beverages &amp; Tobacco</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Nigerian Bottling Company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49</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Food/Beverages &amp; Tobacco</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UTC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50</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Health care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Ekocorp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51</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Health care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GlaxoSmithKline Consumer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52</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Health care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May&amp;Baker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53</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Health care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Morison Industries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54</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Health care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Neimeth International Pharm</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55</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Hotel and Tourism</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Ikeja Hotels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56</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Indusrial/Domestic Products</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Aluminium Extrusion Industries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57</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Indusrial/Domestic Products</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BOC Gases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58</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Indusrial/Domestic Products</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First Aluminium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59</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Indusrial/Domestic Products</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Nigerian Enamel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60</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Indusrial/Domestic Products</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Vono Products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61</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Insurance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AIICO Insurance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62</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Insurance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Cornerstone Insurance Co.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63</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Insurance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Lasaco Assurance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64</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Insurance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Law Union and Rock Insurance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65</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Insurance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Mutual Benefits Assurance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66</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Insurance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NEM Insurance Company (Nig.)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67</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Insurance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Niger Insurance Company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68</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Insurance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Prestige Assurance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69</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Insurance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Starco Insurance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70</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Insurance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Standard Alliance Insurance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71</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Insurance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WAPIC insurance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72</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Maritime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Japaul Oil and Maritime Services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73</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Mortgage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Union Homes Savings and Loan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74</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Packaging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Avon Crowncaps  and Containers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75</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Packaging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Beta Glass Company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76</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Packaging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Greif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77</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Packaging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 xml:space="preserve"> Nampak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78</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Packaging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Poly Products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79</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Petroleum</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African Petroleum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80</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Petroleum</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Chevron Oil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81</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Petroleum</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ConOil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82</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Petroleum</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Eterna Oil and Gas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83</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Petroleum</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Mobil Oil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84</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Petroleum</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Oando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85</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Petroleum</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Total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86</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Printing and Publishing</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Academy Press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87</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Real Estate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UACN Property Development  Co.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88</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Textile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Afprint Nigeria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89</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Textile</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United Nigerian Textiles  Plc.</w:t>
            </w:r>
          </w:p>
        </w:tc>
      </w:tr>
      <w:tr w:rsidR="00C21B86" w:rsidRPr="008573C5">
        <w:trPr>
          <w:trHeight w:val="300"/>
        </w:trPr>
        <w:tc>
          <w:tcPr>
            <w:tcW w:w="960" w:type="dxa"/>
            <w:tcBorders>
              <w:top w:val="nil"/>
              <w:left w:val="nil"/>
              <w:bottom w:val="nil"/>
              <w:right w:val="nil"/>
            </w:tcBorders>
            <w:shd w:val="clear" w:color="auto" w:fill="auto"/>
            <w:noWrap/>
            <w:vAlign w:val="bottom"/>
          </w:tcPr>
          <w:p w:rsidR="00C21B86" w:rsidRPr="008573C5" w:rsidRDefault="00C21B86" w:rsidP="008B10F8">
            <w:r w:rsidRPr="008573C5">
              <w:t>90</w:t>
            </w:r>
          </w:p>
        </w:tc>
        <w:tc>
          <w:tcPr>
            <w:tcW w:w="2785" w:type="dxa"/>
            <w:tcBorders>
              <w:top w:val="nil"/>
              <w:left w:val="nil"/>
              <w:bottom w:val="nil"/>
              <w:right w:val="nil"/>
            </w:tcBorders>
            <w:shd w:val="clear" w:color="auto" w:fill="auto"/>
            <w:noWrap/>
            <w:vAlign w:val="bottom"/>
          </w:tcPr>
          <w:p w:rsidR="00C21B86" w:rsidRPr="008573C5" w:rsidRDefault="00C21B86" w:rsidP="008B10F8">
            <w:r w:rsidRPr="008573C5">
              <w:t>The Foreign</w:t>
            </w:r>
          </w:p>
        </w:tc>
        <w:tc>
          <w:tcPr>
            <w:tcW w:w="4000" w:type="dxa"/>
            <w:tcBorders>
              <w:top w:val="nil"/>
              <w:left w:val="nil"/>
              <w:bottom w:val="nil"/>
              <w:right w:val="nil"/>
            </w:tcBorders>
            <w:shd w:val="clear" w:color="auto" w:fill="auto"/>
            <w:noWrap/>
            <w:vAlign w:val="bottom"/>
          </w:tcPr>
          <w:p w:rsidR="00C21B86" w:rsidRPr="008573C5" w:rsidRDefault="00C21B86" w:rsidP="008B10F8">
            <w:r w:rsidRPr="008573C5">
              <w:t>Ecobank Transnational Incorporated</w:t>
            </w:r>
          </w:p>
        </w:tc>
      </w:tr>
    </w:tbl>
    <w:p w:rsidR="00123EE3" w:rsidRPr="008573C5" w:rsidRDefault="00123EE3" w:rsidP="00123EE3">
      <w:pPr>
        <w:autoSpaceDE w:val="0"/>
        <w:autoSpaceDN w:val="0"/>
        <w:adjustRightInd w:val="0"/>
        <w:spacing w:line="480" w:lineRule="auto"/>
        <w:ind w:left="720" w:hanging="720"/>
        <w:jc w:val="both"/>
        <w:rPr>
          <w:b/>
        </w:rPr>
      </w:pPr>
    </w:p>
    <w:p w:rsidR="00123EE3" w:rsidRPr="008573C5" w:rsidRDefault="00123EE3" w:rsidP="00123EE3">
      <w:pPr>
        <w:autoSpaceDE w:val="0"/>
        <w:autoSpaceDN w:val="0"/>
        <w:adjustRightInd w:val="0"/>
        <w:spacing w:line="480" w:lineRule="auto"/>
        <w:ind w:left="720" w:hanging="720"/>
        <w:jc w:val="both"/>
        <w:rPr>
          <w:b/>
        </w:rPr>
      </w:pPr>
    </w:p>
    <w:p w:rsidR="00123EE3" w:rsidRPr="008573C5" w:rsidRDefault="00123EE3" w:rsidP="00123EE3">
      <w:pPr>
        <w:autoSpaceDE w:val="0"/>
        <w:autoSpaceDN w:val="0"/>
        <w:adjustRightInd w:val="0"/>
        <w:spacing w:line="480" w:lineRule="auto"/>
        <w:ind w:left="720" w:hanging="720"/>
        <w:jc w:val="both"/>
        <w:rPr>
          <w:b/>
        </w:rPr>
      </w:pPr>
    </w:p>
    <w:p w:rsidR="00123EE3" w:rsidRPr="008573C5" w:rsidRDefault="00123EE3" w:rsidP="00123EE3">
      <w:pPr>
        <w:autoSpaceDE w:val="0"/>
        <w:autoSpaceDN w:val="0"/>
        <w:adjustRightInd w:val="0"/>
        <w:spacing w:line="480" w:lineRule="auto"/>
        <w:ind w:left="720" w:hanging="720"/>
        <w:jc w:val="both"/>
        <w:rPr>
          <w:b/>
        </w:rPr>
      </w:pPr>
    </w:p>
    <w:p w:rsidR="00F76298" w:rsidRPr="008573C5" w:rsidRDefault="00F76298" w:rsidP="00176987">
      <w:pPr>
        <w:jc w:val="center"/>
        <w:rPr>
          <w:b/>
          <w:sz w:val="28"/>
          <w:szCs w:val="28"/>
        </w:rPr>
      </w:pPr>
    </w:p>
    <w:p w:rsidR="00F76298" w:rsidRPr="008573C5" w:rsidRDefault="00F76298" w:rsidP="00176987">
      <w:pPr>
        <w:jc w:val="center"/>
        <w:rPr>
          <w:b/>
          <w:sz w:val="28"/>
          <w:szCs w:val="28"/>
        </w:rPr>
      </w:pPr>
    </w:p>
    <w:p w:rsidR="00F76298" w:rsidRPr="008573C5" w:rsidRDefault="00F76298" w:rsidP="00176987">
      <w:pPr>
        <w:jc w:val="center"/>
        <w:rPr>
          <w:b/>
          <w:sz w:val="28"/>
          <w:szCs w:val="28"/>
        </w:rPr>
      </w:pPr>
    </w:p>
    <w:p w:rsidR="00F76298" w:rsidRPr="008573C5" w:rsidRDefault="00F76298" w:rsidP="00176987">
      <w:pPr>
        <w:jc w:val="center"/>
        <w:rPr>
          <w:b/>
          <w:sz w:val="28"/>
          <w:szCs w:val="28"/>
        </w:rPr>
      </w:pPr>
    </w:p>
    <w:p w:rsidR="00F76298" w:rsidRPr="008573C5" w:rsidRDefault="00F76298" w:rsidP="00176987">
      <w:pPr>
        <w:jc w:val="center"/>
        <w:rPr>
          <w:b/>
          <w:sz w:val="28"/>
          <w:szCs w:val="28"/>
        </w:rPr>
      </w:pPr>
    </w:p>
    <w:p w:rsidR="00F76298" w:rsidRPr="008573C5" w:rsidRDefault="00F76298" w:rsidP="00176987">
      <w:pPr>
        <w:jc w:val="center"/>
        <w:rPr>
          <w:b/>
          <w:sz w:val="28"/>
          <w:szCs w:val="28"/>
        </w:rPr>
      </w:pPr>
    </w:p>
    <w:p w:rsidR="00F76298" w:rsidRPr="008573C5" w:rsidRDefault="00F76298" w:rsidP="00176987">
      <w:pPr>
        <w:jc w:val="center"/>
        <w:rPr>
          <w:b/>
          <w:sz w:val="28"/>
          <w:szCs w:val="28"/>
        </w:rPr>
      </w:pPr>
    </w:p>
    <w:p w:rsidR="00F76298" w:rsidRPr="008573C5" w:rsidRDefault="00F76298" w:rsidP="00176987">
      <w:pPr>
        <w:jc w:val="center"/>
        <w:rPr>
          <w:b/>
          <w:sz w:val="28"/>
          <w:szCs w:val="28"/>
        </w:rPr>
      </w:pPr>
    </w:p>
    <w:p w:rsidR="00F76298" w:rsidRPr="008573C5" w:rsidRDefault="00F76298" w:rsidP="00176987">
      <w:pPr>
        <w:jc w:val="center"/>
        <w:rPr>
          <w:b/>
          <w:sz w:val="28"/>
          <w:szCs w:val="28"/>
        </w:rPr>
      </w:pPr>
    </w:p>
    <w:p w:rsidR="00F76298" w:rsidRPr="008573C5" w:rsidRDefault="00F76298" w:rsidP="00176987">
      <w:pPr>
        <w:jc w:val="center"/>
        <w:rPr>
          <w:b/>
          <w:sz w:val="28"/>
          <w:szCs w:val="28"/>
        </w:rPr>
      </w:pPr>
    </w:p>
    <w:p w:rsidR="00F76298" w:rsidRPr="008573C5" w:rsidRDefault="00F76298" w:rsidP="00176987">
      <w:pPr>
        <w:jc w:val="center"/>
        <w:rPr>
          <w:b/>
          <w:sz w:val="28"/>
          <w:szCs w:val="28"/>
        </w:rPr>
      </w:pPr>
    </w:p>
    <w:p w:rsidR="00F76298" w:rsidRPr="008573C5" w:rsidRDefault="00F76298" w:rsidP="00176987">
      <w:pPr>
        <w:jc w:val="center"/>
        <w:rPr>
          <w:b/>
          <w:sz w:val="28"/>
          <w:szCs w:val="28"/>
        </w:rPr>
      </w:pPr>
    </w:p>
    <w:p w:rsidR="00F76298" w:rsidRPr="008573C5" w:rsidRDefault="00F76298" w:rsidP="00176987">
      <w:pPr>
        <w:jc w:val="center"/>
        <w:rPr>
          <w:b/>
          <w:sz w:val="28"/>
          <w:szCs w:val="28"/>
        </w:rPr>
      </w:pPr>
    </w:p>
    <w:p w:rsidR="00F76298" w:rsidRPr="008573C5" w:rsidRDefault="00F76298" w:rsidP="00176987">
      <w:pPr>
        <w:jc w:val="center"/>
        <w:rPr>
          <w:b/>
          <w:sz w:val="28"/>
          <w:szCs w:val="28"/>
        </w:rPr>
      </w:pPr>
    </w:p>
    <w:p w:rsidR="00F76298" w:rsidRPr="008573C5" w:rsidRDefault="00F76298" w:rsidP="00176987">
      <w:pPr>
        <w:jc w:val="center"/>
        <w:rPr>
          <w:b/>
          <w:sz w:val="28"/>
          <w:szCs w:val="28"/>
        </w:rPr>
      </w:pPr>
    </w:p>
    <w:p w:rsidR="00F76298" w:rsidRPr="008573C5" w:rsidRDefault="00F76298" w:rsidP="00176987">
      <w:pPr>
        <w:jc w:val="center"/>
        <w:rPr>
          <w:b/>
          <w:sz w:val="28"/>
          <w:szCs w:val="28"/>
        </w:rPr>
      </w:pPr>
    </w:p>
    <w:p w:rsidR="00F76298" w:rsidRPr="008573C5" w:rsidRDefault="00F76298" w:rsidP="00176987">
      <w:pPr>
        <w:jc w:val="center"/>
        <w:rPr>
          <w:b/>
          <w:sz w:val="28"/>
          <w:szCs w:val="28"/>
        </w:rPr>
      </w:pPr>
    </w:p>
    <w:p w:rsidR="00F76298" w:rsidRPr="008573C5" w:rsidRDefault="00F76298" w:rsidP="00176987">
      <w:pPr>
        <w:jc w:val="center"/>
        <w:rPr>
          <w:b/>
          <w:sz w:val="28"/>
          <w:szCs w:val="28"/>
        </w:rPr>
      </w:pPr>
    </w:p>
    <w:p w:rsidR="00F76298" w:rsidRPr="008573C5" w:rsidRDefault="00F76298" w:rsidP="00176987">
      <w:pPr>
        <w:jc w:val="center"/>
        <w:rPr>
          <w:b/>
          <w:sz w:val="28"/>
          <w:szCs w:val="28"/>
        </w:rPr>
      </w:pPr>
    </w:p>
    <w:p w:rsidR="00176987" w:rsidRPr="005E7FBD" w:rsidRDefault="00786010" w:rsidP="00176987">
      <w:pPr>
        <w:jc w:val="center"/>
        <w:rPr>
          <w:b/>
          <w:sz w:val="32"/>
          <w:szCs w:val="32"/>
        </w:rPr>
      </w:pPr>
      <w:r w:rsidRPr="005E7FBD">
        <w:rPr>
          <w:b/>
          <w:sz w:val="32"/>
          <w:szCs w:val="32"/>
        </w:rPr>
        <w:t>A</w:t>
      </w:r>
      <w:r w:rsidR="00176987" w:rsidRPr="005E7FBD">
        <w:rPr>
          <w:b/>
          <w:sz w:val="32"/>
          <w:szCs w:val="32"/>
        </w:rPr>
        <w:t>PPENDIX I</w:t>
      </w:r>
      <w:r w:rsidR="003441C1" w:rsidRPr="005E7FBD">
        <w:rPr>
          <w:b/>
          <w:sz w:val="32"/>
          <w:szCs w:val="32"/>
        </w:rPr>
        <w:t>I</w:t>
      </w:r>
    </w:p>
    <w:p w:rsidR="00A074C4" w:rsidRPr="008573C5" w:rsidRDefault="00A074C4" w:rsidP="00A074C4">
      <w:pPr>
        <w:autoSpaceDE w:val="0"/>
        <w:autoSpaceDN w:val="0"/>
        <w:adjustRightInd w:val="0"/>
        <w:ind w:left="720" w:hanging="720"/>
        <w:jc w:val="center"/>
        <w:rPr>
          <w:b/>
          <w:sz w:val="28"/>
          <w:szCs w:val="28"/>
        </w:rPr>
      </w:pPr>
    </w:p>
    <w:p w:rsidR="00123EE3" w:rsidRPr="008573C5" w:rsidRDefault="00F31F34" w:rsidP="00A074C4">
      <w:pPr>
        <w:autoSpaceDE w:val="0"/>
        <w:autoSpaceDN w:val="0"/>
        <w:adjustRightInd w:val="0"/>
        <w:ind w:left="720" w:hanging="720"/>
        <w:jc w:val="center"/>
        <w:rPr>
          <w:b/>
          <w:sz w:val="28"/>
          <w:szCs w:val="28"/>
        </w:rPr>
      </w:pPr>
      <w:r w:rsidRPr="008573C5">
        <w:rPr>
          <w:b/>
          <w:sz w:val="28"/>
          <w:szCs w:val="28"/>
        </w:rPr>
        <w:t>Statements of Accounting</w:t>
      </w:r>
      <w:r w:rsidR="00123EE3" w:rsidRPr="008573C5">
        <w:rPr>
          <w:b/>
          <w:sz w:val="28"/>
          <w:szCs w:val="28"/>
          <w:lang w:val="en-GB"/>
        </w:rPr>
        <w:t xml:space="preserve"> Standards</w:t>
      </w:r>
      <w:r w:rsidR="00123EE3" w:rsidRPr="008573C5">
        <w:rPr>
          <w:b/>
          <w:sz w:val="28"/>
          <w:szCs w:val="28"/>
        </w:rPr>
        <w:t xml:space="preserve"> and whether they are included in the Compliance Index</w:t>
      </w:r>
      <w:r w:rsidR="00270AAA" w:rsidRPr="008573C5">
        <w:rPr>
          <w:b/>
          <w:sz w:val="28"/>
          <w:szCs w:val="28"/>
        </w:rPr>
        <w:t xml:space="preserve"> or not</w:t>
      </w:r>
    </w:p>
    <w:p w:rsidR="00123EE3" w:rsidRPr="008573C5" w:rsidRDefault="005C642B" w:rsidP="00A074C4">
      <w:pPr>
        <w:autoSpaceDE w:val="0"/>
        <w:autoSpaceDN w:val="0"/>
        <w:adjustRightInd w:val="0"/>
        <w:ind w:left="2160" w:hanging="2160"/>
        <w:jc w:val="both"/>
        <w:rPr>
          <w:b/>
        </w:rPr>
      </w:pPr>
      <w:r w:rsidRPr="008573C5">
        <w:rPr>
          <w:b/>
        </w:rPr>
        <w:t>SAS</w:t>
      </w:r>
      <w:r w:rsidR="00123EE3" w:rsidRPr="008573C5">
        <w:rPr>
          <w:b/>
        </w:rPr>
        <w:tab/>
        <w:t>Title</w:t>
      </w:r>
      <w:r w:rsidR="00123EE3" w:rsidRPr="008573C5">
        <w:rPr>
          <w:b/>
        </w:rPr>
        <w:tab/>
      </w:r>
      <w:r w:rsidR="00123EE3" w:rsidRPr="008573C5">
        <w:rPr>
          <w:b/>
        </w:rPr>
        <w:tab/>
      </w:r>
      <w:r w:rsidR="00123EE3" w:rsidRPr="008573C5">
        <w:rPr>
          <w:b/>
        </w:rPr>
        <w:tab/>
      </w:r>
      <w:r w:rsidR="00123EE3" w:rsidRPr="008573C5">
        <w:rPr>
          <w:b/>
        </w:rPr>
        <w:tab/>
      </w:r>
      <w:r w:rsidR="00123EE3" w:rsidRPr="008573C5">
        <w:rPr>
          <w:b/>
        </w:rPr>
        <w:tab/>
      </w:r>
      <w:r w:rsidR="00123EE3" w:rsidRPr="008573C5">
        <w:rPr>
          <w:b/>
        </w:rPr>
        <w:tab/>
      </w:r>
      <w:r w:rsidRPr="008573C5">
        <w:rPr>
          <w:b/>
        </w:rPr>
        <w:t xml:space="preserve">In </w:t>
      </w:r>
      <w:r w:rsidR="00123EE3" w:rsidRPr="008573C5">
        <w:rPr>
          <w:b/>
        </w:rPr>
        <w:t>Compliance</w:t>
      </w:r>
    </w:p>
    <w:p w:rsidR="00123EE3" w:rsidRPr="008573C5" w:rsidRDefault="005C642B" w:rsidP="00A074C4">
      <w:pPr>
        <w:autoSpaceDE w:val="0"/>
        <w:autoSpaceDN w:val="0"/>
        <w:adjustRightInd w:val="0"/>
        <w:ind w:left="5760" w:firstLine="720"/>
        <w:jc w:val="both"/>
        <w:rPr>
          <w:b/>
        </w:rPr>
      </w:pPr>
      <w:r w:rsidRPr="008573C5">
        <w:rPr>
          <w:b/>
        </w:rPr>
        <w:t>i</w:t>
      </w:r>
      <w:r w:rsidR="00123EE3" w:rsidRPr="008573C5">
        <w:rPr>
          <w:b/>
        </w:rPr>
        <w:t>ndex</w:t>
      </w:r>
      <w:r w:rsidRPr="008573C5">
        <w:rPr>
          <w:b/>
        </w:rPr>
        <w:t>?</w:t>
      </w:r>
    </w:p>
    <w:p w:rsidR="005C642B" w:rsidRPr="008573C5" w:rsidRDefault="00F04483" w:rsidP="00A074C4">
      <w:pPr>
        <w:autoSpaceDE w:val="0"/>
        <w:autoSpaceDN w:val="0"/>
        <w:adjustRightInd w:val="0"/>
        <w:ind w:left="5760" w:firstLine="720"/>
        <w:jc w:val="both"/>
        <w:rPr>
          <w:b/>
        </w:rPr>
      </w:pPr>
      <w:r w:rsidRPr="008573C5">
        <w:rPr>
          <w:b/>
        </w:rPr>
        <w:t>(Yes or N</w:t>
      </w:r>
      <w:r w:rsidR="005C642B" w:rsidRPr="008573C5">
        <w:rPr>
          <w:b/>
        </w:rPr>
        <w:t>o)</w:t>
      </w:r>
    </w:p>
    <w:p w:rsidR="00123EE3" w:rsidRPr="008573C5" w:rsidRDefault="005C642B" w:rsidP="00A074C4">
      <w:pPr>
        <w:autoSpaceDE w:val="0"/>
        <w:autoSpaceDN w:val="0"/>
        <w:adjustRightInd w:val="0"/>
        <w:ind w:left="720" w:hanging="720"/>
      </w:pPr>
      <w:r w:rsidRPr="008573C5">
        <w:t xml:space="preserve">SAS 1 </w:t>
      </w:r>
      <w:r w:rsidRPr="008573C5">
        <w:tab/>
      </w:r>
      <w:r w:rsidRPr="008573C5">
        <w:tab/>
      </w:r>
      <w:r w:rsidR="00123EE3" w:rsidRPr="008573C5">
        <w:t>Disclosure of Accounting Policies</w:t>
      </w:r>
      <w:r w:rsidRPr="008573C5">
        <w:tab/>
      </w:r>
      <w:r w:rsidRPr="008573C5">
        <w:tab/>
      </w:r>
      <w:r w:rsidRPr="008573C5">
        <w:tab/>
        <w:t>Yes</w:t>
      </w:r>
    </w:p>
    <w:p w:rsidR="005C642B" w:rsidRPr="008573C5" w:rsidRDefault="005C642B" w:rsidP="00A074C4">
      <w:pPr>
        <w:autoSpaceDE w:val="0"/>
        <w:autoSpaceDN w:val="0"/>
        <w:adjustRightInd w:val="0"/>
        <w:ind w:left="720" w:hanging="720"/>
      </w:pPr>
      <w:r w:rsidRPr="008573C5">
        <w:t xml:space="preserve">SAS 2 </w:t>
      </w:r>
      <w:r w:rsidRPr="008573C5">
        <w:tab/>
      </w:r>
      <w:r w:rsidRPr="008573C5">
        <w:tab/>
      </w:r>
      <w:r w:rsidR="00123EE3" w:rsidRPr="008573C5">
        <w:t xml:space="preserve">Information to be disclosed in the Financial </w:t>
      </w:r>
      <w:r w:rsidRPr="008573C5">
        <w:tab/>
      </w:r>
      <w:r w:rsidRPr="008573C5">
        <w:tab/>
        <w:t>Yes</w:t>
      </w:r>
    </w:p>
    <w:p w:rsidR="00123EE3" w:rsidRPr="008573C5" w:rsidRDefault="00123EE3" w:rsidP="00A074C4">
      <w:pPr>
        <w:autoSpaceDE w:val="0"/>
        <w:autoSpaceDN w:val="0"/>
        <w:adjustRightInd w:val="0"/>
        <w:ind w:left="720" w:firstLine="720"/>
      </w:pPr>
      <w:r w:rsidRPr="008573C5">
        <w:t>Statements</w:t>
      </w:r>
    </w:p>
    <w:p w:rsidR="00123EE3" w:rsidRPr="008573C5" w:rsidRDefault="005C642B" w:rsidP="00A074C4">
      <w:pPr>
        <w:autoSpaceDE w:val="0"/>
        <w:autoSpaceDN w:val="0"/>
        <w:adjustRightInd w:val="0"/>
        <w:ind w:left="720" w:hanging="720"/>
      </w:pPr>
      <w:r w:rsidRPr="008573C5">
        <w:t xml:space="preserve">SAS 3 </w:t>
      </w:r>
      <w:r w:rsidRPr="008573C5">
        <w:tab/>
      </w:r>
      <w:r w:rsidRPr="008573C5">
        <w:tab/>
      </w:r>
      <w:r w:rsidR="00123EE3" w:rsidRPr="008573C5">
        <w:t>Accounting for Property, Plant and Equipment</w:t>
      </w:r>
      <w:r w:rsidRPr="008573C5">
        <w:tab/>
        <w:t>Yes</w:t>
      </w:r>
    </w:p>
    <w:p w:rsidR="00123EE3" w:rsidRPr="008573C5" w:rsidRDefault="005C642B" w:rsidP="00A074C4">
      <w:pPr>
        <w:autoSpaceDE w:val="0"/>
        <w:autoSpaceDN w:val="0"/>
        <w:adjustRightInd w:val="0"/>
        <w:ind w:left="720" w:hanging="720"/>
      </w:pPr>
      <w:r w:rsidRPr="008573C5">
        <w:t>SAS 4</w:t>
      </w:r>
      <w:r w:rsidRPr="008573C5">
        <w:tab/>
      </w:r>
      <w:r w:rsidRPr="008573C5">
        <w:tab/>
      </w:r>
      <w:r w:rsidR="00123EE3" w:rsidRPr="008573C5">
        <w:t>On Stocks</w:t>
      </w:r>
      <w:r w:rsidRPr="008573C5">
        <w:tab/>
      </w:r>
      <w:r w:rsidRPr="008573C5">
        <w:tab/>
      </w:r>
      <w:r w:rsidRPr="008573C5">
        <w:tab/>
      </w:r>
      <w:r w:rsidRPr="008573C5">
        <w:tab/>
      </w:r>
      <w:r w:rsidRPr="008573C5">
        <w:tab/>
      </w:r>
      <w:r w:rsidRPr="008573C5">
        <w:tab/>
        <w:t>Yes</w:t>
      </w:r>
    </w:p>
    <w:p w:rsidR="00123EE3" w:rsidRPr="008573C5" w:rsidRDefault="005C642B" w:rsidP="00A074C4">
      <w:pPr>
        <w:autoSpaceDE w:val="0"/>
        <w:autoSpaceDN w:val="0"/>
        <w:adjustRightInd w:val="0"/>
        <w:ind w:left="720" w:hanging="720"/>
      </w:pPr>
      <w:r w:rsidRPr="008573C5">
        <w:t>SAS 5</w:t>
      </w:r>
      <w:r w:rsidRPr="008573C5">
        <w:tab/>
      </w:r>
      <w:r w:rsidRPr="008573C5">
        <w:tab/>
      </w:r>
      <w:r w:rsidR="00123EE3" w:rsidRPr="008573C5">
        <w:t>On Construction Contracts</w:t>
      </w:r>
      <w:r w:rsidRPr="008573C5">
        <w:tab/>
      </w:r>
      <w:r w:rsidRPr="008573C5">
        <w:tab/>
      </w:r>
      <w:r w:rsidRPr="008573C5">
        <w:tab/>
      </w:r>
      <w:r w:rsidRPr="008573C5">
        <w:tab/>
        <w:t>No</w:t>
      </w:r>
    </w:p>
    <w:p w:rsidR="005C642B" w:rsidRPr="008573C5" w:rsidRDefault="005C642B" w:rsidP="00A074C4">
      <w:pPr>
        <w:autoSpaceDE w:val="0"/>
        <w:autoSpaceDN w:val="0"/>
        <w:adjustRightInd w:val="0"/>
        <w:ind w:left="720" w:hanging="720"/>
      </w:pPr>
      <w:r w:rsidRPr="008573C5">
        <w:t>SAS 6</w:t>
      </w:r>
      <w:r w:rsidRPr="008573C5">
        <w:tab/>
      </w:r>
      <w:r w:rsidRPr="008573C5">
        <w:tab/>
      </w:r>
      <w:r w:rsidR="00123EE3" w:rsidRPr="008573C5">
        <w:t>On Extraordinary items and Prior Year</w:t>
      </w:r>
      <w:r w:rsidRPr="008573C5">
        <w:tab/>
      </w:r>
      <w:r w:rsidRPr="008573C5">
        <w:tab/>
        <w:t>No</w:t>
      </w:r>
    </w:p>
    <w:p w:rsidR="00123EE3" w:rsidRPr="008573C5" w:rsidRDefault="00123EE3" w:rsidP="00A074C4">
      <w:pPr>
        <w:autoSpaceDE w:val="0"/>
        <w:autoSpaceDN w:val="0"/>
        <w:adjustRightInd w:val="0"/>
        <w:ind w:left="720" w:firstLine="720"/>
      </w:pPr>
      <w:r w:rsidRPr="008573C5">
        <w:t xml:space="preserve"> Adjustments.</w:t>
      </w:r>
    </w:p>
    <w:p w:rsidR="00123EE3" w:rsidRPr="008573C5" w:rsidRDefault="005C642B" w:rsidP="00A074C4">
      <w:pPr>
        <w:autoSpaceDE w:val="0"/>
        <w:autoSpaceDN w:val="0"/>
        <w:adjustRightInd w:val="0"/>
        <w:ind w:left="720" w:hanging="720"/>
      </w:pPr>
      <w:r w:rsidRPr="008573C5">
        <w:t>SAS 7</w:t>
      </w:r>
      <w:r w:rsidRPr="008573C5">
        <w:tab/>
      </w:r>
      <w:r w:rsidRPr="008573C5">
        <w:tab/>
      </w:r>
      <w:r w:rsidR="00123EE3" w:rsidRPr="008573C5">
        <w:t>On Foreign Curr</w:t>
      </w:r>
      <w:r w:rsidRPr="008573C5">
        <w:t>ency Conversions and Translatio</w:t>
      </w:r>
      <w:r w:rsidR="00123EE3" w:rsidRPr="008573C5">
        <w:t>ns</w:t>
      </w:r>
      <w:r w:rsidRPr="008573C5">
        <w:tab/>
        <w:t>Yes</w:t>
      </w:r>
    </w:p>
    <w:p w:rsidR="00123EE3" w:rsidRPr="008573C5" w:rsidRDefault="005C642B" w:rsidP="00A074C4">
      <w:pPr>
        <w:autoSpaceDE w:val="0"/>
        <w:autoSpaceDN w:val="0"/>
        <w:adjustRightInd w:val="0"/>
        <w:ind w:left="720" w:hanging="720"/>
      </w:pPr>
      <w:r w:rsidRPr="008573C5">
        <w:t>SAS 8</w:t>
      </w:r>
      <w:r w:rsidRPr="008573C5">
        <w:tab/>
      </w:r>
      <w:r w:rsidRPr="008573C5">
        <w:tab/>
      </w:r>
      <w:r w:rsidR="00123EE3" w:rsidRPr="008573C5">
        <w:t xml:space="preserve"> Accounting for Employees’ Retirement Benefits</w:t>
      </w:r>
      <w:r w:rsidRPr="008573C5">
        <w:tab/>
        <w:t>Yes</w:t>
      </w:r>
    </w:p>
    <w:p w:rsidR="00123EE3" w:rsidRPr="008573C5" w:rsidRDefault="005C642B" w:rsidP="00A074C4">
      <w:pPr>
        <w:autoSpaceDE w:val="0"/>
        <w:autoSpaceDN w:val="0"/>
        <w:adjustRightInd w:val="0"/>
        <w:ind w:left="720" w:hanging="720"/>
      </w:pPr>
      <w:r w:rsidRPr="008573C5">
        <w:t xml:space="preserve">SAS 9 </w:t>
      </w:r>
      <w:r w:rsidRPr="008573C5">
        <w:tab/>
      </w:r>
      <w:r w:rsidRPr="008573C5">
        <w:tab/>
      </w:r>
      <w:r w:rsidR="00123EE3" w:rsidRPr="008573C5">
        <w:t>Accounting for Depreciation</w:t>
      </w:r>
      <w:r w:rsidR="00EA7329" w:rsidRPr="008573C5">
        <w:tab/>
      </w:r>
      <w:r w:rsidR="00EA7329" w:rsidRPr="008573C5">
        <w:tab/>
      </w:r>
      <w:r w:rsidR="00EA7329" w:rsidRPr="008573C5">
        <w:tab/>
      </w:r>
      <w:r w:rsidR="00EA7329" w:rsidRPr="008573C5">
        <w:tab/>
        <w:t>Ye</w:t>
      </w:r>
      <w:r w:rsidR="000E08B7" w:rsidRPr="008573C5">
        <w:t>s</w:t>
      </w:r>
    </w:p>
    <w:p w:rsidR="005C642B" w:rsidRPr="008573C5" w:rsidRDefault="00123EE3" w:rsidP="00A074C4">
      <w:pPr>
        <w:autoSpaceDE w:val="0"/>
        <w:autoSpaceDN w:val="0"/>
        <w:adjustRightInd w:val="0"/>
        <w:ind w:left="720" w:hanging="720"/>
      </w:pPr>
      <w:r w:rsidRPr="008573C5">
        <w:t>SAS 1</w:t>
      </w:r>
      <w:r w:rsidR="005C642B" w:rsidRPr="008573C5">
        <w:t xml:space="preserve">0 </w:t>
      </w:r>
      <w:r w:rsidR="005C642B" w:rsidRPr="008573C5">
        <w:tab/>
      </w:r>
      <w:r w:rsidRPr="008573C5">
        <w:t xml:space="preserve">Accounting for Banks and Non-Bank Financial </w:t>
      </w:r>
      <w:r w:rsidR="005C642B" w:rsidRPr="008573C5">
        <w:tab/>
        <w:t>No</w:t>
      </w:r>
    </w:p>
    <w:p w:rsidR="00123EE3" w:rsidRPr="008573C5" w:rsidRDefault="00123EE3" w:rsidP="00A074C4">
      <w:pPr>
        <w:autoSpaceDE w:val="0"/>
        <w:autoSpaceDN w:val="0"/>
        <w:adjustRightInd w:val="0"/>
        <w:ind w:left="720" w:firstLine="720"/>
      </w:pPr>
      <w:r w:rsidRPr="008573C5">
        <w:t>Institutions (Part 1)</w:t>
      </w:r>
    </w:p>
    <w:p w:rsidR="00123EE3" w:rsidRPr="008573C5" w:rsidRDefault="005C642B" w:rsidP="00A074C4">
      <w:pPr>
        <w:autoSpaceDE w:val="0"/>
        <w:autoSpaceDN w:val="0"/>
        <w:adjustRightInd w:val="0"/>
        <w:ind w:left="720" w:hanging="720"/>
      </w:pPr>
      <w:r w:rsidRPr="008573C5">
        <w:t xml:space="preserve">SAS 11 </w:t>
      </w:r>
      <w:r w:rsidRPr="008573C5">
        <w:tab/>
      </w:r>
      <w:r w:rsidR="00123EE3" w:rsidRPr="008573C5">
        <w:t>On Leases</w:t>
      </w:r>
      <w:r w:rsidRPr="008573C5">
        <w:tab/>
      </w:r>
      <w:r w:rsidRPr="008573C5">
        <w:tab/>
      </w:r>
      <w:r w:rsidRPr="008573C5">
        <w:tab/>
      </w:r>
      <w:r w:rsidRPr="008573C5">
        <w:tab/>
      </w:r>
      <w:r w:rsidRPr="008573C5">
        <w:tab/>
      </w:r>
      <w:r w:rsidRPr="008573C5">
        <w:tab/>
        <w:t>No</w:t>
      </w:r>
    </w:p>
    <w:p w:rsidR="00123EE3" w:rsidRPr="008573C5" w:rsidRDefault="005C642B" w:rsidP="00A074C4">
      <w:pPr>
        <w:autoSpaceDE w:val="0"/>
        <w:autoSpaceDN w:val="0"/>
        <w:adjustRightInd w:val="0"/>
        <w:ind w:left="720" w:hanging="720"/>
      </w:pPr>
      <w:r w:rsidRPr="008573C5">
        <w:t>SAS 12</w:t>
      </w:r>
      <w:r w:rsidRPr="008573C5">
        <w:tab/>
      </w:r>
      <w:r w:rsidR="00123EE3" w:rsidRPr="008573C5">
        <w:t xml:space="preserve"> Accounting for Deferred Taxes</w:t>
      </w:r>
      <w:r w:rsidR="0021359E" w:rsidRPr="008573C5">
        <w:tab/>
      </w:r>
      <w:r w:rsidR="0021359E" w:rsidRPr="008573C5">
        <w:tab/>
      </w:r>
      <w:r w:rsidR="0021359E" w:rsidRPr="008573C5">
        <w:tab/>
        <w:t>No</w:t>
      </w:r>
    </w:p>
    <w:p w:rsidR="00123EE3" w:rsidRPr="008573C5" w:rsidRDefault="005C642B" w:rsidP="00A074C4">
      <w:pPr>
        <w:autoSpaceDE w:val="0"/>
        <w:autoSpaceDN w:val="0"/>
        <w:adjustRightInd w:val="0"/>
        <w:ind w:left="720" w:hanging="720"/>
      </w:pPr>
      <w:r w:rsidRPr="008573C5">
        <w:t>SAS 13</w:t>
      </w:r>
      <w:r w:rsidRPr="008573C5">
        <w:tab/>
      </w:r>
      <w:r w:rsidR="00123EE3" w:rsidRPr="008573C5">
        <w:t xml:space="preserve"> Accounting for Investments</w:t>
      </w:r>
      <w:r w:rsidR="0021359E" w:rsidRPr="008573C5">
        <w:tab/>
      </w:r>
      <w:r w:rsidR="0021359E" w:rsidRPr="008573C5">
        <w:tab/>
      </w:r>
      <w:r w:rsidR="0021359E" w:rsidRPr="008573C5">
        <w:tab/>
      </w:r>
      <w:r w:rsidR="0021359E" w:rsidRPr="008573C5">
        <w:tab/>
        <w:t>Yes</w:t>
      </w:r>
    </w:p>
    <w:p w:rsidR="0021359E" w:rsidRPr="008573C5" w:rsidRDefault="005C642B" w:rsidP="00A074C4">
      <w:pPr>
        <w:autoSpaceDE w:val="0"/>
        <w:autoSpaceDN w:val="0"/>
        <w:adjustRightInd w:val="0"/>
        <w:ind w:left="720" w:hanging="720"/>
      </w:pPr>
      <w:r w:rsidRPr="008573C5">
        <w:t xml:space="preserve">SAS 14 </w:t>
      </w:r>
      <w:r w:rsidRPr="008573C5">
        <w:tab/>
      </w:r>
      <w:r w:rsidR="00123EE3" w:rsidRPr="008573C5">
        <w:t xml:space="preserve">Accounting for Petroleum Industry : Upstream </w:t>
      </w:r>
      <w:r w:rsidR="0021359E" w:rsidRPr="008573C5">
        <w:tab/>
        <w:t>No</w:t>
      </w:r>
    </w:p>
    <w:p w:rsidR="00123EE3" w:rsidRPr="008573C5" w:rsidRDefault="00123EE3" w:rsidP="00A074C4">
      <w:pPr>
        <w:autoSpaceDE w:val="0"/>
        <w:autoSpaceDN w:val="0"/>
        <w:adjustRightInd w:val="0"/>
        <w:ind w:left="720" w:firstLine="720"/>
      </w:pPr>
      <w:r w:rsidRPr="008573C5">
        <w:t>Activities</w:t>
      </w:r>
    </w:p>
    <w:p w:rsidR="008A79A3" w:rsidRPr="008573C5" w:rsidRDefault="005C642B" w:rsidP="00A074C4">
      <w:pPr>
        <w:autoSpaceDE w:val="0"/>
        <w:autoSpaceDN w:val="0"/>
        <w:adjustRightInd w:val="0"/>
        <w:ind w:left="720" w:hanging="720"/>
      </w:pPr>
      <w:r w:rsidRPr="008573C5">
        <w:t xml:space="preserve">SAS 15 </w:t>
      </w:r>
      <w:r w:rsidRPr="008573C5">
        <w:tab/>
      </w:r>
      <w:r w:rsidR="00123EE3" w:rsidRPr="008573C5">
        <w:t xml:space="preserve">Accounting for banks and Non- Bank Financial </w:t>
      </w:r>
      <w:r w:rsidR="008A79A3" w:rsidRPr="008573C5">
        <w:tab/>
        <w:t>No</w:t>
      </w:r>
    </w:p>
    <w:p w:rsidR="00123EE3" w:rsidRPr="008573C5" w:rsidRDefault="00123EE3" w:rsidP="00A074C4">
      <w:pPr>
        <w:autoSpaceDE w:val="0"/>
        <w:autoSpaceDN w:val="0"/>
        <w:adjustRightInd w:val="0"/>
        <w:ind w:left="720" w:firstLine="720"/>
      </w:pPr>
      <w:r w:rsidRPr="008573C5">
        <w:t>Institutions (Part 2)</w:t>
      </w:r>
    </w:p>
    <w:p w:rsidR="00123EE3" w:rsidRPr="008573C5" w:rsidRDefault="005C642B" w:rsidP="00A074C4">
      <w:pPr>
        <w:autoSpaceDE w:val="0"/>
        <w:autoSpaceDN w:val="0"/>
        <w:adjustRightInd w:val="0"/>
        <w:ind w:left="720" w:hanging="720"/>
      </w:pPr>
      <w:r w:rsidRPr="008573C5">
        <w:t xml:space="preserve">SAS 16 </w:t>
      </w:r>
      <w:r w:rsidRPr="008573C5">
        <w:tab/>
      </w:r>
      <w:r w:rsidR="00123EE3" w:rsidRPr="008573C5">
        <w:t>Accounting for Insurance Business</w:t>
      </w:r>
      <w:r w:rsidR="008A79A3" w:rsidRPr="008573C5">
        <w:tab/>
      </w:r>
      <w:r w:rsidR="008A79A3" w:rsidRPr="008573C5">
        <w:tab/>
      </w:r>
      <w:r w:rsidR="008A79A3" w:rsidRPr="008573C5">
        <w:tab/>
        <w:t>No</w:t>
      </w:r>
    </w:p>
    <w:p w:rsidR="008A79A3" w:rsidRPr="008573C5" w:rsidRDefault="005C642B" w:rsidP="00A074C4">
      <w:pPr>
        <w:autoSpaceDE w:val="0"/>
        <w:autoSpaceDN w:val="0"/>
        <w:adjustRightInd w:val="0"/>
        <w:ind w:left="720" w:hanging="720"/>
      </w:pPr>
      <w:r w:rsidRPr="008573C5">
        <w:t xml:space="preserve">SAS 17 </w:t>
      </w:r>
      <w:r w:rsidRPr="008573C5">
        <w:tab/>
      </w:r>
      <w:r w:rsidR="00123EE3" w:rsidRPr="008573C5">
        <w:t xml:space="preserve">Accounting for Petroleum Industry : </w:t>
      </w:r>
      <w:r w:rsidR="008A79A3" w:rsidRPr="008573C5">
        <w:tab/>
      </w:r>
      <w:r w:rsidR="008A79A3" w:rsidRPr="008573C5">
        <w:tab/>
      </w:r>
      <w:r w:rsidR="008A79A3" w:rsidRPr="008573C5">
        <w:tab/>
        <w:t>No</w:t>
      </w:r>
    </w:p>
    <w:p w:rsidR="00123EE3" w:rsidRPr="008573C5" w:rsidRDefault="00123EE3" w:rsidP="00A074C4">
      <w:pPr>
        <w:autoSpaceDE w:val="0"/>
        <w:autoSpaceDN w:val="0"/>
        <w:adjustRightInd w:val="0"/>
        <w:ind w:left="720" w:firstLine="720"/>
      </w:pPr>
      <w:r w:rsidRPr="008573C5">
        <w:t>Downstr</w:t>
      </w:r>
      <w:r w:rsidR="008A79A3" w:rsidRPr="008573C5">
        <w:t>e</w:t>
      </w:r>
      <w:r w:rsidRPr="008573C5">
        <w:t>am Activities</w:t>
      </w:r>
    </w:p>
    <w:p w:rsidR="00123EE3" w:rsidRPr="008573C5" w:rsidRDefault="005C642B" w:rsidP="00A074C4">
      <w:pPr>
        <w:autoSpaceDE w:val="0"/>
        <w:autoSpaceDN w:val="0"/>
        <w:adjustRightInd w:val="0"/>
        <w:ind w:left="720" w:hanging="720"/>
      </w:pPr>
      <w:r w:rsidRPr="008573C5">
        <w:t>SAS 18</w:t>
      </w:r>
      <w:r w:rsidRPr="008573C5">
        <w:tab/>
      </w:r>
      <w:r w:rsidR="00123EE3" w:rsidRPr="008573C5">
        <w:t>Statement of Cash Flows</w:t>
      </w:r>
      <w:r w:rsidR="008A79A3" w:rsidRPr="008573C5">
        <w:tab/>
      </w:r>
      <w:r w:rsidR="008A79A3" w:rsidRPr="008573C5">
        <w:tab/>
      </w:r>
      <w:r w:rsidR="008A79A3" w:rsidRPr="008573C5">
        <w:tab/>
      </w:r>
      <w:r w:rsidR="008A79A3" w:rsidRPr="008573C5">
        <w:tab/>
        <w:t>Yes</w:t>
      </w:r>
    </w:p>
    <w:p w:rsidR="00123EE3" w:rsidRPr="008573C5" w:rsidRDefault="005C642B" w:rsidP="00A074C4">
      <w:pPr>
        <w:autoSpaceDE w:val="0"/>
        <w:autoSpaceDN w:val="0"/>
        <w:adjustRightInd w:val="0"/>
        <w:ind w:left="720" w:hanging="720"/>
      </w:pPr>
      <w:r w:rsidRPr="008573C5">
        <w:t>SAS 19</w:t>
      </w:r>
      <w:r w:rsidRPr="008573C5">
        <w:tab/>
      </w:r>
      <w:r w:rsidR="00123EE3" w:rsidRPr="008573C5">
        <w:t>Accounting for Taxes</w:t>
      </w:r>
      <w:r w:rsidR="008A79A3" w:rsidRPr="008573C5">
        <w:tab/>
      </w:r>
      <w:r w:rsidR="008A79A3" w:rsidRPr="008573C5">
        <w:tab/>
      </w:r>
      <w:r w:rsidR="008A79A3" w:rsidRPr="008573C5">
        <w:tab/>
      </w:r>
      <w:r w:rsidR="008A79A3" w:rsidRPr="008573C5">
        <w:tab/>
      </w:r>
      <w:r w:rsidR="008A79A3" w:rsidRPr="008573C5">
        <w:tab/>
        <w:t>Yes</w:t>
      </w:r>
    </w:p>
    <w:p w:rsidR="00123EE3" w:rsidRPr="008573C5" w:rsidRDefault="005C642B" w:rsidP="00A074C4">
      <w:pPr>
        <w:autoSpaceDE w:val="0"/>
        <w:autoSpaceDN w:val="0"/>
        <w:adjustRightInd w:val="0"/>
        <w:ind w:left="720" w:hanging="720"/>
      </w:pPr>
      <w:r w:rsidRPr="008573C5">
        <w:t xml:space="preserve">SAS 20 </w:t>
      </w:r>
      <w:r w:rsidRPr="008573C5">
        <w:tab/>
      </w:r>
      <w:r w:rsidR="00123EE3" w:rsidRPr="008573C5">
        <w:t>On Abridged Financial Statements</w:t>
      </w:r>
      <w:r w:rsidR="008A79A3" w:rsidRPr="008573C5">
        <w:tab/>
      </w:r>
      <w:r w:rsidR="008A79A3" w:rsidRPr="008573C5">
        <w:tab/>
      </w:r>
      <w:r w:rsidR="008A79A3" w:rsidRPr="008573C5">
        <w:tab/>
        <w:t>No</w:t>
      </w:r>
    </w:p>
    <w:p w:rsidR="00123EE3" w:rsidRPr="008573C5" w:rsidRDefault="005C642B" w:rsidP="00A074C4">
      <w:pPr>
        <w:autoSpaceDE w:val="0"/>
        <w:autoSpaceDN w:val="0"/>
        <w:adjustRightInd w:val="0"/>
        <w:ind w:left="720" w:hanging="720"/>
      </w:pPr>
      <w:r w:rsidRPr="008573C5">
        <w:t xml:space="preserve">SAS 21 </w:t>
      </w:r>
      <w:r w:rsidRPr="008573C5">
        <w:tab/>
      </w:r>
      <w:r w:rsidR="00123EE3" w:rsidRPr="008573C5">
        <w:t>On Earnings Per Share</w:t>
      </w:r>
      <w:r w:rsidR="008A79A3" w:rsidRPr="008573C5">
        <w:tab/>
      </w:r>
      <w:r w:rsidR="008A79A3" w:rsidRPr="008573C5">
        <w:tab/>
      </w:r>
      <w:r w:rsidR="008A79A3" w:rsidRPr="008573C5">
        <w:tab/>
      </w:r>
      <w:r w:rsidR="008A79A3" w:rsidRPr="008573C5">
        <w:tab/>
        <w:t>Yes</w:t>
      </w:r>
    </w:p>
    <w:p w:rsidR="00123EE3" w:rsidRPr="008573C5" w:rsidRDefault="005C642B" w:rsidP="00A074C4">
      <w:pPr>
        <w:autoSpaceDE w:val="0"/>
        <w:autoSpaceDN w:val="0"/>
        <w:adjustRightInd w:val="0"/>
        <w:ind w:left="720" w:hanging="720"/>
      </w:pPr>
      <w:r w:rsidRPr="008573C5">
        <w:t xml:space="preserve">SAS 22 </w:t>
      </w:r>
      <w:r w:rsidRPr="008573C5">
        <w:tab/>
      </w:r>
      <w:r w:rsidR="00123EE3" w:rsidRPr="008573C5">
        <w:t xml:space="preserve">On Research and Development </w:t>
      </w:r>
      <w:r w:rsidR="008A79A3" w:rsidRPr="008573C5">
        <w:t>C</w:t>
      </w:r>
      <w:r w:rsidR="00123EE3" w:rsidRPr="008573C5">
        <w:t>ost</w:t>
      </w:r>
      <w:r w:rsidR="008A79A3" w:rsidRPr="008573C5">
        <w:t>s</w:t>
      </w:r>
      <w:r w:rsidR="008A79A3" w:rsidRPr="008573C5">
        <w:tab/>
      </w:r>
      <w:r w:rsidR="008A79A3" w:rsidRPr="008573C5">
        <w:tab/>
      </w:r>
      <w:r w:rsidR="008A79A3" w:rsidRPr="008573C5">
        <w:tab/>
        <w:t>Yes</w:t>
      </w:r>
    </w:p>
    <w:p w:rsidR="008A79A3" w:rsidRPr="008573C5" w:rsidRDefault="005C642B" w:rsidP="00A074C4">
      <w:pPr>
        <w:autoSpaceDE w:val="0"/>
        <w:autoSpaceDN w:val="0"/>
        <w:adjustRightInd w:val="0"/>
        <w:ind w:left="720" w:hanging="720"/>
      </w:pPr>
      <w:r w:rsidRPr="008573C5">
        <w:t xml:space="preserve">SAS 23 </w:t>
      </w:r>
      <w:r w:rsidRPr="008573C5">
        <w:tab/>
      </w:r>
      <w:r w:rsidR="00123EE3" w:rsidRPr="008573C5">
        <w:t xml:space="preserve">On </w:t>
      </w:r>
      <w:r w:rsidRPr="008573C5">
        <w:t>P</w:t>
      </w:r>
      <w:r w:rsidR="00123EE3" w:rsidRPr="008573C5">
        <w:t xml:space="preserve">rovisions, Contingent liabilities and </w:t>
      </w:r>
      <w:r w:rsidR="008A79A3" w:rsidRPr="008573C5">
        <w:tab/>
      </w:r>
      <w:r w:rsidR="008A79A3" w:rsidRPr="008573C5">
        <w:tab/>
        <w:t>Yes</w:t>
      </w:r>
    </w:p>
    <w:p w:rsidR="00123EE3" w:rsidRPr="008573C5" w:rsidRDefault="00123EE3" w:rsidP="00A074C4">
      <w:pPr>
        <w:autoSpaceDE w:val="0"/>
        <w:autoSpaceDN w:val="0"/>
        <w:adjustRightInd w:val="0"/>
        <w:ind w:left="720" w:firstLine="720"/>
      </w:pPr>
      <w:r w:rsidRPr="008573C5">
        <w:t>Contingent Assets</w:t>
      </w:r>
    </w:p>
    <w:p w:rsidR="00123EE3" w:rsidRPr="008573C5" w:rsidRDefault="005C642B" w:rsidP="00A074C4">
      <w:pPr>
        <w:autoSpaceDE w:val="0"/>
        <w:autoSpaceDN w:val="0"/>
        <w:adjustRightInd w:val="0"/>
        <w:ind w:left="720" w:hanging="720"/>
      </w:pPr>
      <w:r w:rsidRPr="008573C5">
        <w:t xml:space="preserve">SAS 24 </w:t>
      </w:r>
      <w:r w:rsidRPr="008573C5">
        <w:tab/>
      </w:r>
      <w:r w:rsidR="00123EE3" w:rsidRPr="008573C5">
        <w:t>On Segment Reporting</w:t>
      </w:r>
      <w:r w:rsidR="008A79A3" w:rsidRPr="008573C5">
        <w:tab/>
      </w:r>
      <w:r w:rsidR="008A79A3" w:rsidRPr="008573C5">
        <w:tab/>
      </w:r>
      <w:r w:rsidR="008A79A3" w:rsidRPr="008573C5">
        <w:tab/>
      </w:r>
      <w:r w:rsidR="008A79A3" w:rsidRPr="008573C5">
        <w:tab/>
        <w:t>No</w:t>
      </w:r>
    </w:p>
    <w:p w:rsidR="007A5BD3" w:rsidRPr="008573C5" w:rsidRDefault="007531CE" w:rsidP="00A074C4">
      <w:pPr>
        <w:autoSpaceDE w:val="0"/>
        <w:autoSpaceDN w:val="0"/>
        <w:adjustRightInd w:val="0"/>
        <w:ind w:left="720" w:hanging="720"/>
        <w:jc w:val="both"/>
        <w:rPr>
          <w:lang w:val="en-GB"/>
        </w:rPr>
      </w:pPr>
      <w:r w:rsidRPr="008573C5">
        <w:t>SAS 25</w:t>
      </w:r>
      <w:r w:rsidRPr="008573C5">
        <w:tab/>
      </w:r>
      <w:r w:rsidRPr="008573C5">
        <w:rPr>
          <w:lang w:val="en-GB"/>
        </w:rPr>
        <w:t>Telecommunication Activities</w:t>
      </w:r>
      <w:r w:rsidRPr="008573C5">
        <w:rPr>
          <w:lang w:val="en-GB"/>
        </w:rPr>
        <w:tab/>
      </w:r>
      <w:r w:rsidRPr="008573C5">
        <w:rPr>
          <w:lang w:val="en-GB"/>
        </w:rPr>
        <w:tab/>
      </w:r>
      <w:r w:rsidRPr="008573C5">
        <w:rPr>
          <w:lang w:val="en-GB"/>
        </w:rPr>
        <w:tab/>
        <w:t>No</w:t>
      </w:r>
    </w:p>
    <w:p w:rsidR="007531CE" w:rsidRPr="008573C5" w:rsidRDefault="007531CE" w:rsidP="00A074C4">
      <w:pPr>
        <w:autoSpaceDE w:val="0"/>
        <w:autoSpaceDN w:val="0"/>
        <w:adjustRightInd w:val="0"/>
        <w:ind w:left="720" w:hanging="720"/>
        <w:jc w:val="both"/>
        <w:rPr>
          <w:lang w:val="en-GB"/>
        </w:rPr>
      </w:pPr>
      <w:r w:rsidRPr="008573C5">
        <w:rPr>
          <w:lang w:val="en-GB"/>
        </w:rPr>
        <w:t>SAS 26</w:t>
      </w:r>
      <w:r w:rsidRPr="008573C5">
        <w:rPr>
          <w:lang w:val="en-GB"/>
        </w:rPr>
        <w:tab/>
        <w:t>Business Combinations</w:t>
      </w:r>
      <w:r w:rsidRPr="008573C5">
        <w:rPr>
          <w:lang w:val="en-GB"/>
        </w:rPr>
        <w:tab/>
      </w:r>
      <w:r w:rsidRPr="008573C5">
        <w:rPr>
          <w:lang w:val="en-GB"/>
        </w:rPr>
        <w:tab/>
      </w:r>
      <w:r w:rsidRPr="008573C5">
        <w:rPr>
          <w:lang w:val="en-GB"/>
        </w:rPr>
        <w:tab/>
      </w:r>
      <w:r w:rsidRPr="008573C5">
        <w:rPr>
          <w:lang w:val="en-GB"/>
        </w:rPr>
        <w:tab/>
        <w:t>No</w:t>
      </w:r>
    </w:p>
    <w:p w:rsidR="007531CE" w:rsidRPr="008573C5" w:rsidRDefault="007531CE" w:rsidP="00A074C4">
      <w:pPr>
        <w:autoSpaceDE w:val="0"/>
        <w:autoSpaceDN w:val="0"/>
        <w:adjustRightInd w:val="0"/>
        <w:ind w:left="720" w:hanging="720"/>
        <w:jc w:val="both"/>
        <w:rPr>
          <w:lang w:val="en-GB"/>
        </w:rPr>
      </w:pPr>
      <w:r w:rsidRPr="008573C5">
        <w:rPr>
          <w:lang w:val="en-GB"/>
        </w:rPr>
        <w:t>SAS 27</w:t>
      </w:r>
      <w:r w:rsidRPr="008573C5">
        <w:rPr>
          <w:lang w:val="en-GB"/>
        </w:rPr>
        <w:tab/>
        <w:t>Consolidated and Separate Financial Statements</w:t>
      </w:r>
      <w:r w:rsidRPr="008573C5">
        <w:rPr>
          <w:lang w:val="en-GB"/>
        </w:rPr>
        <w:tab/>
        <w:t>No</w:t>
      </w:r>
    </w:p>
    <w:p w:rsidR="007531CE" w:rsidRPr="008573C5" w:rsidRDefault="007531CE" w:rsidP="00A074C4">
      <w:pPr>
        <w:autoSpaceDE w:val="0"/>
        <w:autoSpaceDN w:val="0"/>
        <w:adjustRightInd w:val="0"/>
        <w:ind w:left="720" w:hanging="720"/>
        <w:jc w:val="both"/>
        <w:rPr>
          <w:lang w:val="en-GB"/>
        </w:rPr>
      </w:pPr>
      <w:r w:rsidRPr="008573C5">
        <w:rPr>
          <w:lang w:val="en-GB"/>
        </w:rPr>
        <w:t>SAS 28</w:t>
      </w:r>
      <w:r w:rsidRPr="008573C5">
        <w:rPr>
          <w:lang w:val="en-GB"/>
        </w:rPr>
        <w:tab/>
        <w:t>Investment in Associates</w:t>
      </w:r>
      <w:r w:rsidRPr="008573C5">
        <w:rPr>
          <w:lang w:val="en-GB"/>
        </w:rPr>
        <w:tab/>
      </w:r>
      <w:r w:rsidRPr="008573C5">
        <w:rPr>
          <w:lang w:val="en-GB"/>
        </w:rPr>
        <w:tab/>
      </w:r>
      <w:r w:rsidRPr="008573C5">
        <w:rPr>
          <w:lang w:val="en-GB"/>
        </w:rPr>
        <w:tab/>
      </w:r>
      <w:r w:rsidRPr="008573C5">
        <w:rPr>
          <w:lang w:val="en-GB"/>
        </w:rPr>
        <w:tab/>
        <w:t>No</w:t>
      </w:r>
    </w:p>
    <w:p w:rsidR="007531CE" w:rsidRPr="008573C5" w:rsidRDefault="007531CE" w:rsidP="00A074C4">
      <w:pPr>
        <w:autoSpaceDE w:val="0"/>
        <w:autoSpaceDN w:val="0"/>
        <w:adjustRightInd w:val="0"/>
        <w:ind w:left="720" w:hanging="720"/>
        <w:jc w:val="both"/>
        <w:rPr>
          <w:lang w:val="en-GB"/>
        </w:rPr>
      </w:pPr>
      <w:r w:rsidRPr="008573C5">
        <w:rPr>
          <w:lang w:val="en-GB"/>
        </w:rPr>
        <w:t>SAS 29</w:t>
      </w:r>
      <w:r w:rsidRPr="008573C5">
        <w:rPr>
          <w:lang w:val="en-GB"/>
        </w:rPr>
        <w:tab/>
        <w:t>Interests in Joint Ventures</w:t>
      </w:r>
      <w:r w:rsidRPr="008573C5">
        <w:rPr>
          <w:lang w:val="en-GB"/>
        </w:rPr>
        <w:tab/>
      </w:r>
      <w:r w:rsidRPr="008573C5">
        <w:rPr>
          <w:lang w:val="en-GB"/>
        </w:rPr>
        <w:tab/>
      </w:r>
      <w:r w:rsidRPr="008573C5">
        <w:rPr>
          <w:lang w:val="en-GB"/>
        </w:rPr>
        <w:tab/>
      </w:r>
      <w:r w:rsidRPr="008573C5">
        <w:rPr>
          <w:lang w:val="en-GB"/>
        </w:rPr>
        <w:tab/>
        <w:t>No</w:t>
      </w:r>
    </w:p>
    <w:p w:rsidR="007A5BD3" w:rsidRPr="008573C5" w:rsidRDefault="007531CE" w:rsidP="00A074C4">
      <w:pPr>
        <w:autoSpaceDE w:val="0"/>
        <w:autoSpaceDN w:val="0"/>
        <w:adjustRightInd w:val="0"/>
        <w:ind w:left="720" w:hanging="720"/>
        <w:jc w:val="both"/>
      </w:pPr>
      <w:r w:rsidRPr="008573C5">
        <w:rPr>
          <w:lang w:val="en-GB"/>
        </w:rPr>
        <w:t>SAS 30</w:t>
      </w:r>
      <w:r w:rsidRPr="008573C5">
        <w:rPr>
          <w:lang w:val="en-GB"/>
        </w:rPr>
        <w:tab/>
        <w:t>Interim Financial Reporting</w:t>
      </w:r>
      <w:r w:rsidRPr="008573C5">
        <w:rPr>
          <w:lang w:val="en-GB"/>
        </w:rPr>
        <w:tab/>
      </w:r>
      <w:r w:rsidRPr="008573C5">
        <w:rPr>
          <w:lang w:val="en-GB"/>
        </w:rPr>
        <w:tab/>
      </w:r>
      <w:r w:rsidRPr="008573C5">
        <w:rPr>
          <w:lang w:val="en-GB"/>
        </w:rPr>
        <w:tab/>
      </w:r>
      <w:r w:rsidRPr="008573C5">
        <w:rPr>
          <w:lang w:val="en-GB"/>
        </w:rPr>
        <w:tab/>
        <w:t>No</w:t>
      </w:r>
    </w:p>
    <w:p w:rsidR="001229F3" w:rsidRPr="008573C5" w:rsidRDefault="002D5ED0" w:rsidP="00A074C4">
      <w:r w:rsidRPr="008573C5">
        <w:tab/>
      </w:r>
      <w:r w:rsidR="001229F3" w:rsidRPr="008573C5">
        <w:tab/>
      </w:r>
    </w:p>
    <w:p w:rsidR="00D640C6" w:rsidRPr="008573C5" w:rsidRDefault="00D640C6" w:rsidP="00A074C4">
      <w:r w:rsidRPr="008573C5">
        <w:tab/>
      </w:r>
    </w:p>
    <w:p w:rsidR="00A074C4" w:rsidRPr="008573C5" w:rsidRDefault="004F6539" w:rsidP="00A074C4">
      <w:pPr>
        <w:autoSpaceDE w:val="0"/>
        <w:autoSpaceDN w:val="0"/>
        <w:adjustRightInd w:val="0"/>
        <w:ind w:left="720" w:hanging="720"/>
        <w:jc w:val="both"/>
      </w:pPr>
      <w:r w:rsidRPr="008573C5">
        <w:tab/>
      </w:r>
    </w:p>
    <w:p w:rsidR="00A074C4" w:rsidRPr="008573C5" w:rsidRDefault="00A074C4" w:rsidP="00A074C4">
      <w:pPr>
        <w:autoSpaceDE w:val="0"/>
        <w:autoSpaceDN w:val="0"/>
        <w:adjustRightInd w:val="0"/>
        <w:ind w:left="720" w:hanging="720"/>
        <w:jc w:val="both"/>
      </w:pPr>
    </w:p>
    <w:p w:rsidR="00A074C4" w:rsidRPr="008573C5" w:rsidRDefault="00A074C4" w:rsidP="00A074C4">
      <w:pPr>
        <w:autoSpaceDE w:val="0"/>
        <w:autoSpaceDN w:val="0"/>
        <w:adjustRightInd w:val="0"/>
        <w:ind w:left="720" w:hanging="720"/>
        <w:jc w:val="both"/>
      </w:pPr>
    </w:p>
    <w:p w:rsidR="00A074C4" w:rsidRPr="008573C5" w:rsidRDefault="00A074C4" w:rsidP="00A074C4">
      <w:pPr>
        <w:autoSpaceDE w:val="0"/>
        <w:autoSpaceDN w:val="0"/>
        <w:adjustRightInd w:val="0"/>
        <w:ind w:left="720" w:hanging="720"/>
        <w:jc w:val="both"/>
      </w:pPr>
    </w:p>
    <w:p w:rsidR="00176987" w:rsidRPr="005E7FBD" w:rsidRDefault="003441C1" w:rsidP="004E5D0A">
      <w:pPr>
        <w:jc w:val="center"/>
        <w:rPr>
          <w:b/>
          <w:sz w:val="32"/>
          <w:szCs w:val="32"/>
        </w:rPr>
      </w:pPr>
      <w:r w:rsidRPr="005E7FBD">
        <w:rPr>
          <w:b/>
          <w:sz w:val="32"/>
          <w:szCs w:val="32"/>
        </w:rPr>
        <w:t>APPENDIX III</w:t>
      </w:r>
    </w:p>
    <w:p w:rsidR="00A074C4" w:rsidRPr="008573C5" w:rsidRDefault="00A074C4" w:rsidP="004E5D0A">
      <w:pPr>
        <w:autoSpaceDE w:val="0"/>
        <w:autoSpaceDN w:val="0"/>
        <w:adjustRightInd w:val="0"/>
        <w:ind w:left="720" w:hanging="720"/>
        <w:jc w:val="center"/>
        <w:rPr>
          <w:b/>
          <w:sz w:val="28"/>
          <w:szCs w:val="28"/>
        </w:rPr>
      </w:pPr>
    </w:p>
    <w:p w:rsidR="009E0021" w:rsidRPr="008573C5" w:rsidRDefault="009E0021" w:rsidP="004E5D0A">
      <w:pPr>
        <w:autoSpaceDE w:val="0"/>
        <w:autoSpaceDN w:val="0"/>
        <w:adjustRightInd w:val="0"/>
        <w:ind w:left="720" w:hanging="720"/>
        <w:jc w:val="center"/>
        <w:rPr>
          <w:b/>
          <w:sz w:val="28"/>
          <w:szCs w:val="28"/>
        </w:rPr>
      </w:pPr>
      <w:r w:rsidRPr="008573C5">
        <w:rPr>
          <w:b/>
          <w:sz w:val="28"/>
          <w:szCs w:val="28"/>
          <w:lang w:val="en-GB"/>
        </w:rPr>
        <w:t>International Financial Reporting Standards</w:t>
      </w:r>
      <w:r w:rsidRPr="008573C5">
        <w:rPr>
          <w:b/>
          <w:sz w:val="28"/>
          <w:szCs w:val="28"/>
        </w:rPr>
        <w:t xml:space="preserve"> and whether they are included in the Compliance Index</w:t>
      </w:r>
      <w:r w:rsidR="00270AAA" w:rsidRPr="008573C5">
        <w:rPr>
          <w:b/>
          <w:sz w:val="28"/>
          <w:szCs w:val="28"/>
        </w:rPr>
        <w:t xml:space="preserve"> or not</w:t>
      </w:r>
    </w:p>
    <w:p w:rsidR="009E0021" w:rsidRPr="008573C5" w:rsidRDefault="009E0021" w:rsidP="00A074C4">
      <w:pPr>
        <w:autoSpaceDE w:val="0"/>
        <w:autoSpaceDN w:val="0"/>
        <w:adjustRightInd w:val="0"/>
        <w:ind w:left="2160" w:hanging="2160"/>
        <w:jc w:val="both"/>
        <w:rPr>
          <w:b/>
        </w:rPr>
      </w:pPr>
      <w:r w:rsidRPr="008573C5">
        <w:rPr>
          <w:b/>
        </w:rPr>
        <w:t>IFRS</w:t>
      </w:r>
      <w:r w:rsidRPr="008573C5">
        <w:rPr>
          <w:b/>
        </w:rPr>
        <w:tab/>
        <w:t>Title</w:t>
      </w:r>
      <w:r w:rsidRPr="008573C5">
        <w:rPr>
          <w:b/>
        </w:rPr>
        <w:tab/>
      </w:r>
      <w:r w:rsidRPr="008573C5">
        <w:rPr>
          <w:b/>
        </w:rPr>
        <w:tab/>
      </w:r>
      <w:r w:rsidRPr="008573C5">
        <w:rPr>
          <w:b/>
        </w:rPr>
        <w:tab/>
      </w:r>
      <w:r w:rsidRPr="008573C5">
        <w:rPr>
          <w:b/>
        </w:rPr>
        <w:tab/>
      </w:r>
      <w:r w:rsidRPr="008573C5">
        <w:rPr>
          <w:b/>
        </w:rPr>
        <w:tab/>
      </w:r>
      <w:r w:rsidRPr="008573C5">
        <w:rPr>
          <w:b/>
        </w:rPr>
        <w:tab/>
        <w:t>Compliance</w:t>
      </w:r>
    </w:p>
    <w:p w:rsidR="009E0021" w:rsidRPr="008573C5" w:rsidRDefault="009E0021" w:rsidP="00A074C4">
      <w:pPr>
        <w:autoSpaceDE w:val="0"/>
        <w:autoSpaceDN w:val="0"/>
        <w:adjustRightInd w:val="0"/>
        <w:ind w:left="5760" w:firstLine="720"/>
        <w:jc w:val="both"/>
        <w:rPr>
          <w:b/>
        </w:rPr>
      </w:pPr>
      <w:r w:rsidRPr="008573C5">
        <w:rPr>
          <w:b/>
        </w:rPr>
        <w:t>Index</w:t>
      </w:r>
    </w:p>
    <w:p w:rsidR="009E0021" w:rsidRPr="008573C5" w:rsidRDefault="009E0021" w:rsidP="00A074C4">
      <w:pPr>
        <w:autoSpaceDE w:val="0"/>
        <w:autoSpaceDN w:val="0"/>
        <w:adjustRightInd w:val="0"/>
        <w:ind w:left="720" w:hanging="720"/>
      </w:pPr>
      <w:r w:rsidRPr="008573C5">
        <w:t>IAS 1</w:t>
      </w:r>
      <w:r w:rsidRPr="008573C5">
        <w:tab/>
      </w:r>
      <w:r w:rsidRPr="008573C5">
        <w:tab/>
      </w:r>
      <w:r w:rsidRPr="008573C5">
        <w:tab/>
        <w:t>Accounting Policies</w:t>
      </w:r>
      <w:r w:rsidRPr="008573C5">
        <w:tab/>
      </w:r>
      <w:r w:rsidRPr="008573C5">
        <w:tab/>
      </w:r>
      <w:r w:rsidRPr="008573C5">
        <w:tab/>
      </w:r>
      <w:r w:rsidRPr="008573C5">
        <w:tab/>
        <w:t>Yes</w:t>
      </w:r>
    </w:p>
    <w:p w:rsidR="009E0021" w:rsidRPr="008573C5" w:rsidRDefault="009E0021" w:rsidP="00A074C4">
      <w:pPr>
        <w:autoSpaceDE w:val="0"/>
        <w:autoSpaceDN w:val="0"/>
        <w:adjustRightInd w:val="0"/>
        <w:ind w:left="720" w:hanging="720"/>
      </w:pPr>
      <w:r w:rsidRPr="008573C5">
        <w:t>IAS 2</w:t>
      </w:r>
      <w:r w:rsidRPr="008573C5">
        <w:tab/>
      </w:r>
      <w:r w:rsidRPr="008573C5">
        <w:tab/>
      </w:r>
      <w:r w:rsidRPr="008573C5">
        <w:tab/>
        <w:t>Inventories</w:t>
      </w:r>
      <w:r w:rsidRPr="008573C5">
        <w:tab/>
      </w:r>
      <w:r w:rsidRPr="008573C5">
        <w:tab/>
      </w:r>
      <w:r w:rsidRPr="008573C5">
        <w:tab/>
      </w:r>
      <w:r w:rsidRPr="008573C5">
        <w:tab/>
      </w:r>
      <w:r w:rsidRPr="008573C5">
        <w:tab/>
        <w:t>Yes</w:t>
      </w:r>
    </w:p>
    <w:p w:rsidR="009E0021" w:rsidRPr="008573C5" w:rsidRDefault="009E0021" w:rsidP="00A074C4">
      <w:pPr>
        <w:autoSpaceDE w:val="0"/>
        <w:autoSpaceDN w:val="0"/>
        <w:adjustRightInd w:val="0"/>
        <w:ind w:left="720" w:hanging="720"/>
      </w:pPr>
      <w:r w:rsidRPr="008573C5">
        <w:t xml:space="preserve">IAS 7 </w:t>
      </w:r>
      <w:r w:rsidRPr="008573C5">
        <w:tab/>
      </w:r>
      <w:r w:rsidRPr="008573C5">
        <w:tab/>
      </w:r>
      <w:r w:rsidRPr="008573C5">
        <w:tab/>
        <w:t>Cash Flow Statement</w:t>
      </w:r>
      <w:r w:rsidRPr="008573C5">
        <w:tab/>
      </w:r>
      <w:r w:rsidRPr="008573C5">
        <w:tab/>
      </w:r>
      <w:r w:rsidRPr="008573C5">
        <w:tab/>
      </w:r>
      <w:r w:rsidRPr="008573C5">
        <w:tab/>
        <w:t>No</w:t>
      </w:r>
    </w:p>
    <w:p w:rsidR="00DB6486" w:rsidRPr="008573C5" w:rsidRDefault="009E0021" w:rsidP="00A074C4">
      <w:pPr>
        <w:autoSpaceDE w:val="0"/>
        <w:autoSpaceDN w:val="0"/>
        <w:adjustRightInd w:val="0"/>
        <w:ind w:left="720" w:hanging="720"/>
      </w:pPr>
      <w:r w:rsidRPr="008573C5">
        <w:t xml:space="preserve">IAS 8 </w:t>
      </w:r>
      <w:r w:rsidRPr="008573C5">
        <w:tab/>
      </w:r>
      <w:r w:rsidRPr="008573C5">
        <w:tab/>
      </w:r>
      <w:r w:rsidRPr="008573C5">
        <w:tab/>
      </w:r>
      <w:r w:rsidR="00DB6486" w:rsidRPr="008573C5">
        <w:t xml:space="preserve">Accounting Policies, Changes in </w:t>
      </w:r>
    </w:p>
    <w:p w:rsidR="009E0021" w:rsidRPr="008573C5" w:rsidRDefault="00DB6486" w:rsidP="00A074C4">
      <w:pPr>
        <w:autoSpaceDE w:val="0"/>
        <w:autoSpaceDN w:val="0"/>
        <w:adjustRightInd w:val="0"/>
        <w:ind w:left="1440" w:firstLine="720"/>
      </w:pPr>
      <w:r w:rsidRPr="008573C5">
        <w:t xml:space="preserve">Accounting Estimates and Errors </w:t>
      </w:r>
      <w:r w:rsidR="009E0021" w:rsidRPr="008573C5">
        <w:tab/>
      </w:r>
      <w:r w:rsidR="009E0021" w:rsidRPr="008573C5">
        <w:tab/>
        <w:t>No</w:t>
      </w:r>
    </w:p>
    <w:p w:rsidR="009E0021" w:rsidRPr="008573C5" w:rsidRDefault="009E0021" w:rsidP="00A074C4">
      <w:pPr>
        <w:autoSpaceDE w:val="0"/>
        <w:autoSpaceDN w:val="0"/>
        <w:adjustRightInd w:val="0"/>
        <w:ind w:left="720" w:hanging="720"/>
      </w:pPr>
      <w:r w:rsidRPr="008573C5">
        <w:t>IAS 9</w:t>
      </w:r>
      <w:r w:rsidRPr="008573C5">
        <w:tab/>
      </w:r>
      <w:r w:rsidRPr="008573C5">
        <w:tab/>
      </w:r>
      <w:r w:rsidRPr="008573C5">
        <w:tab/>
        <w:t>Research and Development</w:t>
      </w:r>
      <w:r w:rsidRPr="008573C5">
        <w:tab/>
      </w:r>
      <w:r w:rsidRPr="008573C5">
        <w:tab/>
      </w:r>
      <w:r w:rsidRPr="008573C5">
        <w:tab/>
        <w:t>No</w:t>
      </w:r>
    </w:p>
    <w:p w:rsidR="009E0021" w:rsidRPr="008573C5" w:rsidRDefault="009E0021" w:rsidP="00A074C4">
      <w:pPr>
        <w:autoSpaceDE w:val="0"/>
        <w:autoSpaceDN w:val="0"/>
        <w:adjustRightInd w:val="0"/>
        <w:ind w:left="720" w:hanging="720"/>
      </w:pPr>
      <w:r w:rsidRPr="008573C5">
        <w:t>IAS 10</w:t>
      </w:r>
      <w:r w:rsidRPr="008573C5">
        <w:tab/>
      </w:r>
      <w:r w:rsidRPr="008573C5">
        <w:tab/>
      </w:r>
      <w:r w:rsidRPr="008573C5">
        <w:tab/>
        <w:t>Subsequent Events</w:t>
      </w:r>
      <w:r w:rsidRPr="008573C5">
        <w:tab/>
      </w:r>
      <w:r w:rsidRPr="008573C5">
        <w:tab/>
      </w:r>
      <w:r w:rsidRPr="008573C5">
        <w:tab/>
      </w:r>
      <w:r w:rsidRPr="008573C5">
        <w:tab/>
        <w:t>Yes</w:t>
      </w:r>
    </w:p>
    <w:p w:rsidR="009E0021" w:rsidRPr="008573C5" w:rsidRDefault="009E0021" w:rsidP="00A074C4">
      <w:pPr>
        <w:autoSpaceDE w:val="0"/>
        <w:autoSpaceDN w:val="0"/>
        <w:adjustRightInd w:val="0"/>
        <w:ind w:left="720" w:hanging="720"/>
      </w:pPr>
      <w:r w:rsidRPr="008573C5">
        <w:t>IAS 11</w:t>
      </w:r>
      <w:r w:rsidRPr="008573C5">
        <w:tab/>
      </w:r>
      <w:r w:rsidRPr="008573C5">
        <w:tab/>
      </w:r>
      <w:r w:rsidRPr="008573C5">
        <w:tab/>
        <w:t>Construction Contract</w:t>
      </w:r>
      <w:r w:rsidRPr="008573C5">
        <w:tab/>
      </w:r>
      <w:r w:rsidRPr="008573C5">
        <w:tab/>
      </w:r>
      <w:r w:rsidRPr="008573C5">
        <w:tab/>
      </w:r>
      <w:r w:rsidRPr="008573C5">
        <w:tab/>
        <w:t>No</w:t>
      </w:r>
    </w:p>
    <w:p w:rsidR="009E0021" w:rsidRPr="008573C5" w:rsidRDefault="009E0021" w:rsidP="00A074C4">
      <w:pPr>
        <w:autoSpaceDE w:val="0"/>
        <w:autoSpaceDN w:val="0"/>
        <w:adjustRightInd w:val="0"/>
        <w:ind w:left="720" w:hanging="720"/>
      </w:pPr>
      <w:r w:rsidRPr="008573C5">
        <w:t>IAS 12</w:t>
      </w:r>
      <w:r w:rsidRPr="008573C5">
        <w:tab/>
      </w:r>
      <w:r w:rsidRPr="008573C5">
        <w:tab/>
      </w:r>
      <w:r w:rsidRPr="008573C5">
        <w:tab/>
        <w:t>Income Taxes</w:t>
      </w:r>
      <w:r w:rsidRPr="008573C5">
        <w:tab/>
      </w:r>
      <w:r w:rsidRPr="008573C5">
        <w:tab/>
      </w:r>
      <w:r w:rsidRPr="008573C5">
        <w:tab/>
      </w:r>
      <w:r w:rsidRPr="008573C5">
        <w:tab/>
      </w:r>
      <w:r w:rsidRPr="008573C5">
        <w:tab/>
        <w:t>Yes</w:t>
      </w:r>
    </w:p>
    <w:p w:rsidR="009E0021" w:rsidRPr="008573C5" w:rsidRDefault="009E0021" w:rsidP="00A074C4">
      <w:pPr>
        <w:autoSpaceDE w:val="0"/>
        <w:autoSpaceDN w:val="0"/>
        <w:adjustRightInd w:val="0"/>
        <w:ind w:left="720" w:hanging="720"/>
      </w:pPr>
      <w:r w:rsidRPr="008573C5">
        <w:t xml:space="preserve">IAS 14a </w:t>
      </w:r>
      <w:r w:rsidRPr="008573C5">
        <w:tab/>
      </w:r>
      <w:r w:rsidRPr="008573C5">
        <w:tab/>
        <w:t>Segment Reporting (Geographic)</w:t>
      </w:r>
      <w:r w:rsidRPr="008573C5">
        <w:tab/>
      </w:r>
      <w:r w:rsidRPr="008573C5">
        <w:tab/>
        <w:t>Yes</w:t>
      </w:r>
    </w:p>
    <w:p w:rsidR="009E0021" w:rsidRPr="008573C5" w:rsidRDefault="009E0021" w:rsidP="00A074C4">
      <w:pPr>
        <w:autoSpaceDE w:val="0"/>
        <w:autoSpaceDN w:val="0"/>
        <w:adjustRightInd w:val="0"/>
        <w:ind w:left="720" w:hanging="720"/>
      </w:pPr>
      <w:r w:rsidRPr="008573C5">
        <w:t>IAS 14b</w:t>
      </w:r>
      <w:r w:rsidRPr="008573C5">
        <w:tab/>
      </w:r>
      <w:r w:rsidRPr="008573C5">
        <w:tab/>
        <w:t>Segment Reporting (Line of Business)</w:t>
      </w:r>
      <w:r w:rsidRPr="008573C5">
        <w:tab/>
        <w:t>Yes</w:t>
      </w:r>
    </w:p>
    <w:p w:rsidR="009E0021" w:rsidRPr="008573C5" w:rsidRDefault="009E0021" w:rsidP="00A074C4">
      <w:pPr>
        <w:autoSpaceDE w:val="0"/>
        <w:autoSpaceDN w:val="0"/>
        <w:adjustRightInd w:val="0"/>
        <w:ind w:left="720" w:hanging="720"/>
      </w:pPr>
      <w:r w:rsidRPr="008573C5">
        <w:t xml:space="preserve">IAS 16 </w:t>
      </w:r>
      <w:r w:rsidRPr="008573C5">
        <w:tab/>
      </w:r>
      <w:r w:rsidRPr="008573C5">
        <w:tab/>
        <w:t>Property, Plant and Equipment</w:t>
      </w:r>
      <w:r w:rsidRPr="008573C5">
        <w:tab/>
      </w:r>
      <w:r w:rsidRPr="008573C5">
        <w:tab/>
        <w:t>Yes</w:t>
      </w:r>
    </w:p>
    <w:p w:rsidR="009E0021" w:rsidRPr="008573C5" w:rsidRDefault="009E0021" w:rsidP="009E0021">
      <w:pPr>
        <w:autoSpaceDE w:val="0"/>
        <w:autoSpaceDN w:val="0"/>
        <w:adjustRightInd w:val="0"/>
        <w:ind w:left="720" w:hanging="720"/>
      </w:pPr>
      <w:r w:rsidRPr="008573C5">
        <w:t xml:space="preserve">IAS 17 </w:t>
      </w:r>
      <w:r w:rsidRPr="008573C5">
        <w:tab/>
      </w:r>
      <w:r w:rsidRPr="008573C5">
        <w:tab/>
        <w:t>Leases</w:t>
      </w:r>
      <w:r w:rsidRPr="008573C5">
        <w:tab/>
      </w:r>
      <w:r w:rsidRPr="008573C5">
        <w:tab/>
      </w:r>
      <w:r w:rsidRPr="008573C5">
        <w:tab/>
      </w:r>
      <w:r w:rsidRPr="008573C5">
        <w:tab/>
      </w:r>
      <w:r w:rsidRPr="008573C5">
        <w:tab/>
      </w:r>
      <w:r w:rsidRPr="008573C5">
        <w:tab/>
        <w:t>No</w:t>
      </w:r>
    </w:p>
    <w:p w:rsidR="009E0021" w:rsidRPr="008573C5" w:rsidRDefault="009E0021" w:rsidP="009E0021">
      <w:pPr>
        <w:autoSpaceDE w:val="0"/>
        <w:autoSpaceDN w:val="0"/>
        <w:adjustRightInd w:val="0"/>
        <w:ind w:left="720" w:hanging="720"/>
      </w:pPr>
      <w:r w:rsidRPr="008573C5">
        <w:t>IAS 18</w:t>
      </w:r>
      <w:r w:rsidRPr="008573C5">
        <w:tab/>
      </w:r>
      <w:r w:rsidRPr="008573C5">
        <w:tab/>
      </w:r>
      <w:r w:rsidRPr="008573C5">
        <w:tab/>
        <w:t>Revenue</w:t>
      </w:r>
      <w:r w:rsidRPr="008573C5">
        <w:tab/>
      </w:r>
      <w:r w:rsidRPr="008573C5">
        <w:tab/>
      </w:r>
      <w:r w:rsidRPr="008573C5">
        <w:tab/>
      </w:r>
      <w:r w:rsidRPr="008573C5">
        <w:tab/>
      </w:r>
      <w:r w:rsidRPr="008573C5">
        <w:tab/>
        <w:t>Yes</w:t>
      </w:r>
    </w:p>
    <w:p w:rsidR="009E0021" w:rsidRPr="008573C5" w:rsidRDefault="009E0021" w:rsidP="009E0021">
      <w:pPr>
        <w:autoSpaceDE w:val="0"/>
        <w:autoSpaceDN w:val="0"/>
        <w:adjustRightInd w:val="0"/>
        <w:ind w:left="720" w:hanging="720"/>
      </w:pPr>
      <w:r w:rsidRPr="008573C5">
        <w:t xml:space="preserve">IAS 19 </w:t>
      </w:r>
      <w:r w:rsidRPr="008573C5">
        <w:tab/>
      </w:r>
      <w:r w:rsidRPr="008573C5">
        <w:tab/>
        <w:t>Employment Benefits</w:t>
      </w:r>
      <w:r w:rsidRPr="008573C5">
        <w:tab/>
      </w:r>
      <w:r w:rsidRPr="008573C5">
        <w:tab/>
      </w:r>
      <w:r w:rsidRPr="008573C5">
        <w:tab/>
      </w:r>
      <w:r w:rsidRPr="008573C5">
        <w:tab/>
        <w:t>No</w:t>
      </w:r>
    </w:p>
    <w:p w:rsidR="009E0021" w:rsidRPr="008573C5" w:rsidRDefault="009E0021" w:rsidP="009E0021">
      <w:pPr>
        <w:autoSpaceDE w:val="0"/>
        <w:autoSpaceDN w:val="0"/>
        <w:adjustRightInd w:val="0"/>
        <w:ind w:left="720" w:hanging="720"/>
      </w:pPr>
      <w:r w:rsidRPr="008573C5">
        <w:t>IAS 20</w:t>
      </w:r>
      <w:r w:rsidRPr="008573C5">
        <w:tab/>
      </w:r>
      <w:r w:rsidRPr="008573C5">
        <w:tab/>
      </w:r>
      <w:r w:rsidRPr="008573C5">
        <w:tab/>
        <w:t xml:space="preserve"> Government Grants and Government</w:t>
      </w:r>
      <w:r w:rsidRPr="008573C5">
        <w:tab/>
        <w:t>Yes</w:t>
      </w:r>
    </w:p>
    <w:p w:rsidR="009E0021" w:rsidRPr="008573C5" w:rsidRDefault="009E0021" w:rsidP="009E0021">
      <w:pPr>
        <w:autoSpaceDE w:val="0"/>
        <w:autoSpaceDN w:val="0"/>
        <w:adjustRightInd w:val="0"/>
        <w:ind w:left="1440" w:firstLine="720"/>
      </w:pPr>
      <w:r w:rsidRPr="008573C5">
        <w:t xml:space="preserve"> Assistance.</w:t>
      </w:r>
    </w:p>
    <w:p w:rsidR="009E0021" w:rsidRPr="008573C5" w:rsidRDefault="009E0021" w:rsidP="00A36A12">
      <w:pPr>
        <w:autoSpaceDE w:val="0"/>
        <w:autoSpaceDN w:val="0"/>
        <w:adjustRightInd w:val="0"/>
        <w:ind w:left="720" w:hanging="720"/>
      </w:pPr>
      <w:r w:rsidRPr="008573C5">
        <w:t>IAS 2</w:t>
      </w:r>
      <w:r w:rsidR="00A36A12" w:rsidRPr="008573C5">
        <w:t>1</w:t>
      </w:r>
      <w:r w:rsidR="00A36A12" w:rsidRPr="008573C5">
        <w:tab/>
      </w:r>
      <w:r w:rsidR="00A36A12" w:rsidRPr="008573C5">
        <w:tab/>
      </w:r>
      <w:r w:rsidR="00A36A12" w:rsidRPr="008573C5">
        <w:tab/>
        <w:t>Foreign Exchange Rates</w:t>
      </w:r>
      <w:r w:rsidR="00A36A12" w:rsidRPr="008573C5">
        <w:tab/>
      </w:r>
      <w:r w:rsidR="00A36A12" w:rsidRPr="008573C5">
        <w:tab/>
      </w:r>
      <w:r w:rsidR="00A36A12" w:rsidRPr="008573C5">
        <w:tab/>
        <w:t>Ye</w:t>
      </w:r>
      <w:r w:rsidR="00222764" w:rsidRPr="008573C5">
        <w:t>s</w:t>
      </w:r>
    </w:p>
    <w:p w:rsidR="009E0021" w:rsidRPr="008573C5" w:rsidRDefault="009E0021" w:rsidP="009E0021">
      <w:pPr>
        <w:autoSpaceDE w:val="0"/>
        <w:autoSpaceDN w:val="0"/>
        <w:adjustRightInd w:val="0"/>
        <w:ind w:left="720" w:hanging="720"/>
      </w:pPr>
      <w:r w:rsidRPr="008573C5">
        <w:t xml:space="preserve">IAS 23 </w:t>
      </w:r>
      <w:r w:rsidRPr="008573C5">
        <w:tab/>
      </w:r>
      <w:r w:rsidRPr="008573C5">
        <w:tab/>
        <w:t>Borrowing Costs</w:t>
      </w:r>
      <w:r w:rsidRPr="008573C5">
        <w:tab/>
      </w:r>
      <w:r w:rsidRPr="008573C5">
        <w:tab/>
      </w:r>
      <w:r w:rsidRPr="008573C5">
        <w:tab/>
      </w:r>
      <w:r w:rsidRPr="008573C5">
        <w:tab/>
        <w:t>Yes</w:t>
      </w:r>
    </w:p>
    <w:p w:rsidR="009E0021" w:rsidRPr="008573C5" w:rsidRDefault="009E0021" w:rsidP="009E0021">
      <w:pPr>
        <w:autoSpaceDE w:val="0"/>
        <w:autoSpaceDN w:val="0"/>
        <w:adjustRightInd w:val="0"/>
        <w:ind w:left="720" w:hanging="720"/>
      </w:pPr>
      <w:r w:rsidRPr="008573C5">
        <w:t xml:space="preserve">IAS 24 </w:t>
      </w:r>
      <w:r w:rsidR="00222764" w:rsidRPr="008573C5">
        <w:tab/>
      </w:r>
      <w:r w:rsidR="00222764" w:rsidRPr="008573C5">
        <w:tab/>
        <w:t>Related Party Disclosures</w:t>
      </w:r>
      <w:r w:rsidR="00222764" w:rsidRPr="008573C5">
        <w:tab/>
      </w:r>
      <w:r w:rsidR="00222764" w:rsidRPr="008573C5">
        <w:tab/>
      </w:r>
      <w:r w:rsidR="00222764" w:rsidRPr="008573C5">
        <w:tab/>
        <w:t>Yes</w:t>
      </w:r>
    </w:p>
    <w:p w:rsidR="009E0021" w:rsidRPr="008573C5" w:rsidRDefault="009E0021" w:rsidP="009E0021">
      <w:pPr>
        <w:autoSpaceDE w:val="0"/>
        <w:autoSpaceDN w:val="0"/>
        <w:adjustRightInd w:val="0"/>
        <w:ind w:left="720" w:hanging="720"/>
      </w:pPr>
      <w:r w:rsidRPr="008573C5">
        <w:t xml:space="preserve">IAS 26 </w:t>
      </w:r>
      <w:r w:rsidRPr="008573C5">
        <w:tab/>
      </w:r>
      <w:r w:rsidRPr="008573C5">
        <w:tab/>
        <w:t>Accounting and Reporting by Retirement</w:t>
      </w:r>
      <w:r w:rsidRPr="008573C5">
        <w:tab/>
        <w:t>No</w:t>
      </w:r>
    </w:p>
    <w:p w:rsidR="009E0021" w:rsidRPr="008573C5" w:rsidRDefault="009E0021" w:rsidP="009E0021">
      <w:pPr>
        <w:autoSpaceDE w:val="0"/>
        <w:autoSpaceDN w:val="0"/>
        <w:adjustRightInd w:val="0"/>
        <w:ind w:left="1440" w:firstLine="720"/>
      </w:pPr>
      <w:r w:rsidRPr="008573C5">
        <w:t xml:space="preserve"> Benefit Plans</w:t>
      </w:r>
    </w:p>
    <w:p w:rsidR="009E0021" w:rsidRPr="008573C5" w:rsidRDefault="009E0021" w:rsidP="009E0021">
      <w:pPr>
        <w:autoSpaceDE w:val="0"/>
        <w:autoSpaceDN w:val="0"/>
        <w:adjustRightInd w:val="0"/>
        <w:ind w:left="720" w:hanging="720"/>
      </w:pPr>
      <w:r w:rsidRPr="008573C5">
        <w:t xml:space="preserve">IAS 27 </w:t>
      </w:r>
      <w:r w:rsidRPr="008573C5">
        <w:tab/>
      </w:r>
      <w:r w:rsidRPr="008573C5">
        <w:tab/>
        <w:t>Consolidated Financial and Investment in</w:t>
      </w:r>
      <w:r w:rsidRPr="008573C5">
        <w:tab/>
        <w:t>Yes</w:t>
      </w:r>
    </w:p>
    <w:p w:rsidR="009E0021" w:rsidRPr="008573C5" w:rsidRDefault="009E0021" w:rsidP="009E0021">
      <w:pPr>
        <w:autoSpaceDE w:val="0"/>
        <w:autoSpaceDN w:val="0"/>
        <w:adjustRightInd w:val="0"/>
        <w:ind w:left="1440" w:firstLine="720"/>
      </w:pPr>
      <w:r w:rsidRPr="008573C5">
        <w:t xml:space="preserve"> Subsidiaries</w:t>
      </w:r>
    </w:p>
    <w:p w:rsidR="009E0021" w:rsidRPr="008573C5" w:rsidRDefault="009E0021" w:rsidP="009E0021">
      <w:pPr>
        <w:autoSpaceDE w:val="0"/>
        <w:autoSpaceDN w:val="0"/>
        <w:adjustRightInd w:val="0"/>
        <w:ind w:left="720" w:hanging="720"/>
      </w:pPr>
      <w:r w:rsidRPr="008573C5">
        <w:t xml:space="preserve">IAS 28 </w:t>
      </w:r>
      <w:r w:rsidRPr="008573C5">
        <w:tab/>
      </w:r>
      <w:r w:rsidRPr="008573C5">
        <w:tab/>
        <w:t>Investment in Associates</w:t>
      </w:r>
      <w:r w:rsidRPr="008573C5">
        <w:tab/>
      </w:r>
      <w:r w:rsidRPr="008573C5">
        <w:tab/>
      </w:r>
      <w:r w:rsidRPr="008573C5">
        <w:tab/>
        <w:t>Yes</w:t>
      </w:r>
    </w:p>
    <w:p w:rsidR="009E0021" w:rsidRPr="008573C5" w:rsidRDefault="009E0021" w:rsidP="009E0021">
      <w:pPr>
        <w:autoSpaceDE w:val="0"/>
        <w:autoSpaceDN w:val="0"/>
        <w:adjustRightInd w:val="0"/>
        <w:ind w:left="720" w:hanging="720"/>
      </w:pPr>
      <w:r w:rsidRPr="008573C5">
        <w:t xml:space="preserve">IAS 29 </w:t>
      </w:r>
      <w:r w:rsidRPr="008573C5">
        <w:tab/>
      </w:r>
      <w:r w:rsidRPr="008573C5">
        <w:tab/>
        <w:t>Hyperinflationary Economies</w:t>
      </w:r>
      <w:r w:rsidRPr="008573C5">
        <w:tab/>
      </w:r>
      <w:r w:rsidRPr="008573C5">
        <w:tab/>
      </w:r>
      <w:r w:rsidRPr="008573C5">
        <w:tab/>
        <w:t>No</w:t>
      </w:r>
    </w:p>
    <w:p w:rsidR="004D3A35" w:rsidRPr="008573C5" w:rsidRDefault="004D3A35" w:rsidP="009E0021">
      <w:pPr>
        <w:autoSpaceDE w:val="0"/>
        <w:autoSpaceDN w:val="0"/>
        <w:adjustRightInd w:val="0"/>
        <w:ind w:left="720" w:hanging="720"/>
      </w:pPr>
      <w:r w:rsidRPr="008573C5">
        <w:t>IAS 30</w:t>
      </w:r>
      <w:r w:rsidRPr="008573C5">
        <w:tab/>
      </w:r>
      <w:r w:rsidRPr="008573C5">
        <w:tab/>
      </w:r>
      <w:r w:rsidRPr="008573C5">
        <w:tab/>
        <w:t xml:space="preserve">Disclosure in the Financial Statement of </w:t>
      </w:r>
    </w:p>
    <w:p w:rsidR="004D3A35" w:rsidRPr="008573C5" w:rsidRDefault="004D3A35" w:rsidP="009E0021">
      <w:pPr>
        <w:autoSpaceDE w:val="0"/>
        <w:autoSpaceDN w:val="0"/>
        <w:adjustRightInd w:val="0"/>
        <w:ind w:left="720" w:hanging="720"/>
      </w:pPr>
      <w:r w:rsidRPr="008573C5">
        <w:tab/>
      </w:r>
      <w:r w:rsidRPr="008573C5">
        <w:tab/>
      </w:r>
      <w:r w:rsidRPr="008573C5">
        <w:tab/>
        <w:t>Banks and similar financial institutions</w:t>
      </w:r>
      <w:r w:rsidRPr="008573C5">
        <w:tab/>
        <w:t>No</w:t>
      </w:r>
    </w:p>
    <w:p w:rsidR="009E0021" w:rsidRPr="008573C5" w:rsidRDefault="009E0021" w:rsidP="009E0021">
      <w:pPr>
        <w:autoSpaceDE w:val="0"/>
        <w:autoSpaceDN w:val="0"/>
        <w:adjustRightInd w:val="0"/>
        <w:ind w:left="720" w:hanging="720"/>
      </w:pPr>
      <w:r w:rsidRPr="008573C5">
        <w:t>IAS 31</w:t>
      </w:r>
      <w:r w:rsidRPr="008573C5">
        <w:tab/>
      </w:r>
      <w:r w:rsidRPr="008573C5">
        <w:tab/>
      </w:r>
      <w:r w:rsidRPr="008573C5">
        <w:tab/>
        <w:t>Interests in Joint Ventures</w:t>
      </w:r>
      <w:r w:rsidRPr="008573C5">
        <w:tab/>
      </w:r>
      <w:r w:rsidRPr="008573C5">
        <w:tab/>
      </w:r>
      <w:r w:rsidRPr="008573C5">
        <w:tab/>
        <w:t>Yes</w:t>
      </w:r>
    </w:p>
    <w:p w:rsidR="009E0021" w:rsidRPr="008573C5" w:rsidRDefault="009E0021" w:rsidP="009E0021">
      <w:pPr>
        <w:autoSpaceDE w:val="0"/>
        <w:autoSpaceDN w:val="0"/>
        <w:adjustRightInd w:val="0"/>
        <w:ind w:left="720" w:hanging="720"/>
      </w:pPr>
      <w:r w:rsidRPr="008573C5">
        <w:t>IAS 32</w:t>
      </w:r>
      <w:r w:rsidRPr="008573C5">
        <w:tab/>
      </w:r>
      <w:r w:rsidRPr="008573C5">
        <w:tab/>
      </w:r>
      <w:r w:rsidRPr="008573C5">
        <w:tab/>
        <w:t xml:space="preserve">Financial Instruments : Disclosure and </w:t>
      </w:r>
      <w:r w:rsidRPr="008573C5">
        <w:tab/>
        <w:t>Yes</w:t>
      </w:r>
    </w:p>
    <w:p w:rsidR="009E0021" w:rsidRPr="008573C5" w:rsidRDefault="009E0021" w:rsidP="009E0021">
      <w:pPr>
        <w:autoSpaceDE w:val="0"/>
        <w:autoSpaceDN w:val="0"/>
        <w:adjustRightInd w:val="0"/>
        <w:ind w:left="1440" w:firstLine="720"/>
      </w:pPr>
      <w:r w:rsidRPr="008573C5">
        <w:t>Presentation</w:t>
      </w:r>
    </w:p>
    <w:p w:rsidR="009E0021" w:rsidRPr="008573C5" w:rsidRDefault="009E0021" w:rsidP="009E0021">
      <w:pPr>
        <w:autoSpaceDE w:val="0"/>
        <w:autoSpaceDN w:val="0"/>
        <w:adjustRightInd w:val="0"/>
        <w:ind w:left="720" w:hanging="720"/>
      </w:pPr>
      <w:r w:rsidRPr="008573C5">
        <w:t>IAS 33</w:t>
      </w:r>
      <w:r w:rsidRPr="008573C5">
        <w:tab/>
      </w:r>
      <w:r w:rsidRPr="008573C5">
        <w:tab/>
      </w:r>
      <w:r w:rsidRPr="008573C5">
        <w:tab/>
        <w:t>Earnings per Share</w:t>
      </w:r>
      <w:r w:rsidRPr="008573C5">
        <w:tab/>
      </w:r>
      <w:r w:rsidRPr="008573C5">
        <w:tab/>
      </w:r>
      <w:r w:rsidRPr="008573C5">
        <w:tab/>
      </w:r>
      <w:r w:rsidRPr="008573C5">
        <w:tab/>
        <w:t>No</w:t>
      </w:r>
    </w:p>
    <w:p w:rsidR="009E0021" w:rsidRPr="008573C5" w:rsidRDefault="009E0021" w:rsidP="009E0021">
      <w:pPr>
        <w:autoSpaceDE w:val="0"/>
        <w:autoSpaceDN w:val="0"/>
        <w:adjustRightInd w:val="0"/>
        <w:ind w:left="720" w:hanging="720"/>
      </w:pPr>
      <w:r w:rsidRPr="008573C5">
        <w:t xml:space="preserve">IAS 34 </w:t>
      </w:r>
      <w:r w:rsidRPr="008573C5">
        <w:tab/>
      </w:r>
      <w:r w:rsidRPr="008573C5">
        <w:tab/>
        <w:t xml:space="preserve">Interim Financial Reporting </w:t>
      </w:r>
      <w:r w:rsidRPr="008573C5">
        <w:tab/>
      </w:r>
      <w:r w:rsidRPr="008573C5">
        <w:tab/>
      </w:r>
      <w:r w:rsidRPr="008573C5">
        <w:tab/>
        <w:t>No</w:t>
      </w:r>
    </w:p>
    <w:p w:rsidR="009E0021" w:rsidRPr="008573C5" w:rsidRDefault="009E0021" w:rsidP="009E0021">
      <w:pPr>
        <w:autoSpaceDE w:val="0"/>
        <w:autoSpaceDN w:val="0"/>
        <w:adjustRightInd w:val="0"/>
        <w:ind w:left="720" w:hanging="720"/>
        <w:jc w:val="both"/>
      </w:pPr>
      <w:r w:rsidRPr="008573C5">
        <w:t xml:space="preserve">IAS 36 </w:t>
      </w:r>
      <w:r w:rsidRPr="008573C5">
        <w:tab/>
      </w:r>
      <w:r w:rsidRPr="008573C5">
        <w:tab/>
        <w:t>Impairment of Assets</w:t>
      </w:r>
      <w:r w:rsidRPr="008573C5">
        <w:tab/>
      </w:r>
      <w:r w:rsidRPr="008573C5">
        <w:tab/>
      </w:r>
      <w:r w:rsidRPr="008573C5">
        <w:tab/>
      </w:r>
      <w:r w:rsidRPr="008573C5">
        <w:tab/>
        <w:t>Yes</w:t>
      </w:r>
    </w:p>
    <w:p w:rsidR="009E0021" w:rsidRPr="008573C5" w:rsidRDefault="009E0021" w:rsidP="009E0021">
      <w:pPr>
        <w:autoSpaceDE w:val="0"/>
        <w:autoSpaceDN w:val="0"/>
        <w:adjustRightInd w:val="0"/>
        <w:ind w:left="720" w:hanging="720"/>
        <w:jc w:val="both"/>
      </w:pPr>
      <w:r w:rsidRPr="008573C5">
        <w:t xml:space="preserve">IAS 37 </w:t>
      </w:r>
      <w:r w:rsidRPr="008573C5">
        <w:tab/>
      </w:r>
      <w:r w:rsidRPr="008573C5">
        <w:tab/>
        <w:t>Provisions, Conti</w:t>
      </w:r>
      <w:r w:rsidR="006F0ED3" w:rsidRPr="008573C5">
        <w:t>n</w:t>
      </w:r>
      <w:r w:rsidRPr="008573C5">
        <w:t xml:space="preserve">gent Liabilities and </w:t>
      </w:r>
      <w:r w:rsidRPr="008573C5">
        <w:tab/>
        <w:t>Yes</w:t>
      </w:r>
    </w:p>
    <w:p w:rsidR="009E0021" w:rsidRPr="008573C5" w:rsidRDefault="009E0021" w:rsidP="009E0021">
      <w:pPr>
        <w:autoSpaceDE w:val="0"/>
        <w:autoSpaceDN w:val="0"/>
        <w:adjustRightInd w:val="0"/>
        <w:ind w:left="1440" w:firstLine="720"/>
        <w:jc w:val="both"/>
      </w:pPr>
      <w:r w:rsidRPr="008573C5">
        <w:t>Assets</w:t>
      </w:r>
      <w:r w:rsidRPr="008573C5">
        <w:tab/>
      </w:r>
      <w:r w:rsidRPr="008573C5">
        <w:tab/>
      </w:r>
      <w:r w:rsidRPr="008573C5">
        <w:tab/>
      </w:r>
      <w:r w:rsidRPr="008573C5">
        <w:tab/>
      </w:r>
      <w:r w:rsidRPr="008573C5">
        <w:tab/>
      </w:r>
      <w:r w:rsidRPr="008573C5">
        <w:tab/>
      </w:r>
    </w:p>
    <w:p w:rsidR="009E0021" w:rsidRPr="008573C5" w:rsidRDefault="009E0021" w:rsidP="009E0021">
      <w:pPr>
        <w:autoSpaceDE w:val="0"/>
        <w:autoSpaceDN w:val="0"/>
        <w:adjustRightInd w:val="0"/>
        <w:ind w:left="720" w:hanging="720"/>
        <w:jc w:val="both"/>
      </w:pPr>
      <w:r w:rsidRPr="008573C5">
        <w:t xml:space="preserve">IAS 38 </w:t>
      </w:r>
      <w:r w:rsidRPr="008573C5">
        <w:tab/>
      </w:r>
      <w:r w:rsidRPr="008573C5">
        <w:tab/>
        <w:t>Intangible Assets</w:t>
      </w:r>
      <w:r w:rsidRPr="008573C5">
        <w:tab/>
      </w:r>
      <w:r w:rsidRPr="008573C5">
        <w:tab/>
      </w:r>
      <w:r w:rsidRPr="008573C5">
        <w:tab/>
      </w:r>
      <w:r w:rsidRPr="008573C5">
        <w:tab/>
        <w:t>Yes</w:t>
      </w:r>
    </w:p>
    <w:p w:rsidR="00954C5F" w:rsidRPr="008573C5" w:rsidRDefault="009E0021" w:rsidP="009E0021">
      <w:pPr>
        <w:autoSpaceDE w:val="0"/>
        <w:autoSpaceDN w:val="0"/>
        <w:adjustRightInd w:val="0"/>
        <w:ind w:left="720" w:hanging="720"/>
        <w:jc w:val="both"/>
      </w:pPr>
      <w:r w:rsidRPr="008573C5">
        <w:t xml:space="preserve">IAS 39 </w:t>
      </w:r>
      <w:r w:rsidRPr="008573C5">
        <w:tab/>
      </w:r>
      <w:r w:rsidRPr="008573C5">
        <w:tab/>
        <w:t>Financial Instruments</w:t>
      </w:r>
      <w:r w:rsidR="00954C5F" w:rsidRPr="008573C5">
        <w:t>- Recognition and</w:t>
      </w:r>
    </w:p>
    <w:p w:rsidR="009E0021" w:rsidRPr="008573C5" w:rsidRDefault="00954C5F" w:rsidP="009E0021">
      <w:pPr>
        <w:autoSpaceDE w:val="0"/>
        <w:autoSpaceDN w:val="0"/>
        <w:adjustRightInd w:val="0"/>
        <w:ind w:left="720" w:hanging="720"/>
        <w:jc w:val="both"/>
      </w:pPr>
      <w:r w:rsidRPr="008573C5">
        <w:tab/>
      </w:r>
      <w:r w:rsidRPr="008573C5">
        <w:tab/>
      </w:r>
      <w:r w:rsidRPr="008573C5">
        <w:tab/>
        <w:t>Measurement</w:t>
      </w:r>
      <w:r w:rsidR="009E0021" w:rsidRPr="008573C5">
        <w:tab/>
      </w:r>
      <w:r w:rsidR="009E0021" w:rsidRPr="008573C5">
        <w:tab/>
      </w:r>
      <w:r w:rsidR="009E0021" w:rsidRPr="008573C5">
        <w:tab/>
      </w:r>
      <w:r w:rsidR="009E0021" w:rsidRPr="008573C5">
        <w:tab/>
      </w:r>
      <w:r w:rsidRPr="008573C5">
        <w:tab/>
      </w:r>
      <w:r w:rsidR="009E0021" w:rsidRPr="008573C5">
        <w:t>No</w:t>
      </w:r>
    </w:p>
    <w:p w:rsidR="009E0021" w:rsidRPr="008573C5" w:rsidRDefault="009E0021" w:rsidP="009E0021">
      <w:pPr>
        <w:autoSpaceDE w:val="0"/>
        <w:autoSpaceDN w:val="0"/>
        <w:adjustRightInd w:val="0"/>
        <w:ind w:left="720" w:hanging="720"/>
        <w:jc w:val="both"/>
      </w:pPr>
      <w:r w:rsidRPr="008573C5">
        <w:t xml:space="preserve">IAS 40 </w:t>
      </w:r>
      <w:r w:rsidRPr="008573C5">
        <w:tab/>
      </w:r>
      <w:r w:rsidRPr="008573C5">
        <w:tab/>
        <w:t>Investment Property</w:t>
      </w:r>
      <w:r w:rsidRPr="008573C5">
        <w:tab/>
      </w:r>
      <w:r w:rsidRPr="008573C5">
        <w:tab/>
      </w:r>
      <w:r w:rsidRPr="008573C5">
        <w:tab/>
      </w:r>
      <w:r w:rsidRPr="008573C5">
        <w:tab/>
        <w:t>Yes</w:t>
      </w:r>
    </w:p>
    <w:p w:rsidR="009E0021" w:rsidRPr="008573C5" w:rsidRDefault="009E0021" w:rsidP="009E0021">
      <w:pPr>
        <w:autoSpaceDE w:val="0"/>
        <w:autoSpaceDN w:val="0"/>
        <w:adjustRightInd w:val="0"/>
        <w:ind w:left="720" w:hanging="720"/>
        <w:jc w:val="both"/>
      </w:pPr>
      <w:r w:rsidRPr="008573C5">
        <w:t>IAS 41</w:t>
      </w:r>
      <w:r w:rsidRPr="008573C5">
        <w:tab/>
      </w:r>
      <w:r w:rsidRPr="008573C5">
        <w:tab/>
      </w:r>
      <w:r w:rsidRPr="008573C5">
        <w:tab/>
        <w:t>Agriculture</w:t>
      </w:r>
      <w:r w:rsidRPr="008573C5">
        <w:tab/>
      </w:r>
      <w:r w:rsidRPr="008573C5">
        <w:tab/>
      </w:r>
      <w:r w:rsidRPr="008573C5">
        <w:tab/>
      </w:r>
      <w:r w:rsidRPr="008573C5">
        <w:tab/>
      </w:r>
      <w:r w:rsidRPr="008573C5">
        <w:tab/>
        <w:t>No</w:t>
      </w:r>
    </w:p>
    <w:p w:rsidR="009E0021" w:rsidRPr="008573C5" w:rsidRDefault="009E0021" w:rsidP="009E0021">
      <w:pPr>
        <w:autoSpaceDE w:val="0"/>
        <w:autoSpaceDN w:val="0"/>
        <w:adjustRightInd w:val="0"/>
        <w:ind w:left="720" w:hanging="720"/>
        <w:jc w:val="both"/>
      </w:pPr>
      <w:r w:rsidRPr="008573C5">
        <w:t>IFRS 1</w:t>
      </w:r>
      <w:r w:rsidRPr="008573C5">
        <w:tab/>
      </w:r>
      <w:r w:rsidRPr="008573C5">
        <w:tab/>
      </w:r>
      <w:r w:rsidRPr="008573C5">
        <w:tab/>
        <w:t xml:space="preserve">First Time Adoption of International </w:t>
      </w:r>
      <w:r w:rsidRPr="008573C5">
        <w:tab/>
      </w:r>
      <w:r w:rsidRPr="008573C5">
        <w:tab/>
        <w:t>No</w:t>
      </w:r>
    </w:p>
    <w:p w:rsidR="009E0021" w:rsidRPr="008573C5" w:rsidRDefault="009E0021" w:rsidP="009E0021">
      <w:pPr>
        <w:autoSpaceDE w:val="0"/>
        <w:autoSpaceDN w:val="0"/>
        <w:adjustRightInd w:val="0"/>
        <w:ind w:left="1440" w:firstLine="720"/>
        <w:jc w:val="both"/>
      </w:pPr>
      <w:r w:rsidRPr="008573C5">
        <w:t>Reporting Standards</w:t>
      </w:r>
    </w:p>
    <w:p w:rsidR="009E0021" w:rsidRPr="008573C5" w:rsidRDefault="009E0021" w:rsidP="009E0021">
      <w:pPr>
        <w:autoSpaceDE w:val="0"/>
        <w:autoSpaceDN w:val="0"/>
        <w:adjustRightInd w:val="0"/>
        <w:ind w:left="720" w:hanging="720"/>
        <w:jc w:val="both"/>
      </w:pPr>
      <w:r w:rsidRPr="008573C5">
        <w:t>IFRS 2</w:t>
      </w:r>
      <w:r w:rsidRPr="008573C5">
        <w:tab/>
      </w:r>
      <w:r w:rsidRPr="008573C5">
        <w:tab/>
      </w:r>
      <w:r w:rsidRPr="008573C5">
        <w:tab/>
        <w:t>Share Based Payment</w:t>
      </w:r>
      <w:r w:rsidRPr="008573C5">
        <w:tab/>
      </w:r>
      <w:r w:rsidRPr="008573C5">
        <w:tab/>
      </w:r>
      <w:r w:rsidRPr="008573C5">
        <w:tab/>
      </w:r>
      <w:r w:rsidRPr="008573C5">
        <w:tab/>
        <w:t>Yes</w:t>
      </w:r>
    </w:p>
    <w:p w:rsidR="009E0021" w:rsidRPr="008573C5" w:rsidRDefault="009E0021" w:rsidP="009E0021">
      <w:pPr>
        <w:autoSpaceDE w:val="0"/>
        <w:autoSpaceDN w:val="0"/>
        <w:adjustRightInd w:val="0"/>
        <w:ind w:left="720" w:hanging="720"/>
        <w:jc w:val="both"/>
      </w:pPr>
      <w:r w:rsidRPr="008573C5">
        <w:t xml:space="preserve">IFRS 3 </w:t>
      </w:r>
      <w:r w:rsidRPr="008573C5">
        <w:tab/>
      </w:r>
      <w:r w:rsidRPr="008573C5">
        <w:tab/>
        <w:t>Business Combinations</w:t>
      </w:r>
      <w:r w:rsidRPr="008573C5">
        <w:tab/>
      </w:r>
      <w:r w:rsidRPr="008573C5">
        <w:tab/>
      </w:r>
      <w:r w:rsidRPr="008573C5">
        <w:tab/>
        <w:t>Yes</w:t>
      </w:r>
    </w:p>
    <w:p w:rsidR="009E0021" w:rsidRPr="008573C5" w:rsidRDefault="009E0021" w:rsidP="009E0021">
      <w:pPr>
        <w:autoSpaceDE w:val="0"/>
        <w:autoSpaceDN w:val="0"/>
        <w:adjustRightInd w:val="0"/>
        <w:ind w:left="720" w:hanging="720"/>
        <w:jc w:val="both"/>
      </w:pPr>
      <w:r w:rsidRPr="008573C5">
        <w:t>IFRS 4</w:t>
      </w:r>
      <w:r w:rsidRPr="008573C5">
        <w:tab/>
      </w:r>
      <w:r w:rsidRPr="008573C5">
        <w:tab/>
      </w:r>
      <w:r w:rsidRPr="008573C5">
        <w:tab/>
        <w:t>Insurance Contracts</w:t>
      </w:r>
      <w:r w:rsidRPr="008573C5">
        <w:tab/>
      </w:r>
      <w:r w:rsidRPr="008573C5">
        <w:tab/>
      </w:r>
      <w:r w:rsidRPr="008573C5">
        <w:tab/>
      </w:r>
      <w:r w:rsidRPr="008573C5">
        <w:tab/>
        <w:t>No</w:t>
      </w:r>
    </w:p>
    <w:p w:rsidR="009E0021" w:rsidRPr="008573C5" w:rsidRDefault="009E0021" w:rsidP="009E0021">
      <w:pPr>
        <w:autoSpaceDE w:val="0"/>
        <w:autoSpaceDN w:val="0"/>
        <w:adjustRightInd w:val="0"/>
        <w:ind w:left="720" w:hanging="720"/>
        <w:jc w:val="both"/>
      </w:pPr>
      <w:r w:rsidRPr="008573C5">
        <w:t>IFRS 5</w:t>
      </w:r>
      <w:r w:rsidRPr="008573C5">
        <w:tab/>
      </w:r>
      <w:r w:rsidRPr="008573C5">
        <w:tab/>
      </w:r>
      <w:r w:rsidRPr="008573C5">
        <w:tab/>
        <w:t>Non Current Assets</w:t>
      </w:r>
      <w:r w:rsidRPr="008573C5">
        <w:tab/>
      </w:r>
      <w:r w:rsidRPr="008573C5">
        <w:tab/>
      </w:r>
      <w:r w:rsidRPr="008573C5">
        <w:tab/>
      </w:r>
      <w:r w:rsidRPr="008573C5">
        <w:tab/>
        <w:t>No</w:t>
      </w:r>
    </w:p>
    <w:p w:rsidR="009E0021" w:rsidRPr="008573C5" w:rsidRDefault="009E0021" w:rsidP="009E0021">
      <w:pPr>
        <w:autoSpaceDE w:val="0"/>
        <w:autoSpaceDN w:val="0"/>
        <w:adjustRightInd w:val="0"/>
        <w:ind w:left="720" w:hanging="720"/>
        <w:jc w:val="both"/>
      </w:pPr>
      <w:r w:rsidRPr="008573C5">
        <w:t>IFRS 6</w:t>
      </w:r>
      <w:r w:rsidRPr="008573C5">
        <w:tab/>
      </w:r>
      <w:r w:rsidRPr="008573C5">
        <w:tab/>
      </w:r>
      <w:r w:rsidRPr="008573C5">
        <w:tab/>
        <w:t xml:space="preserve">Exploration for and Evaluation of Mineral </w:t>
      </w:r>
      <w:r w:rsidRPr="008573C5">
        <w:tab/>
        <w:t>No</w:t>
      </w:r>
    </w:p>
    <w:p w:rsidR="00E520C0" w:rsidRPr="008573C5" w:rsidRDefault="00FB7245" w:rsidP="00FB7245">
      <w:pPr>
        <w:autoSpaceDE w:val="0"/>
        <w:autoSpaceDN w:val="0"/>
        <w:adjustRightInd w:val="0"/>
        <w:ind w:left="1440" w:firstLine="720"/>
        <w:jc w:val="both"/>
      </w:pPr>
      <w:r w:rsidRPr="008573C5">
        <w:t>As</w:t>
      </w:r>
      <w:r w:rsidR="00EA7329" w:rsidRPr="008573C5">
        <w:t>sets.</w:t>
      </w:r>
    </w:p>
    <w:p w:rsidR="000F5363" w:rsidRPr="008573C5" w:rsidRDefault="000F5363" w:rsidP="000F5363">
      <w:pPr>
        <w:autoSpaceDE w:val="0"/>
        <w:autoSpaceDN w:val="0"/>
        <w:adjustRightInd w:val="0"/>
        <w:jc w:val="both"/>
        <w:rPr>
          <w:lang w:val="en-GB"/>
        </w:rPr>
      </w:pPr>
    </w:p>
    <w:p w:rsidR="000F5363" w:rsidRPr="008573C5" w:rsidRDefault="000F5363" w:rsidP="000F5363">
      <w:pPr>
        <w:autoSpaceDE w:val="0"/>
        <w:autoSpaceDN w:val="0"/>
        <w:adjustRightInd w:val="0"/>
        <w:jc w:val="both"/>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EA7329" w:rsidRPr="008573C5" w:rsidRDefault="00EA7329" w:rsidP="00176987">
      <w:pPr>
        <w:jc w:val="center"/>
        <w:rPr>
          <w:b/>
        </w:rPr>
      </w:pPr>
    </w:p>
    <w:p w:rsidR="00A569A9" w:rsidRPr="008573C5" w:rsidRDefault="00A569A9" w:rsidP="00176987">
      <w:pPr>
        <w:jc w:val="center"/>
        <w:rPr>
          <w:b/>
        </w:rPr>
      </w:pPr>
    </w:p>
    <w:p w:rsidR="00A569A9" w:rsidRPr="008573C5" w:rsidRDefault="00A569A9" w:rsidP="00176987">
      <w:pPr>
        <w:jc w:val="center"/>
        <w:rPr>
          <w:b/>
        </w:rPr>
      </w:pPr>
    </w:p>
    <w:p w:rsidR="00A569A9" w:rsidRPr="008573C5" w:rsidRDefault="00A569A9" w:rsidP="00176987">
      <w:pPr>
        <w:jc w:val="center"/>
        <w:rPr>
          <w:b/>
        </w:rPr>
      </w:pPr>
    </w:p>
    <w:p w:rsidR="00A569A9" w:rsidRPr="008573C5" w:rsidRDefault="00A569A9" w:rsidP="00176987">
      <w:pPr>
        <w:jc w:val="center"/>
        <w:rPr>
          <w:b/>
        </w:rPr>
      </w:pPr>
    </w:p>
    <w:p w:rsidR="00A569A9" w:rsidRPr="008573C5" w:rsidRDefault="00A569A9" w:rsidP="00176987">
      <w:pPr>
        <w:jc w:val="center"/>
        <w:rPr>
          <w:b/>
        </w:rPr>
      </w:pPr>
    </w:p>
    <w:p w:rsidR="00A569A9" w:rsidRPr="008573C5" w:rsidRDefault="00A569A9" w:rsidP="00176987">
      <w:pPr>
        <w:jc w:val="center"/>
        <w:rPr>
          <w:b/>
        </w:rPr>
      </w:pPr>
    </w:p>
    <w:p w:rsidR="00A569A9" w:rsidRPr="008573C5" w:rsidRDefault="00A569A9" w:rsidP="00176987">
      <w:pPr>
        <w:jc w:val="center"/>
        <w:rPr>
          <w:b/>
        </w:rPr>
      </w:pPr>
    </w:p>
    <w:p w:rsidR="00A569A9" w:rsidRPr="005E7FBD" w:rsidRDefault="00A569A9" w:rsidP="00A569A9">
      <w:pPr>
        <w:jc w:val="center"/>
        <w:rPr>
          <w:b/>
          <w:sz w:val="32"/>
          <w:szCs w:val="32"/>
        </w:rPr>
      </w:pPr>
      <w:r w:rsidRPr="005E7FBD">
        <w:rPr>
          <w:b/>
          <w:sz w:val="32"/>
          <w:szCs w:val="32"/>
        </w:rPr>
        <w:t>APPENDIX IV</w:t>
      </w:r>
    </w:p>
    <w:p w:rsidR="00A569A9" w:rsidRPr="008573C5" w:rsidRDefault="00A569A9" w:rsidP="00A569A9">
      <w:pPr>
        <w:jc w:val="center"/>
        <w:rPr>
          <w:b/>
          <w:sz w:val="28"/>
          <w:szCs w:val="28"/>
        </w:rPr>
      </w:pPr>
    </w:p>
    <w:p w:rsidR="00A569A9" w:rsidRPr="008573C5" w:rsidRDefault="00A569A9" w:rsidP="00A569A9">
      <w:pPr>
        <w:jc w:val="center"/>
        <w:rPr>
          <w:b/>
          <w:sz w:val="28"/>
          <w:szCs w:val="28"/>
        </w:rPr>
      </w:pPr>
      <w:r w:rsidRPr="008573C5">
        <w:rPr>
          <w:b/>
          <w:sz w:val="28"/>
          <w:szCs w:val="28"/>
        </w:rPr>
        <w:t>S</w:t>
      </w:r>
      <w:r w:rsidR="004E5D0A" w:rsidRPr="008573C5">
        <w:rPr>
          <w:b/>
          <w:sz w:val="28"/>
          <w:szCs w:val="28"/>
        </w:rPr>
        <w:t>ample of Research Questionnaire</w:t>
      </w:r>
    </w:p>
    <w:p w:rsidR="00A569A9" w:rsidRPr="008573C5" w:rsidRDefault="00A569A9" w:rsidP="00A569A9">
      <w:pPr>
        <w:jc w:val="center"/>
        <w:rPr>
          <w:b/>
        </w:rPr>
      </w:pPr>
      <w:r w:rsidRPr="008573C5">
        <w:rPr>
          <w:b/>
        </w:rPr>
        <w:tab/>
      </w:r>
    </w:p>
    <w:p w:rsidR="00A569A9" w:rsidRPr="008573C5" w:rsidRDefault="00A569A9" w:rsidP="00A569A9">
      <w:pPr>
        <w:jc w:val="center"/>
        <w:rPr>
          <w:b/>
        </w:rPr>
      </w:pPr>
      <w:r w:rsidRPr="008573C5">
        <w:rPr>
          <w:b/>
        </w:rPr>
        <w:t>Department of Accounting,</w:t>
      </w:r>
    </w:p>
    <w:p w:rsidR="00A569A9" w:rsidRPr="008573C5" w:rsidRDefault="00A569A9" w:rsidP="00A569A9">
      <w:pPr>
        <w:jc w:val="center"/>
        <w:rPr>
          <w:b/>
        </w:rPr>
      </w:pPr>
      <w:r w:rsidRPr="008573C5">
        <w:rPr>
          <w:b/>
        </w:rPr>
        <w:t>College of Business and Social Sciences,</w:t>
      </w:r>
    </w:p>
    <w:p w:rsidR="00A569A9" w:rsidRPr="008573C5" w:rsidRDefault="00A569A9" w:rsidP="00A569A9">
      <w:pPr>
        <w:jc w:val="center"/>
        <w:rPr>
          <w:b/>
        </w:rPr>
      </w:pPr>
      <w:r w:rsidRPr="008573C5">
        <w:rPr>
          <w:b/>
        </w:rPr>
        <w:t>Covenant University,</w:t>
      </w:r>
    </w:p>
    <w:p w:rsidR="00A569A9" w:rsidRPr="008573C5" w:rsidRDefault="00A569A9" w:rsidP="00A569A9">
      <w:pPr>
        <w:jc w:val="center"/>
        <w:rPr>
          <w:b/>
        </w:rPr>
      </w:pPr>
      <w:r w:rsidRPr="008573C5">
        <w:rPr>
          <w:b/>
        </w:rPr>
        <w:t>Ota, Ogun State,</w:t>
      </w:r>
    </w:p>
    <w:p w:rsidR="00A569A9" w:rsidRPr="008573C5" w:rsidRDefault="00A569A9" w:rsidP="00A569A9">
      <w:pPr>
        <w:jc w:val="center"/>
        <w:rPr>
          <w:b/>
        </w:rPr>
      </w:pPr>
      <w:r w:rsidRPr="008573C5">
        <w:rPr>
          <w:b/>
        </w:rPr>
        <w:t>Nigeria</w:t>
      </w:r>
    </w:p>
    <w:p w:rsidR="00A569A9" w:rsidRPr="008573C5" w:rsidRDefault="00A569A9" w:rsidP="00A569A9">
      <w:pPr>
        <w:jc w:val="center"/>
        <w:rPr>
          <w:b/>
        </w:rPr>
      </w:pPr>
    </w:p>
    <w:p w:rsidR="00A569A9" w:rsidRPr="008573C5" w:rsidRDefault="00A569A9" w:rsidP="00A569A9">
      <w:pPr>
        <w:jc w:val="both"/>
      </w:pPr>
      <w:r w:rsidRPr="008573C5">
        <w:t>Dear Respondent,</w:t>
      </w:r>
    </w:p>
    <w:p w:rsidR="00A569A9" w:rsidRPr="008573C5" w:rsidRDefault="00A569A9" w:rsidP="00A569A9">
      <w:pPr>
        <w:jc w:val="both"/>
      </w:pPr>
    </w:p>
    <w:p w:rsidR="00A569A9" w:rsidRPr="008573C5" w:rsidRDefault="00A569A9" w:rsidP="00A569A9">
      <w:pPr>
        <w:jc w:val="both"/>
      </w:pPr>
      <w:r w:rsidRPr="008573C5">
        <w:t xml:space="preserve">This questionnaire aims at assessing the extent of </w:t>
      </w:r>
      <w:r w:rsidRPr="008573C5">
        <w:rPr>
          <w:b/>
        </w:rPr>
        <w:t>Accounting Disclosures and Corporate Attributes in Nigerian Listed Companies</w:t>
      </w:r>
      <w:r w:rsidRPr="008573C5">
        <w:t>. This study is undertaken in partial fulfilment of the requirements for the award of a Ph.D. degree in Accounting.</w:t>
      </w:r>
    </w:p>
    <w:p w:rsidR="00A569A9" w:rsidRPr="008573C5" w:rsidRDefault="00A569A9" w:rsidP="00A569A9">
      <w:pPr>
        <w:jc w:val="both"/>
      </w:pPr>
    </w:p>
    <w:p w:rsidR="00A569A9" w:rsidRPr="008573C5" w:rsidRDefault="00A569A9" w:rsidP="00A569A9">
      <w:pPr>
        <w:jc w:val="both"/>
      </w:pPr>
      <w:r w:rsidRPr="008573C5">
        <w:t xml:space="preserve">Please complete this questionnaire as honestly as you can. All information supplied will be used solely for the purpose of this study and will be treated with utmost confidentiality. Your co-operation will be highly appreciated. Thank you in advance. </w:t>
      </w:r>
    </w:p>
    <w:p w:rsidR="00A569A9" w:rsidRPr="008573C5" w:rsidRDefault="00A569A9" w:rsidP="00A569A9">
      <w:pPr>
        <w:jc w:val="both"/>
      </w:pPr>
    </w:p>
    <w:p w:rsidR="00A569A9" w:rsidRPr="008573C5" w:rsidRDefault="00A569A9" w:rsidP="00A569A9">
      <w:pPr>
        <w:jc w:val="both"/>
      </w:pPr>
      <w:r w:rsidRPr="008573C5">
        <w:t>Yours sincerely,</w:t>
      </w:r>
    </w:p>
    <w:p w:rsidR="00A569A9" w:rsidRPr="008573C5" w:rsidRDefault="00A569A9" w:rsidP="00A569A9">
      <w:pPr>
        <w:jc w:val="both"/>
      </w:pPr>
    </w:p>
    <w:p w:rsidR="00A569A9" w:rsidRPr="008573C5" w:rsidRDefault="00A569A9" w:rsidP="00A569A9">
      <w:pPr>
        <w:jc w:val="both"/>
      </w:pPr>
      <w:r w:rsidRPr="008573C5">
        <w:t>Adebimpe Otu Umoren</w:t>
      </w:r>
    </w:p>
    <w:p w:rsidR="00A569A9" w:rsidRPr="008573C5" w:rsidRDefault="00A569A9" w:rsidP="00A569A9"/>
    <w:p w:rsidR="00A569A9" w:rsidRPr="008573C5" w:rsidRDefault="00A569A9" w:rsidP="00A569A9">
      <w:pPr>
        <w:rPr>
          <w:b/>
        </w:rPr>
      </w:pPr>
      <w:r w:rsidRPr="008573C5">
        <w:rPr>
          <w:b/>
        </w:rPr>
        <w:t>Section A: Personal Data</w:t>
      </w:r>
    </w:p>
    <w:p w:rsidR="00A569A9" w:rsidRPr="008573C5" w:rsidRDefault="00A569A9" w:rsidP="00A569A9">
      <w:pPr>
        <w:pStyle w:val="ListParagraph"/>
        <w:ind w:left="0"/>
        <w:rPr>
          <w:b/>
        </w:rPr>
      </w:pPr>
    </w:p>
    <w:p w:rsidR="00A569A9" w:rsidRPr="008573C5" w:rsidRDefault="00A569A9" w:rsidP="00A569A9">
      <w:pPr>
        <w:pStyle w:val="ListParagraph"/>
        <w:ind w:left="0"/>
        <w:rPr>
          <w:rFonts w:ascii="Times New Roman" w:eastAsia="Times New Roman" w:hAnsi="Times New Roman"/>
          <w:sz w:val="24"/>
          <w:szCs w:val="24"/>
          <w:lang w:val="en-US"/>
        </w:rPr>
      </w:pPr>
      <w:r w:rsidRPr="008573C5">
        <w:rPr>
          <w:rFonts w:ascii="Times New Roman" w:hAnsi="Times New Roman"/>
          <w:b/>
        </w:rPr>
        <w:t>Instruction: Please tick or fill where necessary.</w:t>
      </w:r>
    </w:p>
    <w:p w:rsidR="00A569A9" w:rsidRPr="008573C5" w:rsidRDefault="00A569A9" w:rsidP="00A569A9">
      <w:pPr>
        <w:pStyle w:val="ListParagraph"/>
        <w:ind w:left="0"/>
        <w:rPr>
          <w:rFonts w:ascii="Times New Roman" w:hAnsi="Times New Roman"/>
        </w:rPr>
      </w:pPr>
    </w:p>
    <w:p w:rsidR="00A569A9" w:rsidRPr="008573C5" w:rsidRDefault="006E22C9" w:rsidP="00A569A9">
      <w:pPr>
        <w:pStyle w:val="ListParagraph"/>
        <w:ind w:left="0"/>
        <w:rPr>
          <w:rFonts w:ascii="Times New Roman" w:hAnsi="Times New Roman"/>
        </w:rPr>
      </w:pPr>
      <w:r>
        <w:rPr>
          <w:rFonts w:ascii="Times New Roman" w:hAnsi="Times New Roman"/>
          <w:noProof/>
          <w:lang w:val="en-US"/>
        </w:rPr>
        <w:pict>
          <v:shape id="_x0000_s46413" type="#_x0000_t202" style="position:absolute;margin-left:123.95pt;margin-top:11.35pt;width:17.95pt;height:12.75pt;z-index:251628544;mso-width-relative:margin;mso-height-relative:margin">
            <v:textbox style="mso-next-textbox:#_x0000_s46413">
              <w:txbxContent>
                <w:p w:rsidR="00CB6FAE" w:rsidRDefault="00CB6FAE" w:rsidP="00A569A9"/>
              </w:txbxContent>
            </v:textbox>
          </v:shape>
        </w:pict>
      </w:r>
      <w:r>
        <w:rPr>
          <w:rFonts w:ascii="Times New Roman" w:hAnsi="Times New Roman"/>
          <w:noProof/>
          <w:lang w:val="en-US"/>
        </w:rPr>
        <w:pict>
          <v:shape id="_x0000_s46412" type="#_x0000_t202" style="position:absolute;margin-left:65pt;margin-top:13.6pt;width:17.95pt;height:12.75pt;z-index:251627520;mso-width-relative:margin;mso-height-relative:margin">
            <v:textbox style="mso-next-textbox:#_x0000_s46412">
              <w:txbxContent>
                <w:p w:rsidR="00CB6FAE" w:rsidRDefault="00CB6FAE" w:rsidP="00A569A9"/>
              </w:txbxContent>
            </v:textbox>
          </v:shape>
        </w:pict>
      </w:r>
      <w:r w:rsidR="00A569A9" w:rsidRPr="008573C5">
        <w:rPr>
          <w:rFonts w:ascii="Times New Roman" w:hAnsi="Times New Roman"/>
        </w:rPr>
        <w:t>1. Name of Organization: ( Optional) ...................................................................Location (State)....................................</w:t>
      </w:r>
    </w:p>
    <w:p w:rsidR="00A569A9" w:rsidRPr="008573C5" w:rsidRDefault="006E22C9" w:rsidP="00A569A9">
      <w:pPr>
        <w:pStyle w:val="ListParagraph"/>
        <w:ind w:left="0"/>
        <w:rPr>
          <w:rFonts w:ascii="Times New Roman" w:hAnsi="Times New Roman"/>
        </w:rPr>
      </w:pPr>
      <w:r>
        <w:rPr>
          <w:rFonts w:ascii="Times New Roman" w:hAnsi="Times New Roman"/>
          <w:noProof/>
          <w:lang w:val="en-US"/>
        </w:rPr>
        <w:pict>
          <v:shape id="_x0000_s46416" type="#_x0000_t202" style="position:absolute;margin-left:374.95pt;margin-top:11.8pt;width:17.95pt;height:12.75pt;z-index:251631616;mso-width-relative:margin;mso-height-relative:margin">
            <v:textbox style="mso-next-textbox:#_x0000_s46416">
              <w:txbxContent>
                <w:p w:rsidR="00CB6FAE" w:rsidRPr="00121202" w:rsidRDefault="00CB6FAE" w:rsidP="00A569A9"/>
              </w:txbxContent>
            </v:textbox>
          </v:shape>
        </w:pict>
      </w:r>
      <w:r>
        <w:rPr>
          <w:rFonts w:ascii="Times New Roman" w:hAnsi="Times New Roman"/>
          <w:noProof/>
          <w:lang w:val="en-US"/>
        </w:rPr>
        <w:pict>
          <v:shape id="_x0000_s46415" type="#_x0000_t202" style="position:absolute;margin-left:260.2pt;margin-top:11.8pt;width:17.95pt;height:12.75pt;z-index:251630592;mso-width-relative:margin;mso-height-relative:margin">
            <v:textbox style="mso-next-textbox:#_x0000_s46415">
              <w:txbxContent>
                <w:p w:rsidR="00CB6FAE" w:rsidRDefault="00CB6FAE" w:rsidP="00A569A9"/>
              </w:txbxContent>
            </v:textbox>
          </v:shape>
        </w:pict>
      </w:r>
      <w:r>
        <w:rPr>
          <w:rFonts w:ascii="Times New Roman" w:hAnsi="Times New Roman"/>
          <w:noProof/>
          <w:lang w:val="en-US"/>
        </w:rPr>
        <w:pict>
          <v:shape id="_x0000_s46417" type="#_x0000_t202" style="position:absolute;margin-left:333.25pt;margin-top:11.8pt;width:17.95pt;height:12.75pt;z-index:251632640;mso-width-relative:margin;mso-height-relative:margin">
            <v:textbox style="mso-next-textbox:#_x0000_s46417">
              <w:txbxContent>
                <w:p w:rsidR="00CB6FAE" w:rsidRDefault="00CB6FAE" w:rsidP="00A569A9"/>
              </w:txbxContent>
            </v:textbox>
          </v:shape>
        </w:pict>
      </w:r>
      <w:r>
        <w:rPr>
          <w:rFonts w:ascii="Times New Roman" w:hAnsi="Times New Roman"/>
          <w:noProof/>
          <w:lang w:val="en-US"/>
        </w:rPr>
        <w:pict>
          <v:shape id="_x0000_s46414" type="#_x0000_t202" style="position:absolute;margin-left:187.85pt;margin-top:11.8pt;width:17.95pt;height:12.75pt;z-index:251629568;mso-width-relative:margin;mso-height-relative:margin">
            <v:textbox style="mso-next-textbox:#_x0000_s46414">
              <w:txbxContent>
                <w:p w:rsidR="00CB6FAE" w:rsidRDefault="00CB6FAE" w:rsidP="00A569A9"/>
              </w:txbxContent>
            </v:textbox>
          </v:shape>
        </w:pict>
      </w:r>
      <w:r w:rsidR="00A569A9" w:rsidRPr="008573C5">
        <w:rPr>
          <w:rFonts w:ascii="Times New Roman" w:hAnsi="Times New Roman"/>
        </w:rPr>
        <w:t>2. Sex:  Male</w:t>
      </w:r>
      <w:r w:rsidR="00A569A9" w:rsidRPr="008573C5">
        <w:rPr>
          <w:rFonts w:ascii="Times New Roman" w:hAnsi="Times New Roman"/>
        </w:rPr>
        <w:tab/>
        <w:t xml:space="preserve">      Female</w:t>
      </w:r>
    </w:p>
    <w:p w:rsidR="00A569A9" w:rsidRPr="008573C5" w:rsidRDefault="00A569A9" w:rsidP="00A569A9">
      <w:pPr>
        <w:pStyle w:val="ListParagraph"/>
        <w:ind w:left="0"/>
        <w:rPr>
          <w:rFonts w:ascii="Times New Roman" w:hAnsi="Times New Roman"/>
        </w:rPr>
      </w:pPr>
      <w:r w:rsidRPr="008573C5">
        <w:rPr>
          <w:rFonts w:ascii="Times New Roman" w:hAnsi="Times New Roman"/>
        </w:rPr>
        <w:t>3. Highest Academic Qualification: HND           B.Sc/B.A.        MBA/MSc         PhD</w:t>
      </w:r>
    </w:p>
    <w:p w:rsidR="00A569A9" w:rsidRPr="008573C5" w:rsidRDefault="00A569A9" w:rsidP="00A569A9">
      <w:pPr>
        <w:pStyle w:val="ListParagraph"/>
        <w:ind w:left="0"/>
        <w:rPr>
          <w:rFonts w:ascii="Times New Roman" w:hAnsi="Times New Roman"/>
        </w:rPr>
      </w:pPr>
      <w:r w:rsidRPr="008573C5">
        <w:rPr>
          <w:rFonts w:ascii="Times New Roman" w:hAnsi="Times New Roman"/>
        </w:rPr>
        <w:t>4. Professional Qualification</w:t>
      </w:r>
      <w:r w:rsidR="006E22C9">
        <w:rPr>
          <w:rFonts w:ascii="Times New Roman" w:hAnsi="Times New Roman"/>
          <w:noProof/>
          <w:lang w:val="en-US"/>
        </w:rPr>
        <w:pict>
          <v:shape id="_x0000_s46421" type="#_x0000_t202" style="position:absolute;margin-left:379.2pt;margin-top:13.25pt;width:17.95pt;height:12pt;z-index:251636736;mso-position-horizontal-relative:text;mso-position-vertical-relative:text;mso-width-relative:margin;mso-height-relative:margin">
            <v:textbox style="mso-next-textbox:#_x0000_s46421">
              <w:txbxContent>
                <w:p w:rsidR="00CB6FAE" w:rsidRDefault="00CB6FAE" w:rsidP="00A569A9"/>
              </w:txbxContent>
            </v:textbox>
          </v:shape>
        </w:pict>
      </w:r>
      <w:r w:rsidR="006E22C9">
        <w:rPr>
          <w:rFonts w:ascii="Times New Roman" w:hAnsi="Times New Roman"/>
          <w:noProof/>
          <w:lang w:val="en-US"/>
        </w:rPr>
        <w:pict>
          <v:shape id="_x0000_s46418" type="#_x0000_t202" style="position:absolute;margin-left:263.15pt;margin-top:11.45pt;width:17.95pt;height:12.75pt;z-index:251633664;mso-position-horizontal-relative:text;mso-position-vertical-relative:text;mso-width-relative:margin;mso-height-relative:margin">
            <v:textbox style="mso-next-textbox:#_x0000_s46418">
              <w:txbxContent>
                <w:p w:rsidR="00CB6FAE" w:rsidRDefault="00CB6FAE" w:rsidP="00A569A9"/>
              </w:txbxContent>
            </v:textbox>
          </v:shape>
        </w:pict>
      </w:r>
      <w:r w:rsidR="006E22C9">
        <w:rPr>
          <w:rFonts w:ascii="Times New Roman" w:hAnsi="Times New Roman"/>
          <w:noProof/>
          <w:lang w:val="en-US"/>
        </w:rPr>
        <w:pict>
          <v:shape id="_x0000_s46419" type="#_x0000_t202" style="position:absolute;margin-left:181.6pt;margin-top:11.75pt;width:17.95pt;height:12.75pt;z-index:251634688;mso-position-horizontal-relative:text;mso-position-vertical-relative:text;mso-width-relative:margin;mso-height-relative:margin">
            <v:textbox style="mso-next-textbox:#_x0000_s46419">
              <w:txbxContent>
                <w:p w:rsidR="00CB6FAE" w:rsidRDefault="00CB6FAE" w:rsidP="00A569A9"/>
              </w:txbxContent>
            </v:textbox>
          </v:shape>
        </w:pict>
      </w:r>
      <w:r w:rsidR="006E22C9">
        <w:rPr>
          <w:rFonts w:ascii="Times New Roman" w:hAnsi="Times New Roman"/>
          <w:noProof/>
          <w:lang w:val="en-US"/>
        </w:rPr>
        <w:pict>
          <v:shape id="_x0000_s46420" type="#_x0000_t202" style="position:absolute;margin-left:123.2pt;margin-top:12.5pt;width:17.95pt;height:12.75pt;z-index:251635712;mso-position-horizontal-relative:text;mso-position-vertical-relative:text;mso-width-relative:margin;mso-height-relative:margin">
            <v:textbox style="mso-next-textbox:#_x0000_s46420">
              <w:txbxContent>
                <w:p w:rsidR="00CB6FAE" w:rsidRDefault="00CB6FAE" w:rsidP="00A569A9"/>
              </w:txbxContent>
            </v:textbox>
          </v:shape>
        </w:pict>
      </w:r>
      <w:r w:rsidRPr="008573C5">
        <w:rPr>
          <w:rFonts w:ascii="Times New Roman" w:hAnsi="Times New Roman"/>
        </w:rPr>
        <w:t>s: (Please.specify)  ......................................................</w:t>
      </w:r>
    </w:p>
    <w:p w:rsidR="00A569A9" w:rsidRPr="008573C5" w:rsidRDefault="006E22C9" w:rsidP="00A569A9">
      <w:pPr>
        <w:pStyle w:val="ListParagraph"/>
        <w:ind w:left="0"/>
        <w:rPr>
          <w:rFonts w:ascii="Times New Roman" w:hAnsi="Times New Roman"/>
        </w:rPr>
      </w:pPr>
      <w:r>
        <w:rPr>
          <w:rFonts w:ascii="Times New Roman" w:hAnsi="Times New Roman"/>
          <w:noProof/>
          <w:lang w:val="en-US"/>
        </w:rPr>
        <w:pict>
          <v:shape id="_x0000_s46426" type="#_x0000_t202" style="position:absolute;margin-left:225.65pt;margin-top:12.95pt;width:17.95pt;height:12.75pt;z-index:251641856;mso-width-relative:margin;mso-height-relative:margin">
            <v:textbox style="mso-next-textbox:#_x0000_s46426">
              <w:txbxContent>
                <w:p w:rsidR="00CB6FAE" w:rsidRDefault="00CB6FAE" w:rsidP="00A569A9"/>
              </w:txbxContent>
            </v:textbox>
          </v:shape>
        </w:pict>
      </w:r>
      <w:r>
        <w:rPr>
          <w:rFonts w:ascii="Times New Roman" w:hAnsi="Times New Roman"/>
          <w:noProof/>
          <w:lang w:val="en-US"/>
        </w:rPr>
        <w:pict>
          <v:shape id="_x0000_s46425" type="#_x0000_t202" style="position:absolute;margin-left:165.95pt;margin-top:12.2pt;width:17.95pt;height:12.75pt;z-index:251640832;mso-width-relative:margin;mso-height-relative:margin">
            <v:textbox style="mso-next-textbox:#_x0000_s46425">
              <w:txbxContent>
                <w:p w:rsidR="00CB6FAE" w:rsidRDefault="00CB6FAE" w:rsidP="00A569A9"/>
              </w:txbxContent>
            </v:textbox>
          </v:shape>
        </w:pict>
      </w:r>
      <w:r w:rsidR="00A569A9" w:rsidRPr="008573C5">
        <w:rPr>
          <w:rFonts w:ascii="Times New Roman" w:hAnsi="Times New Roman"/>
        </w:rPr>
        <w:t xml:space="preserve">5. Occupation: Accountant         Auditor         Stock broker         Financial Consultant    </w:t>
      </w:r>
    </w:p>
    <w:p w:rsidR="00A569A9" w:rsidRPr="008573C5" w:rsidRDefault="006E22C9" w:rsidP="00A569A9">
      <w:pPr>
        <w:pStyle w:val="ListParagraph"/>
        <w:ind w:left="0"/>
        <w:rPr>
          <w:rFonts w:ascii="Times New Roman" w:hAnsi="Times New Roman"/>
        </w:rPr>
      </w:pPr>
      <w:r>
        <w:rPr>
          <w:rFonts w:ascii="Times New Roman" w:hAnsi="Times New Roman"/>
          <w:noProof/>
          <w:lang w:val="en-US"/>
        </w:rPr>
        <w:pict>
          <v:shape id="_x0000_s46424" type="#_x0000_t202" style="position:absolute;margin-left:325.75pt;margin-top:12.95pt;width:17.95pt;height:12.75pt;z-index:251639808;mso-width-relative:margin;mso-height-relative:margin">
            <v:textbox style="mso-next-textbox:#_x0000_s46424">
              <w:txbxContent>
                <w:p w:rsidR="00CB6FAE" w:rsidRDefault="00CB6FAE" w:rsidP="00A569A9"/>
              </w:txbxContent>
            </v:textbox>
          </v:shape>
        </w:pict>
      </w:r>
      <w:r>
        <w:rPr>
          <w:rFonts w:ascii="Times New Roman" w:hAnsi="Times New Roman"/>
          <w:noProof/>
          <w:lang w:val="en-US"/>
        </w:rPr>
        <w:pict>
          <v:shape id="_x0000_s46423" type="#_x0000_t202" style="position:absolute;margin-left:240.5pt;margin-top:13.7pt;width:17.95pt;height:12.75pt;z-index:251638784;mso-width-relative:margin;mso-height-relative:margin">
            <v:textbox style="mso-next-textbox:#_x0000_s46423">
              <w:txbxContent>
                <w:p w:rsidR="00CB6FAE" w:rsidRDefault="00CB6FAE" w:rsidP="00A569A9"/>
              </w:txbxContent>
            </v:textbox>
          </v:shape>
        </w:pict>
      </w:r>
      <w:r>
        <w:rPr>
          <w:rFonts w:ascii="Times New Roman" w:hAnsi="Times New Roman"/>
          <w:noProof/>
          <w:lang w:val="en-US"/>
        </w:rPr>
        <w:pict>
          <v:shape id="_x0000_s46422" type="#_x0000_t202" style="position:absolute;margin-left:175.65pt;margin-top:12.95pt;width:17.95pt;height:12.75pt;z-index:251637760;mso-width-relative:margin;mso-height-relative:margin">
            <v:textbox style="mso-next-textbox:#_x0000_s46422">
              <w:txbxContent>
                <w:p w:rsidR="00CB6FAE" w:rsidRDefault="00CB6FAE" w:rsidP="00A569A9"/>
              </w:txbxContent>
            </v:textbox>
          </v:shape>
        </w:pict>
      </w:r>
      <w:r w:rsidR="00A569A9" w:rsidRPr="008573C5">
        <w:rPr>
          <w:rFonts w:ascii="Times New Roman" w:hAnsi="Times New Roman"/>
        </w:rPr>
        <w:t xml:space="preserve">                         Accounting educator          Banker           Others (Please.specify)..............................................................</w:t>
      </w:r>
    </w:p>
    <w:p w:rsidR="00A569A9" w:rsidRPr="008573C5" w:rsidRDefault="00A569A9" w:rsidP="00A569A9">
      <w:pPr>
        <w:pStyle w:val="ListParagraph"/>
        <w:ind w:left="0"/>
        <w:rPr>
          <w:rFonts w:ascii="Times New Roman" w:hAnsi="Times New Roman"/>
        </w:rPr>
      </w:pPr>
      <w:r w:rsidRPr="008573C5">
        <w:rPr>
          <w:rFonts w:ascii="Times New Roman" w:hAnsi="Times New Roman"/>
        </w:rPr>
        <w:t>6. Years of working experience 1-5yrs           5- 10yrs         Above 10 yrs</w:t>
      </w:r>
    </w:p>
    <w:p w:rsidR="00A569A9" w:rsidRPr="008573C5" w:rsidRDefault="00A569A9" w:rsidP="00A569A9">
      <w:pPr>
        <w:rPr>
          <w:b/>
        </w:rPr>
      </w:pPr>
    </w:p>
    <w:p w:rsidR="00A569A9" w:rsidRPr="008573C5" w:rsidRDefault="00A569A9" w:rsidP="00A569A9">
      <w:pPr>
        <w:rPr>
          <w:b/>
        </w:rPr>
      </w:pPr>
      <w:r w:rsidRPr="008573C5">
        <w:rPr>
          <w:b/>
        </w:rPr>
        <w:t>Section B: Extent of compliance with Statement of Accounting Standards (SASs) and International Financial Reporting Standards (IASs/IFRSs).</w:t>
      </w:r>
    </w:p>
    <w:p w:rsidR="00A569A9" w:rsidRPr="008573C5" w:rsidRDefault="00A569A9" w:rsidP="00A569A9">
      <w:pPr>
        <w:rPr>
          <w:b/>
        </w:rPr>
      </w:pPr>
    </w:p>
    <w:p w:rsidR="00A569A9" w:rsidRPr="008573C5" w:rsidRDefault="00A569A9" w:rsidP="00A569A9">
      <w:pPr>
        <w:rPr>
          <w:b/>
        </w:rPr>
      </w:pPr>
      <w:r w:rsidRPr="008573C5">
        <w:rPr>
          <w:b/>
        </w:rPr>
        <w:t>Instruction: Kindly indicate your choice for each statement from the list of options provided: SA = Strongly Agree,  A = Agree, D = Disagree and SD = Strongly Disagree.</w:t>
      </w:r>
    </w:p>
    <w:p w:rsidR="00A569A9" w:rsidRPr="008573C5" w:rsidRDefault="00A569A9" w:rsidP="00A569A9">
      <w:pPr>
        <w:rPr>
          <w:b/>
        </w:rPr>
      </w:pPr>
    </w:p>
    <w:tbl>
      <w:tblPr>
        <w:tblW w:w="9265" w:type="dxa"/>
        <w:tblInd w:w="99" w:type="dxa"/>
        <w:tblLook w:val="04A0"/>
      </w:tblPr>
      <w:tblGrid>
        <w:gridCol w:w="661"/>
        <w:gridCol w:w="6851"/>
        <w:gridCol w:w="453"/>
        <w:gridCol w:w="400"/>
        <w:gridCol w:w="440"/>
        <w:gridCol w:w="460"/>
      </w:tblGrid>
      <w:tr w:rsidR="00A569A9" w:rsidRPr="008573C5" w:rsidTr="00A7236B">
        <w:trPr>
          <w:trHeight w:val="300"/>
        </w:trPr>
        <w:tc>
          <w:tcPr>
            <w:tcW w:w="661" w:type="dxa"/>
            <w:tcBorders>
              <w:top w:val="nil"/>
              <w:left w:val="nil"/>
              <w:bottom w:val="nil"/>
              <w:right w:val="nil"/>
            </w:tcBorders>
            <w:shd w:val="clear" w:color="auto" w:fill="auto"/>
            <w:noWrap/>
            <w:vAlign w:val="bottom"/>
            <w:hideMark/>
          </w:tcPr>
          <w:p w:rsidR="00A569A9" w:rsidRPr="008573C5" w:rsidRDefault="00A569A9" w:rsidP="00A7236B">
            <w:pPr>
              <w:rPr>
                <w:rFonts w:ascii="Calibri" w:hAnsi="Calibri"/>
                <w:sz w:val="22"/>
                <w:szCs w:val="22"/>
              </w:rPr>
            </w:pPr>
            <w:r w:rsidRPr="008573C5">
              <w:rPr>
                <w:rFonts w:ascii="Calibri" w:hAnsi="Calibri"/>
                <w:sz w:val="22"/>
                <w:szCs w:val="22"/>
              </w:rPr>
              <w:t>S/No</w:t>
            </w:r>
          </w:p>
        </w:tc>
        <w:tc>
          <w:tcPr>
            <w:tcW w:w="6851" w:type="dxa"/>
            <w:tcBorders>
              <w:top w:val="nil"/>
              <w:left w:val="nil"/>
              <w:bottom w:val="nil"/>
              <w:right w:val="nil"/>
            </w:tcBorders>
            <w:shd w:val="clear" w:color="auto" w:fill="auto"/>
            <w:noWrap/>
            <w:vAlign w:val="bottom"/>
            <w:hideMark/>
          </w:tcPr>
          <w:p w:rsidR="00A569A9" w:rsidRPr="008573C5" w:rsidRDefault="00A569A9" w:rsidP="00A7236B">
            <w:pPr>
              <w:rPr>
                <w:rFonts w:ascii="Calibri" w:hAnsi="Calibri"/>
                <w:sz w:val="22"/>
                <w:szCs w:val="22"/>
              </w:rPr>
            </w:pPr>
          </w:p>
        </w:tc>
        <w:tc>
          <w:tcPr>
            <w:tcW w:w="453" w:type="dxa"/>
            <w:tcBorders>
              <w:top w:val="nil"/>
              <w:left w:val="nil"/>
              <w:bottom w:val="nil"/>
              <w:right w:val="nil"/>
            </w:tcBorders>
            <w:shd w:val="clear" w:color="auto" w:fill="auto"/>
            <w:noWrap/>
            <w:vAlign w:val="bottom"/>
            <w:hideMark/>
          </w:tcPr>
          <w:p w:rsidR="00A569A9" w:rsidRPr="008573C5" w:rsidRDefault="00A569A9" w:rsidP="00A7236B">
            <w:pPr>
              <w:rPr>
                <w:rFonts w:ascii="Calibri" w:hAnsi="Calibri"/>
                <w:sz w:val="22"/>
                <w:szCs w:val="22"/>
              </w:rPr>
            </w:pPr>
          </w:p>
        </w:tc>
        <w:tc>
          <w:tcPr>
            <w:tcW w:w="400" w:type="dxa"/>
            <w:tcBorders>
              <w:top w:val="nil"/>
              <w:left w:val="nil"/>
              <w:bottom w:val="nil"/>
              <w:right w:val="nil"/>
            </w:tcBorders>
            <w:shd w:val="clear" w:color="auto" w:fill="auto"/>
            <w:noWrap/>
            <w:vAlign w:val="bottom"/>
            <w:hideMark/>
          </w:tcPr>
          <w:p w:rsidR="00A569A9" w:rsidRPr="008573C5" w:rsidRDefault="00A569A9" w:rsidP="00A7236B">
            <w:pPr>
              <w:rPr>
                <w:rFonts w:ascii="Calibri" w:hAnsi="Calibri"/>
                <w:sz w:val="22"/>
                <w:szCs w:val="22"/>
              </w:rPr>
            </w:pPr>
          </w:p>
        </w:tc>
        <w:tc>
          <w:tcPr>
            <w:tcW w:w="440" w:type="dxa"/>
            <w:tcBorders>
              <w:top w:val="nil"/>
              <w:left w:val="nil"/>
              <w:bottom w:val="nil"/>
              <w:right w:val="nil"/>
            </w:tcBorders>
            <w:shd w:val="clear" w:color="auto" w:fill="auto"/>
            <w:noWrap/>
            <w:vAlign w:val="bottom"/>
            <w:hideMark/>
          </w:tcPr>
          <w:p w:rsidR="00A569A9" w:rsidRPr="008573C5" w:rsidRDefault="00A569A9" w:rsidP="00A7236B">
            <w:pPr>
              <w:rPr>
                <w:rFonts w:ascii="Calibri" w:hAnsi="Calibri"/>
                <w:sz w:val="22"/>
                <w:szCs w:val="22"/>
              </w:rPr>
            </w:pPr>
          </w:p>
        </w:tc>
        <w:tc>
          <w:tcPr>
            <w:tcW w:w="460" w:type="dxa"/>
            <w:tcBorders>
              <w:top w:val="nil"/>
              <w:left w:val="nil"/>
              <w:bottom w:val="nil"/>
              <w:right w:val="nil"/>
            </w:tcBorders>
            <w:shd w:val="clear" w:color="auto" w:fill="auto"/>
            <w:noWrap/>
            <w:vAlign w:val="bottom"/>
            <w:hideMark/>
          </w:tcPr>
          <w:p w:rsidR="00A569A9" w:rsidRPr="008573C5" w:rsidRDefault="00A569A9" w:rsidP="00A7236B">
            <w:pPr>
              <w:rPr>
                <w:rFonts w:ascii="Calibri" w:hAnsi="Calibri"/>
                <w:sz w:val="22"/>
                <w:szCs w:val="22"/>
              </w:rPr>
            </w:pPr>
          </w:p>
        </w:tc>
      </w:tr>
      <w:tr w:rsidR="00A569A9" w:rsidRPr="008573C5" w:rsidTr="00A7236B">
        <w:trPr>
          <w:trHeight w:val="630"/>
        </w:trPr>
        <w:tc>
          <w:tcPr>
            <w:tcW w:w="661"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7</w:t>
            </w:r>
          </w:p>
        </w:tc>
        <w:tc>
          <w:tcPr>
            <w:tcW w:w="6851" w:type="dxa"/>
            <w:tcBorders>
              <w:top w:val="nil"/>
              <w:left w:val="nil"/>
              <w:bottom w:val="nil"/>
              <w:right w:val="nil"/>
            </w:tcBorders>
            <w:shd w:val="clear" w:color="auto" w:fill="auto"/>
            <w:vAlign w:val="bottom"/>
            <w:hideMark/>
          </w:tcPr>
          <w:p w:rsidR="00A569A9" w:rsidRPr="008573C5" w:rsidRDefault="00A569A9" w:rsidP="00A7236B">
            <w:r w:rsidRPr="008573C5">
              <w:t>In practice, listed financial companies in Nigeria fully comply with the disclosure requirements of the local SASs.</w:t>
            </w:r>
          </w:p>
        </w:tc>
        <w:tc>
          <w:tcPr>
            <w:tcW w:w="453"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SD</w:t>
            </w:r>
          </w:p>
        </w:tc>
        <w:tc>
          <w:tcPr>
            <w:tcW w:w="40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A</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SA</w:t>
            </w:r>
          </w:p>
        </w:tc>
      </w:tr>
      <w:tr w:rsidR="00A569A9" w:rsidRPr="008573C5" w:rsidTr="00A7236B">
        <w:trPr>
          <w:trHeight w:val="630"/>
        </w:trPr>
        <w:tc>
          <w:tcPr>
            <w:tcW w:w="661"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8</w:t>
            </w:r>
          </w:p>
        </w:tc>
        <w:tc>
          <w:tcPr>
            <w:tcW w:w="6851" w:type="dxa"/>
            <w:tcBorders>
              <w:top w:val="nil"/>
              <w:left w:val="nil"/>
              <w:bottom w:val="nil"/>
              <w:right w:val="nil"/>
            </w:tcBorders>
            <w:shd w:val="clear" w:color="auto" w:fill="auto"/>
            <w:vAlign w:val="bottom"/>
            <w:hideMark/>
          </w:tcPr>
          <w:p w:rsidR="00A569A9" w:rsidRPr="008573C5" w:rsidRDefault="00A569A9" w:rsidP="00A7236B">
            <w:r w:rsidRPr="008573C5">
              <w:t>In practice, listed non-financial companies in Nigeria fully comply with the disclosure requirements of the local SASs.</w:t>
            </w:r>
          </w:p>
        </w:tc>
        <w:tc>
          <w:tcPr>
            <w:tcW w:w="453"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SD</w:t>
            </w:r>
          </w:p>
        </w:tc>
        <w:tc>
          <w:tcPr>
            <w:tcW w:w="40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A</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SA</w:t>
            </w:r>
          </w:p>
        </w:tc>
      </w:tr>
      <w:tr w:rsidR="00A569A9" w:rsidRPr="008573C5" w:rsidTr="00A7236B">
        <w:trPr>
          <w:trHeight w:val="630"/>
        </w:trPr>
        <w:tc>
          <w:tcPr>
            <w:tcW w:w="661"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9</w:t>
            </w:r>
          </w:p>
        </w:tc>
        <w:tc>
          <w:tcPr>
            <w:tcW w:w="6851" w:type="dxa"/>
            <w:tcBorders>
              <w:top w:val="nil"/>
              <w:left w:val="nil"/>
              <w:bottom w:val="nil"/>
              <w:right w:val="nil"/>
            </w:tcBorders>
            <w:shd w:val="clear" w:color="auto" w:fill="auto"/>
            <w:vAlign w:val="bottom"/>
            <w:hideMark/>
          </w:tcPr>
          <w:p w:rsidR="00A569A9" w:rsidRPr="008573C5" w:rsidRDefault="00A569A9" w:rsidP="00A7236B">
            <w:r w:rsidRPr="008573C5">
              <w:t>Where there is a conflict between SAS and IAS/IFRS disclosures, listed companies usually apply SAS.</w:t>
            </w:r>
          </w:p>
        </w:tc>
        <w:tc>
          <w:tcPr>
            <w:tcW w:w="453"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SD</w:t>
            </w:r>
          </w:p>
        </w:tc>
        <w:tc>
          <w:tcPr>
            <w:tcW w:w="40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A</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SA</w:t>
            </w:r>
          </w:p>
        </w:tc>
      </w:tr>
      <w:tr w:rsidR="00A569A9" w:rsidRPr="008573C5" w:rsidTr="00A7236B">
        <w:trPr>
          <w:trHeight w:val="630"/>
        </w:trPr>
        <w:tc>
          <w:tcPr>
            <w:tcW w:w="661"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10</w:t>
            </w:r>
          </w:p>
        </w:tc>
        <w:tc>
          <w:tcPr>
            <w:tcW w:w="6851" w:type="dxa"/>
            <w:tcBorders>
              <w:top w:val="nil"/>
              <w:left w:val="nil"/>
              <w:bottom w:val="nil"/>
              <w:right w:val="nil"/>
            </w:tcBorders>
            <w:shd w:val="clear" w:color="auto" w:fill="auto"/>
            <w:hideMark/>
          </w:tcPr>
          <w:p w:rsidR="00A569A9" w:rsidRPr="008573C5" w:rsidRDefault="00A569A9" w:rsidP="00A7236B">
            <w:r w:rsidRPr="008573C5">
              <w:t>Where there is a conflict between SAS and IAS/IFRS disclosures, listed companies usually apply IAS/IFRS.</w:t>
            </w:r>
          </w:p>
        </w:tc>
        <w:tc>
          <w:tcPr>
            <w:tcW w:w="453"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SD</w:t>
            </w:r>
          </w:p>
        </w:tc>
        <w:tc>
          <w:tcPr>
            <w:tcW w:w="40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A</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SA</w:t>
            </w:r>
          </w:p>
        </w:tc>
      </w:tr>
      <w:tr w:rsidR="00A569A9" w:rsidRPr="008573C5" w:rsidTr="00A7236B">
        <w:trPr>
          <w:trHeight w:val="630"/>
        </w:trPr>
        <w:tc>
          <w:tcPr>
            <w:tcW w:w="661"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11</w:t>
            </w:r>
          </w:p>
        </w:tc>
        <w:tc>
          <w:tcPr>
            <w:tcW w:w="6851" w:type="dxa"/>
            <w:tcBorders>
              <w:top w:val="nil"/>
              <w:left w:val="nil"/>
              <w:bottom w:val="nil"/>
              <w:right w:val="nil"/>
            </w:tcBorders>
            <w:shd w:val="clear" w:color="auto" w:fill="auto"/>
            <w:hideMark/>
          </w:tcPr>
          <w:p w:rsidR="00A569A9" w:rsidRPr="008573C5" w:rsidRDefault="00A569A9" w:rsidP="00A7236B">
            <w:r w:rsidRPr="008573C5">
              <w:t>In areas where there are no local accounting standards, relevant IASs/IFRSs are fully applied by listed financial companies.</w:t>
            </w:r>
          </w:p>
        </w:tc>
        <w:tc>
          <w:tcPr>
            <w:tcW w:w="453"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SD</w:t>
            </w:r>
          </w:p>
        </w:tc>
        <w:tc>
          <w:tcPr>
            <w:tcW w:w="40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A</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SA</w:t>
            </w:r>
          </w:p>
        </w:tc>
      </w:tr>
      <w:tr w:rsidR="00A569A9" w:rsidRPr="008573C5" w:rsidTr="00A7236B">
        <w:trPr>
          <w:trHeight w:val="630"/>
        </w:trPr>
        <w:tc>
          <w:tcPr>
            <w:tcW w:w="661"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12</w:t>
            </w:r>
          </w:p>
        </w:tc>
        <w:tc>
          <w:tcPr>
            <w:tcW w:w="6851" w:type="dxa"/>
            <w:tcBorders>
              <w:top w:val="nil"/>
              <w:left w:val="nil"/>
              <w:bottom w:val="nil"/>
              <w:right w:val="nil"/>
            </w:tcBorders>
            <w:shd w:val="clear" w:color="auto" w:fill="auto"/>
            <w:hideMark/>
          </w:tcPr>
          <w:p w:rsidR="00A569A9" w:rsidRPr="008573C5" w:rsidRDefault="00A569A9" w:rsidP="00A7236B">
            <w:r w:rsidRPr="008573C5">
              <w:t>In areas where there are no local accounting standards, relevant IASs/IFRSs are fully applied by listed non-financial companies.</w:t>
            </w:r>
          </w:p>
        </w:tc>
        <w:tc>
          <w:tcPr>
            <w:tcW w:w="453"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SD</w:t>
            </w:r>
          </w:p>
        </w:tc>
        <w:tc>
          <w:tcPr>
            <w:tcW w:w="40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A</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SA</w:t>
            </w:r>
          </w:p>
        </w:tc>
      </w:tr>
      <w:tr w:rsidR="00A569A9" w:rsidRPr="008573C5" w:rsidTr="00A7236B">
        <w:trPr>
          <w:trHeight w:val="315"/>
        </w:trPr>
        <w:tc>
          <w:tcPr>
            <w:tcW w:w="661"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13</w:t>
            </w:r>
          </w:p>
        </w:tc>
        <w:tc>
          <w:tcPr>
            <w:tcW w:w="6851" w:type="dxa"/>
            <w:tcBorders>
              <w:top w:val="nil"/>
              <w:left w:val="nil"/>
              <w:bottom w:val="nil"/>
              <w:right w:val="nil"/>
            </w:tcBorders>
            <w:shd w:val="clear" w:color="auto" w:fill="auto"/>
            <w:noWrap/>
            <w:vAlign w:val="bottom"/>
            <w:hideMark/>
          </w:tcPr>
          <w:p w:rsidR="00A569A9" w:rsidRPr="008573C5" w:rsidRDefault="00A569A9" w:rsidP="00A7236B">
            <w:r w:rsidRPr="008573C5">
              <w:t>Listed companies with multinational affiliation fully apply IASs/IFRSs.</w:t>
            </w:r>
          </w:p>
        </w:tc>
        <w:tc>
          <w:tcPr>
            <w:tcW w:w="453"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SD</w:t>
            </w:r>
          </w:p>
        </w:tc>
        <w:tc>
          <w:tcPr>
            <w:tcW w:w="40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A</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SA</w:t>
            </w:r>
          </w:p>
        </w:tc>
      </w:tr>
    </w:tbl>
    <w:p w:rsidR="00A569A9" w:rsidRPr="008573C5" w:rsidRDefault="00A569A9" w:rsidP="00A569A9"/>
    <w:p w:rsidR="00A569A9" w:rsidRPr="008573C5" w:rsidRDefault="00A569A9" w:rsidP="00A569A9">
      <w:pPr>
        <w:rPr>
          <w:b/>
        </w:rPr>
      </w:pPr>
    </w:p>
    <w:p w:rsidR="00A569A9" w:rsidRPr="008573C5" w:rsidRDefault="00A569A9" w:rsidP="00A569A9">
      <w:pPr>
        <w:rPr>
          <w:b/>
        </w:rPr>
      </w:pPr>
      <w:r w:rsidRPr="008573C5">
        <w:rPr>
          <w:b/>
        </w:rPr>
        <w:t>Section C: Voluntary disclosure by listed companies.</w:t>
      </w:r>
    </w:p>
    <w:p w:rsidR="00A569A9" w:rsidRPr="008573C5" w:rsidRDefault="00A569A9" w:rsidP="00A569A9"/>
    <w:p w:rsidR="00A569A9" w:rsidRPr="008573C5" w:rsidRDefault="00A569A9" w:rsidP="00A569A9"/>
    <w:p w:rsidR="00A569A9" w:rsidRPr="008573C5" w:rsidRDefault="00A569A9" w:rsidP="00A569A9">
      <w:r w:rsidRPr="008573C5">
        <w:t>Listed companies in Nigeria voluntarily disclose the following information.</w:t>
      </w:r>
    </w:p>
    <w:p w:rsidR="00A569A9" w:rsidRPr="008573C5" w:rsidRDefault="00A569A9" w:rsidP="00A569A9"/>
    <w:tbl>
      <w:tblPr>
        <w:tblW w:w="9115" w:type="dxa"/>
        <w:tblInd w:w="93" w:type="dxa"/>
        <w:tblLook w:val="04A0"/>
      </w:tblPr>
      <w:tblGrid>
        <w:gridCol w:w="580"/>
        <w:gridCol w:w="6420"/>
        <w:gridCol w:w="420"/>
        <w:gridCol w:w="453"/>
        <w:gridCol w:w="440"/>
        <w:gridCol w:w="460"/>
        <w:gridCol w:w="445"/>
      </w:tblGrid>
      <w:tr w:rsidR="00A569A9" w:rsidRPr="008573C5" w:rsidTr="00A7236B">
        <w:trPr>
          <w:trHeight w:val="315"/>
        </w:trPr>
        <w:tc>
          <w:tcPr>
            <w:tcW w:w="58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14</w:t>
            </w:r>
          </w:p>
        </w:tc>
        <w:tc>
          <w:tcPr>
            <w:tcW w:w="6420" w:type="dxa"/>
            <w:tcBorders>
              <w:top w:val="nil"/>
              <w:left w:val="nil"/>
              <w:bottom w:val="nil"/>
              <w:right w:val="nil"/>
            </w:tcBorders>
            <w:shd w:val="clear" w:color="auto" w:fill="auto"/>
            <w:noWrap/>
            <w:vAlign w:val="bottom"/>
            <w:hideMark/>
          </w:tcPr>
          <w:p w:rsidR="00A569A9" w:rsidRPr="008573C5" w:rsidRDefault="00A569A9" w:rsidP="00A7236B">
            <w:r w:rsidRPr="008573C5">
              <w:t>Quantitative forecast of performance for the next accounting year</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 xml:space="preserve">       </w:t>
            </w:r>
          </w:p>
        </w:tc>
        <w:tc>
          <w:tcPr>
            <w:tcW w:w="335"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A</w:t>
            </w:r>
          </w:p>
        </w:tc>
        <w:tc>
          <w:tcPr>
            <w:tcW w:w="460" w:type="dxa"/>
            <w:vAlign w:val="bottom"/>
          </w:tcPr>
          <w:p w:rsidR="00A569A9" w:rsidRPr="008573C5" w:rsidRDefault="00A569A9" w:rsidP="00A7236B">
            <w:pPr>
              <w:jc w:val="right"/>
              <w:rPr>
                <w:rFonts w:ascii="Calibri" w:hAnsi="Calibri"/>
                <w:sz w:val="22"/>
                <w:szCs w:val="22"/>
              </w:rPr>
            </w:pPr>
            <w:r w:rsidRPr="008573C5">
              <w:rPr>
                <w:rFonts w:ascii="Calibri" w:hAnsi="Calibri"/>
                <w:sz w:val="22"/>
                <w:szCs w:val="22"/>
              </w:rPr>
              <w:t>SA</w:t>
            </w:r>
          </w:p>
        </w:tc>
      </w:tr>
      <w:tr w:rsidR="00A569A9" w:rsidRPr="008573C5" w:rsidTr="00A7236B">
        <w:trPr>
          <w:trHeight w:val="315"/>
        </w:trPr>
        <w:tc>
          <w:tcPr>
            <w:tcW w:w="58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15</w:t>
            </w:r>
          </w:p>
        </w:tc>
        <w:tc>
          <w:tcPr>
            <w:tcW w:w="6420" w:type="dxa"/>
            <w:tcBorders>
              <w:top w:val="nil"/>
              <w:left w:val="nil"/>
              <w:bottom w:val="nil"/>
              <w:right w:val="nil"/>
            </w:tcBorders>
            <w:shd w:val="clear" w:color="auto" w:fill="auto"/>
            <w:noWrap/>
            <w:vAlign w:val="bottom"/>
            <w:hideMark/>
          </w:tcPr>
          <w:p w:rsidR="00A569A9" w:rsidRPr="008573C5" w:rsidRDefault="00A569A9" w:rsidP="00A7236B">
            <w:r w:rsidRPr="008573C5">
              <w:t>Corporate social responsibility information</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p>
        </w:tc>
        <w:tc>
          <w:tcPr>
            <w:tcW w:w="335"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A</w:t>
            </w:r>
          </w:p>
        </w:tc>
        <w:tc>
          <w:tcPr>
            <w:tcW w:w="460" w:type="dxa"/>
            <w:vAlign w:val="bottom"/>
          </w:tcPr>
          <w:p w:rsidR="00A569A9" w:rsidRPr="008573C5" w:rsidRDefault="00A569A9" w:rsidP="00A7236B">
            <w:pPr>
              <w:jc w:val="right"/>
              <w:rPr>
                <w:rFonts w:ascii="Calibri" w:hAnsi="Calibri"/>
                <w:sz w:val="22"/>
                <w:szCs w:val="22"/>
              </w:rPr>
            </w:pPr>
            <w:r w:rsidRPr="008573C5">
              <w:rPr>
                <w:rFonts w:ascii="Calibri" w:hAnsi="Calibri"/>
                <w:sz w:val="22"/>
                <w:szCs w:val="22"/>
              </w:rPr>
              <w:t>SA</w:t>
            </w:r>
          </w:p>
        </w:tc>
      </w:tr>
      <w:tr w:rsidR="00A569A9" w:rsidRPr="008573C5" w:rsidTr="00A7236B">
        <w:trPr>
          <w:trHeight w:val="315"/>
        </w:trPr>
        <w:tc>
          <w:tcPr>
            <w:tcW w:w="58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16</w:t>
            </w:r>
          </w:p>
        </w:tc>
        <w:tc>
          <w:tcPr>
            <w:tcW w:w="6420" w:type="dxa"/>
            <w:tcBorders>
              <w:top w:val="nil"/>
              <w:left w:val="nil"/>
              <w:bottom w:val="nil"/>
              <w:right w:val="nil"/>
            </w:tcBorders>
            <w:shd w:val="clear" w:color="auto" w:fill="auto"/>
            <w:noWrap/>
            <w:vAlign w:val="bottom"/>
            <w:hideMark/>
          </w:tcPr>
          <w:p w:rsidR="00A569A9" w:rsidRPr="008573C5" w:rsidRDefault="00A569A9" w:rsidP="00A7236B">
            <w:r w:rsidRPr="008573C5">
              <w:t>Corporate governance information</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p>
        </w:tc>
        <w:tc>
          <w:tcPr>
            <w:tcW w:w="335"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A</w:t>
            </w:r>
          </w:p>
        </w:tc>
        <w:tc>
          <w:tcPr>
            <w:tcW w:w="460" w:type="dxa"/>
            <w:vAlign w:val="bottom"/>
          </w:tcPr>
          <w:p w:rsidR="00A569A9" w:rsidRPr="008573C5" w:rsidRDefault="00A569A9" w:rsidP="00A7236B">
            <w:pPr>
              <w:jc w:val="right"/>
              <w:rPr>
                <w:rFonts w:ascii="Calibri" w:hAnsi="Calibri"/>
                <w:sz w:val="22"/>
                <w:szCs w:val="22"/>
              </w:rPr>
            </w:pPr>
            <w:r w:rsidRPr="008573C5">
              <w:rPr>
                <w:rFonts w:ascii="Calibri" w:hAnsi="Calibri"/>
                <w:sz w:val="22"/>
                <w:szCs w:val="22"/>
              </w:rPr>
              <w:t>SA</w:t>
            </w:r>
          </w:p>
        </w:tc>
      </w:tr>
      <w:tr w:rsidR="00A569A9" w:rsidRPr="008573C5" w:rsidTr="00A7236B">
        <w:trPr>
          <w:trHeight w:val="315"/>
        </w:trPr>
        <w:tc>
          <w:tcPr>
            <w:tcW w:w="58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17</w:t>
            </w:r>
          </w:p>
        </w:tc>
        <w:tc>
          <w:tcPr>
            <w:tcW w:w="6420" w:type="dxa"/>
            <w:tcBorders>
              <w:top w:val="nil"/>
              <w:left w:val="nil"/>
              <w:bottom w:val="nil"/>
              <w:right w:val="nil"/>
            </w:tcBorders>
            <w:shd w:val="clear" w:color="auto" w:fill="auto"/>
            <w:noWrap/>
            <w:vAlign w:val="bottom"/>
            <w:hideMark/>
          </w:tcPr>
          <w:p w:rsidR="00A569A9" w:rsidRPr="008573C5" w:rsidRDefault="00A569A9" w:rsidP="00A7236B">
            <w:r w:rsidRPr="008573C5">
              <w:t>Environmental liabilities and cost information</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p>
        </w:tc>
        <w:tc>
          <w:tcPr>
            <w:tcW w:w="335"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A</w:t>
            </w:r>
          </w:p>
        </w:tc>
        <w:tc>
          <w:tcPr>
            <w:tcW w:w="460" w:type="dxa"/>
            <w:vAlign w:val="bottom"/>
          </w:tcPr>
          <w:p w:rsidR="00A569A9" w:rsidRPr="008573C5" w:rsidRDefault="00A569A9" w:rsidP="00A7236B">
            <w:pPr>
              <w:jc w:val="right"/>
              <w:rPr>
                <w:rFonts w:ascii="Calibri" w:hAnsi="Calibri"/>
                <w:sz w:val="22"/>
                <w:szCs w:val="22"/>
              </w:rPr>
            </w:pPr>
            <w:r w:rsidRPr="008573C5">
              <w:rPr>
                <w:rFonts w:ascii="Calibri" w:hAnsi="Calibri"/>
                <w:sz w:val="22"/>
                <w:szCs w:val="22"/>
              </w:rPr>
              <w:t>SA</w:t>
            </w:r>
          </w:p>
        </w:tc>
      </w:tr>
      <w:tr w:rsidR="00A569A9" w:rsidRPr="008573C5" w:rsidTr="00A7236B">
        <w:trPr>
          <w:trHeight w:val="315"/>
        </w:trPr>
        <w:tc>
          <w:tcPr>
            <w:tcW w:w="58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18</w:t>
            </w:r>
          </w:p>
        </w:tc>
        <w:tc>
          <w:tcPr>
            <w:tcW w:w="6420" w:type="dxa"/>
            <w:tcBorders>
              <w:top w:val="nil"/>
              <w:left w:val="nil"/>
              <w:bottom w:val="nil"/>
              <w:right w:val="nil"/>
            </w:tcBorders>
            <w:shd w:val="clear" w:color="auto" w:fill="auto"/>
            <w:noWrap/>
            <w:vAlign w:val="bottom"/>
            <w:hideMark/>
          </w:tcPr>
          <w:p w:rsidR="00A569A9" w:rsidRPr="008573C5" w:rsidRDefault="00A569A9" w:rsidP="00A7236B">
            <w:r w:rsidRPr="008573C5">
              <w:t>Risk management information</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p>
        </w:tc>
        <w:tc>
          <w:tcPr>
            <w:tcW w:w="335"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A</w:t>
            </w:r>
          </w:p>
        </w:tc>
        <w:tc>
          <w:tcPr>
            <w:tcW w:w="460" w:type="dxa"/>
            <w:vAlign w:val="bottom"/>
          </w:tcPr>
          <w:p w:rsidR="00A569A9" w:rsidRPr="008573C5" w:rsidRDefault="00A569A9" w:rsidP="00A7236B">
            <w:pPr>
              <w:jc w:val="right"/>
              <w:rPr>
                <w:rFonts w:ascii="Calibri" w:hAnsi="Calibri"/>
                <w:sz w:val="22"/>
                <w:szCs w:val="22"/>
              </w:rPr>
            </w:pPr>
            <w:r w:rsidRPr="008573C5">
              <w:rPr>
                <w:rFonts w:ascii="Calibri" w:hAnsi="Calibri"/>
                <w:sz w:val="22"/>
                <w:szCs w:val="22"/>
              </w:rPr>
              <w:t>SA</w:t>
            </w:r>
          </w:p>
        </w:tc>
      </w:tr>
    </w:tbl>
    <w:p w:rsidR="00A569A9" w:rsidRPr="008573C5" w:rsidRDefault="00A569A9" w:rsidP="00A569A9"/>
    <w:p w:rsidR="00A569A9" w:rsidRPr="008573C5" w:rsidRDefault="00A569A9" w:rsidP="00A569A9">
      <w:pPr>
        <w:rPr>
          <w:b/>
        </w:rPr>
      </w:pPr>
      <w:r w:rsidRPr="008573C5">
        <w:rPr>
          <w:b/>
        </w:rPr>
        <w:t>Section D: Factors influencing the extent of disclosure by listed companies.</w:t>
      </w:r>
    </w:p>
    <w:p w:rsidR="00A569A9" w:rsidRPr="008573C5" w:rsidRDefault="00A569A9" w:rsidP="00A569A9"/>
    <w:p w:rsidR="00A569A9" w:rsidRPr="008573C5" w:rsidRDefault="00A569A9" w:rsidP="00A569A9">
      <w:r w:rsidRPr="008573C5">
        <w:t>The following factors are responsible for the extent of disclosure by listed companies.</w:t>
      </w:r>
    </w:p>
    <w:tbl>
      <w:tblPr>
        <w:tblW w:w="9025" w:type="dxa"/>
        <w:tblInd w:w="93" w:type="dxa"/>
        <w:tblLook w:val="04A0"/>
      </w:tblPr>
      <w:tblGrid>
        <w:gridCol w:w="580"/>
        <w:gridCol w:w="6420"/>
        <w:gridCol w:w="420"/>
        <w:gridCol w:w="453"/>
        <w:gridCol w:w="440"/>
        <w:gridCol w:w="460"/>
        <w:gridCol w:w="445"/>
      </w:tblGrid>
      <w:tr w:rsidR="00A569A9" w:rsidRPr="008573C5" w:rsidTr="00A7236B">
        <w:trPr>
          <w:trHeight w:val="315"/>
        </w:trPr>
        <w:tc>
          <w:tcPr>
            <w:tcW w:w="58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19</w:t>
            </w:r>
          </w:p>
        </w:tc>
        <w:tc>
          <w:tcPr>
            <w:tcW w:w="6420" w:type="dxa"/>
            <w:tcBorders>
              <w:top w:val="nil"/>
              <w:left w:val="nil"/>
              <w:bottom w:val="nil"/>
              <w:right w:val="nil"/>
            </w:tcBorders>
            <w:shd w:val="clear" w:color="auto" w:fill="auto"/>
            <w:noWrap/>
            <w:vAlign w:val="bottom"/>
            <w:hideMark/>
          </w:tcPr>
          <w:p w:rsidR="00A569A9" w:rsidRPr="008573C5" w:rsidRDefault="00A569A9" w:rsidP="00A7236B">
            <w:r w:rsidRPr="008573C5">
              <w:t>Company size</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ind w:right="-173"/>
              <w:jc w:val="center"/>
              <w:rPr>
                <w:rFonts w:ascii="Calibri" w:hAnsi="Calibri"/>
                <w:sz w:val="22"/>
                <w:szCs w:val="22"/>
              </w:rPr>
            </w:pPr>
          </w:p>
        </w:tc>
        <w:tc>
          <w:tcPr>
            <w:tcW w:w="245"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A</w:t>
            </w:r>
          </w:p>
        </w:tc>
        <w:tc>
          <w:tcPr>
            <w:tcW w:w="460" w:type="dxa"/>
            <w:vAlign w:val="bottom"/>
          </w:tcPr>
          <w:p w:rsidR="00A569A9" w:rsidRPr="008573C5" w:rsidRDefault="00A569A9" w:rsidP="00A7236B">
            <w:pPr>
              <w:jc w:val="right"/>
              <w:rPr>
                <w:rFonts w:ascii="Calibri" w:hAnsi="Calibri"/>
                <w:sz w:val="22"/>
                <w:szCs w:val="22"/>
              </w:rPr>
            </w:pPr>
            <w:r w:rsidRPr="008573C5">
              <w:rPr>
                <w:rFonts w:ascii="Calibri" w:hAnsi="Calibri"/>
                <w:sz w:val="22"/>
                <w:szCs w:val="22"/>
              </w:rPr>
              <w:t>SA</w:t>
            </w:r>
          </w:p>
        </w:tc>
      </w:tr>
      <w:tr w:rsidR="00A569A9" w:rsidRPr="008573C5" w:rsidTr="00A7236B">
        <w:trPr>
          <w:trHeight w:val="315"/>
        </w:trPr>
        <w:tc>
          <w:tcPr>
            <w:tcW w:w="58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20</w:t>
            </w:r>
          </w:p>
        </w:tc>
        <w:tc>
          <w:tcPr>
            <w:tcW w:w="6420" w:type="dxa"/>
            <w:tcBorders>
              <w:top w:val="nil"/>
              <w:left w:val="nil"/>
              <w:bottom w:val="nil"/>
              <w:right w:val="nil"/>
            </w:tcBorders>
            <w:shd w:val="clear" w:color="auto" w:fill="auto"/>
            <w:noWrap/>
            <w:vAlign w:val="bottom"/>
            <w:hideMark/>
          </w:tcPr>
          <w:p w:rsidR="00A569A9" w:rsidRPr="008573C5" w:rsidRDefault="00A569A9" w:rsidP="00A7236B">
            <w:r w:rsidRPr="008573C5">
              <w:t>Profitabililty</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p>
        </w:tc>
        <w:tc>
          <w:tcPr>
            <w:tcW w:w="245"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A</w:t>
            </w:r>
          </w:p>
        </w:tc>
        <w:tc>
          <w:tcPr>
            <w:tcW w:w="460" w:type="dxa"/>
            <w:vAlign w:val="bottom"/>
          </w:tcPr>
          <w:p w:rsidR="00A569A9" w:rsidRPr="008573C5" w:rsidRDefault="00A569A9" w:rsidP="00A7236B">
            <w:pPr>
              <w:jc w:val="right"/>
              <w:rPr>
                <w:rFonts w:ascii="Calibri" w:hAnsi="Calibri"/>
                <w:sz w:val="22"/>
                <w:szCs w:val="22"/>
              </w:rPr>
            </w:pPr>
            <w:r w:rsidRPr="008573C5">
              <w:rPr>
                <w:rFonts w:ascii="Calibri" w:hAnsi="Calibri"/>
                <w:sz w:val="22"/>
                <w:szCs w:val="22"/>
              </w:rPr>
              <w:t>SA</w:t>
            </w:r>
          </w:p>
        </w:tc>
      </w:tr>
      <w:tr w:rsidR="00A569A9" w:rsidRPr="008573C5" w:rsidTr="00A7236B">
        <w:trPr>
          <w:trHeight w:val="315"/>
        </w:trPr>
        <w:tc>
          <w:tcPr>
            <w:tcW w:w="58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21</w:t>
            </w:r>
          </w:p>
        </w:tc>
        <w:tc>
          <w:tcPr>
            <w:tcW w:w="6420" w:type="dxa"/>
            <w:tcBorders>
              <w:top w:val="nil"/>
              <w:left w:val="nil"/>
              <w:bottom w:val="nil"/>
              <w:right w:val="nil"/>
            </w:tcBorders>
            <w:shd w:val="clear" w:color="auto" w:fill="auto"/>
            <w:noWrap/>
            <w:vAlign w:val="bottom"/>
            <w:hideMark/>
          </w:tcPr>
          <w:p w:rsidR="00A569A9" w:rsidRPr="008573C5" w:rsidRDefault="00A569A9" w:rsidP="00A7236B">
            <w:r w:rsidRPr="008573C5">
              <w:t>Leverage</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p>
        </w:tc>
        <w:tc>
          <w:tcPr>
            <w:tcW w:w="245"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A</w:t>
            </w:r>
          </w:p>
        </w:tc>
        <w:tc>
          <w:tcPr>
            <w:tcW w:w="460" w:type="dxa"/>
            <w:vAlign w:val="bottom"/>
          </w:tcPr>
          <w:p w:rsidR="00A569A9" w:rsidRPr="008573C5" w:rsidRDefault="00A569A9" w:rsidP="00A7236B">
            <w:pPr>
              <w:jc w:val="right"/>
              <w:rPr>
                <w:rFonts w:ascii="Calibri" w:hAnsi="Calibri"/>
                <w:sz w:val="22"/>
                <w:szCs w:val="22"/>
              </w:rPr>
            </w:pPr>
            <w:r w:rsidRPr="008573C5">
              <w:rPr>
                <w:rFonts w:ascii="Calibri" w:hAnsi="Calibri"/>
                <w:sz w:val="22"/>
                <w:szCs w:val="22"/>
              </w:rPr>
              <w:t>SA</w:t>
            </w:r>
          </w:p>
        </w:tc>
      </w:tr>
      <w:tr w:rsidR="00A569A9" w:rsidRPr="008573C5" w:rsidTr="00A7236B">
        <w:trPr>
          <w:trHeight w:val="315"/>
        </w:trPr>
        <w:tc>
          <w:tcPr>
            <w:tcW w:w="58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22</w:t>
            </w:r>
          </w:p>
        </w:tc>
        <w:tc>
          <w:tcPr>
            <w:tcW w:w="6420" w:type="dxa"/>
            <w:tcBorders>
              <w:top w:val="nil"/>
              <w:left w:val="nil"/>
              <w:bottom w:val="nil"/>
              <w:right w:val="nil"/>
            </w:tcBorders>
            <w:shd w:val="clear" w:color="auto" w:fill="auto"/>
            <w:noWrap/>
            <w:vAlign w:val="bottom"/>
            <w:hideMark/>
          </w:tcPr>
          <w:p w:rsidR="00A569A9" w:rsidRPr="008573C5" w:rsidRDefault="00A569A9" w:rsidP="00A7236B">
            <w:r w:rsidRPr="008573C5">
              <w:t>Company age</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p>
        </w:tc>
        <w:tc>
          <w:tcPr>
            <w:tcW w:w="245"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A</w:t>
            </w:r>
          </w:p>
        </w:tc>
        <w:tc>
          <w:tcPr>
            <w:tcW w:w="460" w:type="dxa"/>
            <w:vAlign w:val="bottom"/>
          </w:tcPr>
          <w:p w:rsidR="00A569A9" w:rsidRPr="008573C5" w:rsidRDefault="00A569A9" w:rsidP="00A7236B">
            <w:pPr>
              <w:jc w:val="right"/>
              <w:rPr>
                <w:rFonts w:ascii="Calibri" w:hAnsi="Calibri"/>
                <w:sz w:val="22"/>
                <w:szCs w:val="22"/>
              </w:rPr>
            </w:pPr>
            <w:r w:rsidRPr="008573C5">
              <w:rPr>
                <w:rFonts w:ascii="Calibri" w:hAnsi="Calibri"/>
                <w:sz w:val="22"/>
                <w:szCs w:val="22"/>
              </w:rPr>
              <w:t>SA</w:t>
            </w:r>
          </w:p>
        </w:tc>
      </w:tr>
      <w:tr w:rsidR="00A569A9" w:rsidRPr="008573C5" w:rsidTr="00A7236B">
        <w:trPr>
          <w:trHeight w:val="315"/>
        </w:trPr>
        <w:tc>
          <w:tcPr>
            <w:tcW w:w="58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23</w:t>
            </w:r>
          </w:p>
        </w:tc>
        <w:tc>
          <w:tcPr>
            <w:tcW w:w="6420" w:type="dxa"/>
            <w:tcBorders>
              <w:top w:val="nil"/>
              <w:left w:val="nil"/>
              <w:bottom w:val="nil"/>
              <w:right w:val="nil"/>
            </w:tcBorders>
            <w:shd w:val="clear" w:color="auto" w:fill="auto"/>
            <w:noWrap/>
            <w:vAlign w:val="bottom"/>
            <w:hideMark/>
          </w:tcPr>
          <w:p w:rsidR="00A569A9" w:rsidRPr="008573C5" w:rsidRDefault="00A569A9" w:rsidP="00A7236B">
            <w:r w:rsidRPr="008573C5">
              <w:t>Industry type</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p>
        </w:tc>
        <w:tc>
          <w:tcPr>
            <w:tcW w:w="245"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SD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A</w:t>
            </w:r>
          </w:p>
        </w:tc>
        <w:tc>
          <w:tcPr>
            <w:tcW w:w="460" w:type="dxa"/>
            <w:vAlign w:val="bottom"/>
          </w:tcPr>
          <w:p w:rsidR="00A569A9" w:rsidRPr="008573C5" w:rsidRDefault="00A569A9" w:rsidP="00A7236B">
            <w:pPr>
              <w:jc w:val="right"/>
              <w:rPr>
                <w:rFonts w:ascii="Calibri" w:hAnsi="Calibri"/>
                <w:sz w:val="22"/>
                <w:szCs w:val="22"/>
              </w:rPr>
            </w:pPr>
            <w:r w:rsidRPr="008573C5">
              <w:rPr>
                <w:rFonts w:ascii="Calibri" w:hAnsi="Calibri"/>
                <w:sz w:val="22"/>
                <w:szCs w:val="22"/>
              </w:rPr>
              <w:t>SA</w:t>
            </w:r>
          </w:p>
        </w:tc>
      </w:tr>
      <w:tr w:rsidR="00A569A9" w:rsidRPr="008573C5" w:rsidTr="00A7236B">
        <w:trPr>
          <w:trHeight w:val="315"/>
        </w:trPr>
        <w:tc>
          <w:tcPr>
            <w:tcW w:w="58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24</w:t>
            </w:r>
          </w:p>
        </w:tc>
        <w:tc>
          <w:tcPr>
            <w:tcW w:w="642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pPr>
            <w:r w:rsidRPr="008573C5">
              <w:t>Size of external audit firm</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p>
        </w:tc>
        <w:tc>
          <w:tcPr>
            <w:tcW w:w="245"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A</w:t>
            </w:r>
          </w:p>
        </w:tc>
        <w:tc>
          <w:tcPr>
            <w:tcW w:w="460" w:type="dxa"/>
            <w:vAlign w:val="bottom"/>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SA</w:t>
            </w:r>
          </w:p>
        </w:tc>
      </w:tr>
      <w:tr w:rsidR="00A569A9" w:rsidRPr="008573C5" w:rsidTr="00A7236B">
        <w:trPr>
          <w:trHeight w:val="315"/>
        </w:trPr>
        <w:tc>
          <w:tcPr>
            <w:tcW w:w="58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25</w:t>
            </w:r>
          </w:p>
        </w:tc>
        <w:tc>
          <w:tcPr>
            <w:tcW w:w="642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pPr>
            <w:r w:rsidRPr="008573C5">
              <w:t>Multinational affiliation</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p>
        </w:tc>
        <w:tc>
          <w:tcPr>
            <w:tcW w:w="245"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A</w:t>
            </w:r>
          </w:p>
        </w:tc>
        <w:tc>
          <w:tcPr>
            <w:tcW w:w="460" w:type="dxa"/>
            <w:vAlign w:val="bottom"/>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SA</w:t>
            </w:r>
          </w:p>
        </w:tc>
      </w:tr>
      <w:tr w:rsidR="00A569A9" w:rsidRPr="008573C5" w:rsidTr="00A7236B">
        <w:trPr>
          <w:trHeight w:val="315"/>
        </w:trPr>
        <w:tc>
          <w:tcPr>
            <w:tcW w:w="58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26</w:t>
            </w:r>
          </w:p>
        </w:tc>
        <w:tc>
          <w:tcPr>
            <w:tcW w:w="642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pPr>
            <w:r w:rsidRPr="008573C5">
              <w:t>Inadequate training of preparers</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p>
        </w:tc>
        <w:tc>
          <w:tcPr>
            <w:tcW w:w="245"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A</w:t>
            </w:r>
          </w:p>
        </w:tc>
        <w:tc>
          <w:tcPr>
            <w:tcW w:w="460" w:type="dxa"/>
            <w:vAlign w:val="bottom"/>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SA</w:t>
            </w:r>
          </w:p>
        </w:tc>
      </w:tr>
      <w:tr w:rsidR="00A569A9" w:rsidRPr="008573C5" w:rsidTr="00A7236B">
        <w:trPr>
          <w:trHeight w:val="315"/>
        </w:trPr>
        <w:tc>
          <w:tcPr>
            <w:tcW w:w="58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27</w:t>
            </w:r>
          </w:p>
        </w:tc>
        <w:tc>
          <w:tcPr>
            <w:tcW w:w="642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pPr>
            <w:r w:rsidRPr="008573C5">
              <w:t>Poor audit quality by external auditors</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p>
        </w:tc>
        <w:tc>
          <w:tcPr>
            <w:tcW w:w="245"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A</w:t>
            </w:r>
          </w:p>
        </w:tc>
        <w:tc>
          <w:tcPr>
            <w:tcW w:w="460" w:type="dxa"/>
            <w:vAlign w:val="bottom"/>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SA</w:t>
            </w:r>
          </w:p>
        </w:tc>
      </w:tr>
      <w:tr w:rsidR="00A569A9" w:rsidRPr="008573C5" w:rsidTr="00A7236B">
        <w:trPr>
          <w:trHeight w:val="315"/>
        </w:trPr>
        <w:tc>
          <w:tcPr>
            <w:tcW w:w="58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28</w:t>
            </w:r>
          </w:p>
        </w:tc>
        <w:tc>
          <w:tcPr>
            <w:tcW w:w="642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pPr>
            <w:r w:rsidRPr="008573C5">
              <w:t>Ine</w:t>
            </w:r>
            <w:r w:rsidRPr="008573C5">
              <w:rPr>
                <w:sz w:val="23"/>
                <w:szCs w:val="23"/>
              </w:rPr>
              <w:t>ffective and inefficient monitoring mechanisms</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p>
        </w:tc>
        <w:tc>
          <w:tcPr>
            <w:tcW w:w="245"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A</w:t>
            </w:r>
          </w:p>
        </w:tc>
        <w:tc>
          <w:tcPr>
            <w:tcW w:w="460" w:type="dxa"/>
            <w:vAlign w:val="bottom"/>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SA</w:t>
            </w:r>
          </w:p>
        </w:tc>
      </w:tr>
      <w:tr w:rsidR="00A569A9" w:rsidRPr="008573C5" w:rsidTr="00A7236B">
        <w:trPr>
          <w:trHeight w:val="315"/>
        </w:trPr>
        <w:tc>
          <w:tcPr>
            <w:tcW w:w="58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29</w:t>
            </w:r>
          </w:p>
        </w:tc>
        <w:tc>
          <w:tcPr>
            <w:tcW w:w="642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pPr>
            <w:r w:rsidRPr="008573C5">
              <w:t>Inadequate sanctions to deter non-compliance</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p>
        </w:tc>
        <w:tc>
          <w:tcPr>
            <w:tcW w:w="245"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A</w:t>
            </w:r>
          </w:p>
        </w:tc>
        <w:tc>
          <w:tcPr>
            <w:tcW w:w="460" w:type="dxa"/>
            <w:vAlign w:val="bottom"/>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SA</w:t>
            </w:r>
          </w:p>
        </w:tc>
      </w:tr>
      <w:tr w:rsidR="00A569A9" w:rsidRPr="008573C5" w:rsidTr="00A7236B">
        <w:trPr>
          <w:trHeight w:val="315"/>
        </w:trPr>
        <w:tc>
          <w:tcPr>
            <w:tcW w:w="58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30</w:t>
            </w:r>
          </w:p>
        </w:tc>
        <w:tc>
          <w:tcPr>
            <w:tcW w:w="642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pPr>
            <w:r w:rsidRPr="008573C5">
              <w:t>Cumbersome accounting standards</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p>
        </w:tc>
        <w:tc>
          <w:tcPr>
            <w:tcW w:w="245"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SD</w:t>
            </w:r>
          </w:p>
        </w:tc>
        <w:tc>
          <w:tcPr>
            <w:tcW w:w="44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A</w:t>
            </w:r>
          </w:p>
        </w:tc>
        <w:tc>
          <w:tcPr>
            <w:tcW w:w="460" w:type="dxa"/>
            <w:vAlign w:val="bottom"/>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SA</w:t>
            </w:r>
          </w:p>
        </w:tc>
      </w:tr>
    </w:tbl>
    <w:p w:rsidR="00A569A9" w:rsidRPr="008573C5" w:rsidRDefault="00A569A9" w:rsidP="00A569A9">
      <w:pPr>
        <w:tabs>
          <w:tab w:val="left" w:pos="7290"/>
        </w:tabs>
      </w:pPr>
    </w:p>
    <w:p w:rsidR="00A569A9" w:rsidRPr="008573C5" w:rsidRDefault="00A569A9" w:rsidP="00A569A9">
      <w:pPr>
        <w:tabs>
          <w:tab w:val="left" w:pos="7290"/>
        </w:tabs>
        <w:rPr>
          <w:b/>
        </w:rPr>
      </w:pPr>
    </w:p>
    <w:p w:rsidR="00A569A9" w:rsidRPr="008573C5" w:rsidRDefault="00A569A9" w:rsidP="00A569A9">
      <w:pPr>
        <w:tabs>
          <w:tab w:val="left" w:pos="7290"/>
        </w:tabs>
        <w:rPr>
          <w:b/>
        </w:rPr>
      </w:pPr>
    </w:p>
    <w:p w:rsidR="00A569A9" w:rsidRPr="008573C5" w:rsidRDefault="00A569A9" w:rsidP="00A569A9">
      <w:pPr>
        <w:tabs>
          <w:tab w:val="left" w:pos="7290"/>
        </w:tabs>
        <w:rPr>
          <w:b/>
        </w:rPr>
      </w:pPr>
    </w:p>
    <w:p w:rsidR="00A569A9" w:rsidRPr="008573C5" w:rsidRDefault="00A569A9" w:rsidP="00A569A9">
      <w:pPr>
        <w:tabs>
          <w:tab w:val="left" w:pos="7290"/>
        </w:tabs>
        <w:rPr>
          <w:b/>
        </w:rPr>
      </w:pPr>
    </w:p>
    <w:p w:rsidR="00A569A9" w:rsidRPr="008573C5" w:rsidRDefault="00A569A9" w:rsidP="00A569A9">
      <w:pPr>
        <w:tabs>
          <w:tab w:val="left" w:pos="7290"/>
        </w:tabs>
        <w:rPr>
          <w:b/>
        </w:rPr>
      </w:pPr>
    </w:p>
    <w:p w:rsidR="00A569A9" w:rsidRPr="008573C5" w:rsidRDefault="00A569A9" w:rsidP="00A569A9">
      <w:pPr>
        <w:tabs>
          <w:tab w:val="left" w:pos="7290"/>
        </w:tabs>
        <w:rPr>
          <w:b/>
        </w:rPr>
      </w:pPr>
    </w:p>
    <w:p w:rsidR="00A569A9" w:rsidRPr="008573C5" w:rsidRDefault="00A569A9" w:rsidP="00A569A9">
      <w:pPr>
        <w:tabs>
          <w:tab w:val="left" w:pos="7290"/>
        </w:tabs>
        <w:rPr>
          <w:b/>
        </w:rPr>
      </w:pPr>
    </w:p>
    <w:p w:rsidR="00A569A9" w:rsidRPr="008573C5" w:rsidRDefault="00A569A9" w:rsidP="00A569A9">
      <w:pPr>
        <w:tabs>
          <w:tab w:val="left" w:pos="7290"/>
        </w:tabs>
        <w:rPr>
          <w:b/>
        </w:rPr>
      </w:pPr>
    </w:p>
    <w:p w:rsidR="00A569A9" w:rsidRPr="008573C5" w:rsidRDefault="00A569A9" w:rsidP="00A569A9">
      <w:pPr>
        <w:tabs>
          <w:tab w:val="left" w:pos="7290"/>
        </w:tabs>
        <w:rPr>
          <w:b/>
        </w:rPr>
      </w:pPr>
    </w:p>
    <w:p w:rsidR="00A569A9" w:rsidRPr="008573C5" w:rsidRDefault="00A569A9" w:rsidP="00A569A9">
      <w:pPr>
        <w:tabs>
          <w:tab w:val="left" w:pos="7290"/>
        </w:tabs>
        <w:rPr>
          <w:b/>
        </w:rPr>
      </w:pPr>
      <w:r w:rsidRPr="008573C5">
        <w:rPr>
          <w:b/>
        </w:rPr>
        <w:t>Section E: Consequences of non-compliance with disclosure requirements of the accounting standards.</w:t>
      </w:r>
    </w:p>
    <w:tbl>
      <w:tblPr>
        <w:tblW w:w="9209" w:type="dxa"/>
        <w:tblInd w:w="93" w:type="dxa"/>
        <w:tblLook w:val="04A0"/>
      </w:tblPr>
      <w:tblGrid>
        <w:gridCol w:w="580"/>
        <w:gridCol w:w="5749"/>
        <w:gridCol w:w="420"/>
        <w:gridCol w:w="453"/>
        <w:gridCol w:w="185"/>
        <w:gridCol w:w="453"/>
        <w:gridCol w:w="460"/>
        <w:gridCol w:w="460"/>
        <w:gridCol w:w="449"/>
      </w:tblGrid>
      <w:tr w:rsidR="00A569A9" w:rsidRPr="008573C5" w:rsidTr="00A7236B">
        <w:trPr>
          <w:trHeight w:val="630"/>
        </w:trPr>
        <w:tc>
          <w:tcPr>
            <w:tcW w:w="58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31</w:t>
            </w:r>
          </w:p>
        </w:tc>
        <w:tc>
          <w:tcPr>
            <w:tcW w:w="5934" w:type="dxa"/>
            <w:tcBorders>
              <w:top w:val="nil"/>
              <w:left w:val="nil"/>
              <w:bottom w:val="nil"/>
              <w:right w:val="nil"/>
            </w:tcBorders>
            <w:shd w:val="clear" w:color="auto" w:fill="auto"/>
            <w:vAlign w:val="bottom"/>
            <w:hideMark/>
          </w:tcPr>
          <w:p w:rsidR="00A569A9" w:rsidRPr="008573C5" w:rsidRDefault="00A569A9" w:rsidP="00A7236B">
            <w:pPr>
              <w:tabs>
                <w:tab w:val="left" w:pos="7290"/>
              </w:tabs>
            </w:pPr>
            <w:r w:rsidRPr="008573C5">
              <w:t>Failure of some Nigerian listed companies is due to partial or non-disclosure of relevant accounting information.</w:t>
            </w:r>
          </w:p>
        </w:tc>
        <w:tc>
          <w:tcPr>
            <w:tcW w:w="1058" w:type="dxa"/>
            <w:gridSpan w:val="3"/>
            <w:tcBorders>
              <w:top w:val="nil"/>
              <w:left w:val="nil"/>
              <w:bottom w:val="nil"/>
              <w:right w:val="nil"/>
            </w:tcBorders>
            <w:shd w:val="clear" w:color="auto" w:fill="auto"/>
            <w:noWrap/>
            <w:vAlign w:val="bottom"/>
            <w:hideMark/>
          </w:tcPr>
          <w:p w:rsidR="00A569A9" w:rsidRPr="008573C5" w:rsidRDefault="00A569A9" w:rsidP="00A7236B">
            <w:pPr>
              <w:tabs>
                <w:tab w:val="left" w:pos="7290"/>
              </w:tabs>
              <w:ind w:right="-375"/>
              <w:jc w:val="right"/>
              <w:rPr>
                <w:rFonts w:ascii="Calibri" w:hAnsi="Calibri"/>
                <w:sz w:val="22"/>
                <w:szCs w:val="22"/>
              </w:rPr>
            </w:pPr>
            <w:r w:rsidRPr="008573C5">
              <w:rPr>
                <w:rFonts w:ascii="Calibri" w:hAnsi="Calibri"/>
                <w:sz w:val="22"/>
                <w:szCs w:val="22"/>
              </w:rPr>
              <w:t>SD</w:t>
            </w:r>
          </w:p>
        </w:tc>
        <w:tc>
          <w:tcPr>
            <w:tcW w:w="268"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A</w:t>
            </w:r>
          </w:p>
        </w:tc>
        <w:tc>
          <w:tcPr>
            <w:tcW w:w="449" w:type="dxa"/>
            <w:vAlign w:val="bottom"/>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SA</w:t>
            </w:r>
          </w:p>
        </w:tc>
      </w:tr>
      <w:tr w:rsidR="00A569A9" w:rsidRPr="008573C5" w:rsidTr="00A7236B">
        <w:trPr>
          <w:trHeight w:val="630"/>
        </w:trPr>
        <w:tc>
          <w:tcPr>
            <w:tcW w:w="58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32</w:t>
            </w:r>
          </w:p>
        </w:tc>
        <w:tc>
          <w:tcPr>
            <w:tcW w:w="5934" w:type="dxa"/>
            <w:tcBorders>
              <w:top w:val="nil"/>
              <w:left w:val="nil"/>
              <w:bottom w:val="nil"/>
              <w:right w:val="nil"/>
            </w:tcBorders>
            <w:shd w:val="clear" w:color="auto" w:fill="auto"/>
            <w:vAlign w:val="bottom"/>
            <w:hideMark/>
          </w:tcPr>
          <w:p w:rsidR="00A569A9" w:rsidRPr="008573C5" w:rsidRDefault="00A569A9" w:rsidP="00A7236B">
            <w:r w:rsidRPr="008573C5">
              <w:t>Partial or non-disclosure of relevant accounting information impedes investors’ decisions.</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p>
        </w:tc>
        <w:tc>
          <w:tcPr>
            <w:tcW w:w="453"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ind w:left="-669" w:firstLine="86"/>
              <w:jc w:val="right"/>
              <w:rPr>
                <w:rFonts w:ascii="Calibri" w:hAnsi="Calibri"/>
                <w:sz w:val="22"/>
                <w:szCs w:val="22"/>
              </w:rPr>
            </w:pPr>
          </w:p>
        </w:tc>
        <w:tc>
          <w:tcPr>
            <w:tcW w:w="453" w:type="dxa"/>
            <w:gridSpan w:val="2"/>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D</w:t>
            </w:r>
          </w:p>
        </w:tc>
        <w:tc>
          <w:tcPr>
            <w:tcW w:w="460" w:type="dxa"/>
            <w:vAlign w:val="bottom"/>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A</w:t>
            </w:r>
          </w:p>
        </w:tc>
        <w:tc>
          <w:tcPr>
            <w:tcW w:w="449" w:type="dxa"/>
            <w:vAlign w:val="bottom"/>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SA</w:t>
            </w:r>
          </w:p>
        </w:tc>
      </w:tr>
      <w:tr w:rsidR="00A569A9" w:rsidRPr="008573C5" w:rsidTr="00A7236B">
        <w:trPr>
          <w:trHeight w:val="630"/>
        </w:trPr>
        <w:tc>
          <w:tcPr>
            <w:tcW w:w="58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33</w:t>
            </w:r>
          </w:p>
        </w:tc>
        <w:tc>
          <w:tcPr>
            <w:tcW w:w="5934" w:type="dxa"/>
            <w:tcBorders>
              <w:top w:val="nil"/>
              <w:left w:val="nil"/>
              <w:bottom w:val="nil"/>
              <w:right w:val="nil"/>
            </w:tcBorders>
            <w:shd w:val="clear" w:color="auto" w:fill="auto"/>
            <w:vAlign w:val="bottom"/>
            <w:hideMark/>
          </w:tcPr>
          <w:p w:rsidR="00A569A9" w:rsidRPr="008573C5" w:rsidRDefault="00A569A9" w:rsidP="00A7236B">
            <w:r w:rsidRPr="008573C5">
              <w:t>Ensuring full disclosure of relevant accounting standards circumvents fraud.</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p>
        </w:tc>
        <w:tc>
          <w:tcPr>
            <w:tcW w:w="453"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p>
        </w:tc>
        <w:tc>
          <w:tcPr>
            <w:tcW w:w="453" w:type="dxa"/>
            <w:gridSpan w:val="2"/>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D</w:t>
            </w:r>
          </w:p>
        </w:tc>
        <w:tc>
          <w:tcPr>
            <w:tcW w:w="460" w:type="dxa"/>
            <w:vAlign w:val="bottom"/>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A</w:t>
            </w:r>
          </w:p>
        </w:tc>
        <w:tc>
          <w:tcPr>
            <w:tcW w:w="449" w:type="dxa"/>
            <w:vAlign w:val="bottom"/>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SA</w:t>
            </w:r>
          </w:p>
        </w:tc>
      </w:tr>
      <w:tr w:rsidR="00A569A9" w:rsidRPr="008573C5" w:rsidTr="00A7236B">
        <w:trPr>
          <w:trHeight w:val="630"/>
        </w:trPr>
        <w:tc>
          <w:tcPr>
            <w:tcW w:w="58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34</w:t>
            </w:r>
          </w:p>
        </w:tc>
        <w:tc>
          <w:tcPr>
            <w:tcW w:w="5934" w:type="dxa"/>
            <w:tcBorders>
              <w:top w:val="nil"/>
              <w:left w:val="nil"/>
              <w:bottom w:val="nil"/>
              <w:right w:val="nil"/>
            </w:tcBorders>
            <w:shd w:val="clear" w:color="auto" w:fill="auto"/>
            <w:vAlign w:val="bottom"/>
            <w:hideMark/>
          </w:tcPr>
          <w:p w:rsidR="00A569A9" w:rsidRPr="008573C5" w:rsidRDefault="00A569A9" w:rsidP="00A7236B">
            <w:r w:rsidRPr="008573C5">
              <w:t>Partial or non-disclosure of relevant accounting information limits prudent allocation of resources.</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p>
        </w:tc>
        <w:tc>
          <w:tcPr>
            <w:tcW w:w="453"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p>
        </w:tc>
        <w:tc>
          <w:tcPr>
            <w:tcW w:w="453" w:type="dxa"/>
            <w:gridSpan w:val="2"/>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D</w:t>
            </w:r>
          </w:p>
        </w:tc>
        <w:tc>
          <w:tcPr>
            <w:tcW w:w="460" w:type="dxa"/>
            <w:vAlign w:val="bottom"/>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A</w:t>
            </w:r>
          </w:p>
        </w:tc>
        <w:tc>
          <w:tcPr>
            <w:tcW w:w="449" w:type="dxa"/>
            <w:vAlign w:val="bottom"/>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SA</w:t>
            </w:r>
          </w:p>
        </w:tc>
      </w:tr>
      <w:tr w:rsidR="00A569A9" w:rsidRPr="008573C5" w:rsidTr="00A7236B">
        <w:trPr>
          <w:trHeight w:val="630"/>
        </w:trPr>
        <w:tc>
          <w:tcPr>
            <w:tcW w:w="58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r w:rsidRPr="008573C5">
              <w:rPr>
                <w:rFonts w:ascii="Calibri" w:hAnsi="Calibri"/>
                <w:sz w:val="22"/>
                <w:szCs w:val="22"/>
              </w:rPr>
              <w:t>35</w:t>
            </w:r>
          </w:p>
        </w:tc>
        <w:tc>
          <w:tcPr>
            <w:tcW w:w="5934" w:type="dxa"/>
            <w:tcBorders>
              <w:top w:val="nil"/>
              <w:left w:val="nil"/>
              <w:bottom w:val="nil"/>
              <w:right w:val="nil"/>
            </w:tcBorders>
            <w:shd w:val="clear" w:color="auto" w:fill="auto"/>
            <w:vAlign w:val="bottom"/>
            <w:hideMark/>
          </w:tcPr>
          <w:p w:rsidR="00A569A9" w:rsidRPr="008573C5" w:rsidRDefault="00A569A9" w:rsidP="00A7236B">
            <w:r w:rsidRPr="008573C5">
              <w:t>Partial or non-disclosure of relevant accounting information erodes investors' confidence.</w:t>
            </w:r>
          </w:p>
        </w:tc>
        <w:tc>
          <w:tcPr>
            <w:tcW w:w="420" w:type="dxa"/>
            <w:tcBorders>
              <w:top w:val="nil"/>
              <w:left w:val="nil"/>
              <w:bottom w:val="nil"/>
              <w:right w:val="nil"/>
            </w:tcBorders>
            <w:shd w:val="clear" w:color="auto" w:fill="auto"/>
            <w:noWrap/>
            <w:vAlign w:val="bottom"/>
            <w:hideMark/>
          </w:tcPr>
          <w:p w:rsidR="00A569A9" w:rsidRPr="008573C5" w:rsidRDefault="00A569A9" w:rsidP="00A7236B">
            <w:pPr>
              <w:jc w:val="right"/>
              <w:rPr>
                <w:rFonts w:ascii="Calibri" w:hAnsi="Calibri"/>
                <w:sz w:val="22"/>
                <w:szCs w:val="22"/>
              </w:rPr>
            </w:pPr>
          </w:p>
        </w:tc>
        <w:tc>
          <w:tcPr>
            <w:tcW w:w="453"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p>
        </w:tc>
        <w:tc>
          <w:tcPr>
            <w:tcW w:w="453" w:type="dxa"/>
            <w:gridSpan w:val="2"/>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SD</w:t>
            </w:r>
          </w:p>
        </w:tc>
        <w:tc>
          <w:tcPr>
            <w:tcW w:w="460" w:type="dxa"/>
            <w:tcBorders>
              <w:top w:val="nil"/>
              <w:left w:val="nil"/>
              <w:bottom w:val="nil"/>
              <w:right w:val="nil"/>
            </w:tcBorders>
            <w:shd w:val="clear" w:color="auto" w:fill="auto"/>
            <w:noWrap/>
            <w:vAlign w:val="bottom"/>
            <w:hideMark/>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D</w:t>
            </w:r>
          </w:p>
        </w:tc>
        <w:tc>
          <w:tcPr>
            <w:tcW w:w="460" w:type="dxa"/>
            <w:vAlign w:val="bottom"/>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A</w:t>
            </w:r>
          </w:p>
        </w:tc>
        <w:tc>
          <w:tcPr>
            <w:tcW w:w="449" w:type="dxa"/>
            <w:vAlign w:val="bottom"/>
          </w:tcPr>
          <w:p w:rsidR="00A569A9" w:rsidRPr="008573C5" w:rsidRDefault="00A569A9" w:rsidP="00A7236B">
            <w:pPr>
              <w:tabs>
                <w:tab w:val="left" w:pos="7290"/>
              </w:tabs>
              <w:jc w:val="right"/>
              <w:rPr>
                <w:rFonts w:ascii="Calibri" w:hAnsi="Calibri"/>
                <w:sz w:val="22"/>
                <w:szCs w:val="22"/>
              </w:rPr>
            </w:pPr>
            <w:r w:rsidRPr="008573C5">
              <w:rPr>
                <w:rFonts w:ascii="Calibri" w:hAnsi="Calibri"/>
                <w:sz w:val="22"/>
                <w:szCs w:val="22"/>
              </w:rPr>
              <w:t>SA</w:t>
            </w:r>
          </w:p>
        </w:tc>
      </w:tr>
    </w:tbl>
    <w:p w:rsidR="00A569A9" w:rsidRPr="008573C5" w:rsidRDefault="00A569A9" w:rsidP="00A569A9"/>
    <w:p w:rsidR="00A569A9" w:rsidRPr="008573C5" w:rsidRDefault="00A569A9" w:rsidP="00A569A9"/>
    <w:p w:rsidR="00A569A9" w:rsidRDefault="00A569A9" w:rsidP="00A569A9"/>
    <w:p w:rsidR="005E7FBD" w:rsidRDefault="005E7FBD" w:rsidP="00A569A9"/>
    <w:p w:rsidR="005E7FBD" w:rsidRDefault="005E7FBD" w:rsidP="00A569A9"/>
    <w:p w:rsidR="005E7FBD" w:rsidRDefault="005E7FBD" w:rsidP="00A569A9"/>
    <w:p w:rsidR="005E7FBD" w:rsidRDefault="005E7FBD" w:rsidP="00A569A9"/>
    <w:p w:rsidR="005E7FBD" w:rsidRDefault="005E7FBD" w:rsidP="00A569A9"/>
    <w:p w:rsidR="005E7FBD" w:rsidRDefault="005E7FBD" w:rsidP="00A569A9"/>
    <w:p w:rsidR="005E7FBD" w:rsidRDefault="005E7FBD" w:rsidP="00A569A9"/>
    <w:p w:rsidR="005E7FBD" w:rsidRDefault="005E7FBD" w:rsidP="00A569A9"/>
    <w:p w:rsidR="005E7FBD" w:rsidRDefault="005E7FBD" w:rsidP="00A569A9"/>
    <w:p w:rsidR="005E7FBD" w:rsidRDefault="005E7FBD" w:rsidP="00A569A9"/>
    <w:p w:rsidR="005E7FBD" w:rsidRDefault="005E7FBD" w:rsidP="00A569A9"/>
    <w:p w:rsidR="005E7FBD" w:rsidRDefault="005E7FBD" w:rsidP="00A569A9"/>
    <w:p w:rsidR="005E7FBD" w:rsidRPr="008573C5" w:rsidRDefault="005E7FBD" w:rsidP="00A569A9"/>
    <w:p w:rsidR="00F245A8" w:rsidRPr="008573C5" w:rsidRDefault="00F245A8" w:rsidP="0042324A"/>
    <w:p w:rsidR="00F245A8" w:rsidRPr="008573C5" w:rsidRDefault="00F245A8" w:rsidP="0042324A"/>
    <w:p w:rsidR="00F245A8" w:rsidRPr="008573C5" w:rsidRDefault="00F245A8" w:rsidP="0042324A"/>
    <w:p w:rsidR="00F245A8" w:rsidRPr="008573C5" w:rsidRDefault="00F245A8" w:rsidP="0042324A"/>
    <w:p w:rsidR="00F245A8" w:rsidRPr="008573C5" w:rsidRDefault="00F245A8" w:rsidP="0042324A"/>
    <w:p w:rsidR="00F245A8" w:rsidRPr="008573C5" w:rsidRDefault="00F245A8" w:rsidP="0042324A"/>
    <w:p w:rsidR="00270AAA" w:rsidRPr="008573C5" w:rsidRDefault="00270AAA" w:rsidP="0042324A"/>
    <w:p w:rsidR="00270AAA" w:rsidRPr="008573C5" w:rsidRDefault="00270AAA" w:rsidP="0042324A"/>
    <w:p w:rsidR="00F245A8" w:rsidRPr="008573C5" w:rsidRDefault="00F245A8" w:rsidP="0042324A"/>
    <w:p w:rsidR="00F245A8" w:rsidRPr="008573C5" w:rsidRDefault="00F245A8" w:rsidP="0042324A"/>
    <w:p w:rsidR="00F245A8" w:rsidRPr="008573C5" w:rsidRDefault="00F245A8" w:rsidP="0042324A"/>
    <w:p w:rsidR="00F245A8" w:rsidRPr="008573C5" w:rsidRDefault="00F245A8" w:rsidP="0042324A"/>
    <w:p w:rsidR="00F245A8" w:rsidRPr="008573C5" w:rsidRDefault="00F245A8" w:rsidP="0042324A"/>
    <w:p w:rsidR="00F245A8" w:rsidRPr="008573C5" w:rsidRDefault="00F245A8" w:rsidP="0042324A"/>
    <w:p w:rsidR="00F245A8" w:rsidRPr="008573C5" w:rsidRDefault="00F245A8" w:rsidP="0042324A"/>
    <w:p w:rsidR="00176987" w:rsidRPr="005E7FBD" w:rsidRDefault="00176987" w:rsidP="00176987">
      <w:pPr>
        <w:jc w:val="center"/>
        <w:rPr>
          <w:b/>
          <w:sz w:val="32"/>
          <w:szCs w:val="32"/>
        </w:rPr>
      </w:pPr>
      <w:r w:rsidRPr="005E7FBD">
        <w:rPr>
          <w:b/>
          <w:sz w:val="32"/>
          <w:szCs w:val="32"/>
        </w:rPr>
        <w:t xml:space="preserve">APPENDIX </w:t>
      </w:r>
      <w:r w:rsidR="003441C1" w:rsidRPr="005E7FBD">
        <w:rPr>
          <w:b/>
          <w:sz w:val="32"/>
          <w:szCs w:val="32"/>
        </w:rPr>
        <w:t>V</w:t>
      </w:r>
    </w:p>
    <w:p w:rsidR="00A36EB5" w:rsidRPr="008573C5" w:rsidRDefault="00A36EB5" w:rsidP="00467A62">
      <w:pPr>
        <w:jc w:val="center"/>
        <w:rPr>
          <w:b/>
        </w:rPr>
      </w:pPr>
    </w:p>
    <w:p w:rsidR="00A36EB5" w:rsidRPr="008573C5" w:rsidRDefault="00A36EB5" w:rsidP="00A36EB5">
      <w:pPr>
        <w:rPr>
          <w:b/>
        </w:rPr>
      </w:pPr>
    </w:p>
    <w:p w:rsidR="00A36EB5" w:rsidRPr="008573C5" w:rsidRDefault="00A36EB5" w:rsidP="009E0021">
      <w:pPr>
        <w:rPr>
          <w:b/>
        </w:rPr>
      </w:pPr>
    </w:p>
    <w:p w:rsidR="00801037" w:rsidRPr="008573C5" w:rsidRDefault="00801037" w:rsidP="009E0021">
      <w:pPr>
        <w:rPr>
          <w:b/>
        </w:rPr>
      </w:pPr>
    </w:p>
    <w:tbl>
      <w:tblPr>
        <w:tblW w:w="1074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8"/>
        <w:gridCol w:w="7295"/>
        <w:gridCol w:w="864"/>
        <w:gridCol w:w="590"/>
        <w:gridCol w:w="829"/>
      </w:tblGrid>
      <w:tr w:rsidR="00801037" w:rsidRPr="008573C5">
        <w:tc>
          <w:tcPr>
            <w:tcW w:w="10746" w:type="dxa"/>
            <w:gridSpan w:val="5"/>
          </w:tcPr>
          <w:p w:rsidR="00801037" w:rsidRPr="008573C5" w:rsidRDefault="00801037" w:rsidP="00EF5237">
            <w:pPr>
              <w:rPr>
                <w:rFonts w:ascii="Times" w:hAnsi="Times" w:cs="Times"/>
                <w:b/>
              </w:rPr>
            </w:pPr>
          </w:p>
          <w:p w:rsidR="00801037" w:rsidRPr="008573C5" w:rsidRDefault="00801037" w:rsidP="00EF5237">
            <w:pPr>
              <w:tabs>
                <w:tab w:val="left" w:pos="2220"/>
              </w:tabs>
              <w:rPr>
                <w:rFonts w:ascii="Times" w:hAnsi="Times" w:cs="Times"/>
                <w:b/>
              </w:rPr>
            </w:pPr>
            <w:r w:rsidRPr="008573C5">
              <w:rPr>
                <w:rFonts w:ascii="Times" w:hAnsi="Times" w:cs="Times"/>
                <w:b/>
              </w:rPr>
              <w:tab/>
            </w:r>
          </w:p>
          <w:p w:rsidR="00801037" w:rsidRPr="008573C5" w:rsidRDefault="00D6132C" w:rsidP="00EF5237">
            <w:pPr>
              <w:jc w:val="center"/>
              <w:rPr>
                <w:rFonts w:ascii="Times" w:hAnsi="Times" w:cs="Times"/>
                <w:b/>
              </w:rPr>
            </w:pPr>
            <w:r w:rsidRPr="008573C5">
              <w:rPr>
                <w:rFonts w:ascii="Times" w:hAnsi="Times" w:cs="Times"/>
                <w:b/>
              </w:rPr>
              <w:t>D</w:t>
            </w:r>
            <w:r w:rsidR="001270C8" w:rsidRPr="008573C5">
              <w:rPr>
                <w:rFonts w:ascii="Times" w:hAnsi="Times" w:cs="Times"/>
                <w:b/>
              </w:rPr>
              <w:t>ISCLOSURE CHECKLIST QUESTIONNAIRE</w:t>
            </w:r>
          </w:p>
          <w:p w:rsidR="00801037" w:rsidRPr="008573C5" w:rsidRDefault="00801037" w:rsidP="00EF5237">
            <w:pPr>
              <w:jc w:val="center"/>
              <w:rPr>
                <w:rFonts w:ascii="Times" w:hAnsi="Times" w:cs="Times"/>
                <w:b/>
              </w:rPr>
            </w:pPr>
          </w:p>
        </w:tc>
      </w:tr>
      <w:tr w:rsidR="00801037" w:rsidRPr="008573C5">
        <w:tc>
          <w:tcPr>
            <w:tcW w:w="10746" w:type="dxa"/>
            <w:gridSpan w:val="5"/>
          </w:tcPr>
          <w:p w:rsidR="00801037" w:rsidRPr="008573C5" w:rsidRDefault="00801037" w:rsidP="00EF5237">
            <w:r w:rsidRPr="008573C5">
              <w:rPr>
                <w:rFonts w:ascii="Times" w:hAnsi="Times" w:cs="Times"/>
                <w:b/>
              </w:rPr>
              <w:t xml:space="preserve">Name of Company :  </w:t>
            </w:r>
          </w:p>
        </w:tc>
      </w:tr>
      <w:tr w:rsidR="00801037" w:rsidRPr="008573C5">
        <w:tc>
          <w:tcPr>
            <w:tcW w:w="10746" w:type="dxa"/>
            <w:gridSpan w:val="5"/>
          </w:tcPr>
          <w:p w:rsidR="00801037" w:rsidRPr="008573C5" w:rsidRDefault="00B86851" w:rsidP="00EF5237">
            <w:pPr>
              <w:rPr>
                <w:rFonts w:ascii="Times" w:hAnsi="Times" w:cs="Times"/>
              </w:rPr>
            </w:pPr>
            <w:r w:rsidRPr="008573C5">
              <w:rPr>
                <w:rFonts w:ascii="Times" w:hAnsi="Times" w:cs="Times"/>
                <w:b/>
              </w:rPr>
              <w:t>Year end</w:t>
            </w:r>
            <w:r w:rsidR="00801037" w:rsidRPr="008573C5">
              <w:rPr>
                <w:rFonts w:ascii="Times" w:hAnsi="Times" w:cs="Times"/>
                <w:b/>
              </w:rPr>
              <w:t>:</w:t>
            </w:r>
          </w:p>
        </w:tc>
      </w:tr>
      <w:tr w:rsidR="001270C8" w:rsidRPr="008573C5">
        <w:tc>
          <w:tcPr>
            <w:tcW w:w="1168" w:type="dxa"/>
          </w:tcPr>
          <w:p w:rsidR="001270C8" w:rsidRPr="008573C5" w:rsidRDefault="001270C8" w:rsidP="00EF5237"/>
        </w:tc>
        <w:tc>
          <w:tcPr>
            <w:tcW w:w="7295" w:type="dxa"/>
          </w:tcPr>
          <w:p w:rsidR="001270C8" w:rsidRPr="008573C5" w:rsidRDefault="001270C8" w:rsidP="00EF5237">
            <w:pPr>
              <w:tabs>
                <w:tab w:val="left" w:pos="5840"/>
              </w:tabs>
              <w:spacing w:after="120"/>
              <w:rPr>
                <w:b/>
              </w:rPr>
            </w:pPr>
            <w:r w:rsidRPr="008573C5">
              <w:rPr>
                <w:b/>
              </w:rPr>
              <w:t>SAS DISCLOSURE</w:t>
            </w:r>
            <w:r w:rsidR="00B86851" w:rsidRPr="008573C5">
              <w:rPr>
                <w:b/>
              </w:rPr>
              <w:t xml:space="preserve"> TEMPLATE</w:t>
            </w:r>
          </w:p>
        </w:tc>
        <w:tc>
          <w:tcPr>
            <w:tcW w:w="864" w:type="dxa"/>
          </w:tcPr>
          <w:p w:rsidR="001270C8" w:rsidRPr="008573C5" w:rsidRDefault="001270C8" w:rsidP="00EF5237"/>
        </w:tc>
        <w:tc>
          <w:tcPr>
            <w:tcW w:w="590" w:type="dxa"/>
          </w:tcPr>
          <w:p w:rsidR="001270C8" w:rsidRPr="008573C5" w:rsidRDefault="001270C8" w:rsidP="00EF5237"/>
        </w:tc>
        <w:tc>
          <w:tcPr>
            <w:tcW w:w="829" w:type="dxa"/>
          </w:tcPr>
          <w:p w:rsidR="001270C8" w:rsidRPr="008573C5" w:rsidRDefault="001270C8"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tabs>
                <w:tab w:val="left" w:pos="5840"/>
              </w:tabs>
              <w:spacing w:after="120"/>
              <w:rPr>
                <w:b/>
              </w:rPr>
            </w:pPr>
            <w:r w:rsidRPr="008573C5">
              <w:rPr>
                <w:b/>
              </w:rPr>
              <w:t>SAS 1- Disclosure of Accounting Policies</w:t>
            </w:r>
            <w:r w:rsidRPr="008573C5">
              <w:rPr>
                <w:b/>
              </w:rPr>
              <w:tab/>
            </w:r>
          </w:p>
        </w:tc>
        <w:tc>
          <w:tcPr>
            <w:tcW w:w="864" w:type="dxa"/>
          </w:tcPr>
          <w:p w:rsidR="00801037" w:rsidRPr="008573C5" w:rsidRDefault="00801037" w:rsidP="00EF5237">
            <w:r w:rsidRPr="008573C5">
              <w:t>Y</w:t>
            </w:r>
          </w:p>
        </w:tc>
        <w:tc>
          <w:tcPr>
            <w:tcW w:w="590" w:type="dxa"/>
          </w:tcPr>
          <w:p w:rsidR="00801037" w:rsidRPr="008573C5" w:rsidRDefault="00801037" w:rsidP="00EF5237">
            <w:r w:rsidRPr="008573C5">
              <w:t>N</w:t>
            </w:r>
          </w:p>
        </w:tc>
        <w:tc>
          <w:tcPr>
            <w:tcW w:w="829" w:type="dxa"/>
          </w:tcPr>
          <w:p w:rsidR="00801037" w:rsidRPr="008573C5" w:rsidRDefault="00801037" w:rsidP="00EF5237">
            <w:r w:rsidRPr="008573C5">
              <w:t>NA</w:t>
            </w:r>
          </w:p>
        </w:tc>
      </w:tr>
      <w:tr w:rsidR="00801037" w:rsidRPr="008573C5">
        <w:tc>
          <w:tcPr>
            <w:tcW w:w="1168" w:type="dxa"/>
          </w:tcPr>
          <w:p w:rsidR="00801037" w:rsidRPr="008573C5" w:rsidRDefault="00801037" w:rsidP="00EF5237">
            <w:r w:rsidRPr="008573C5">
              <w:t>1</w:t>
            </w:r>
          </w:p>
        </w:tc>
        <w:tc>
          <w:tcPr>
            <w:tcW w:w="7295" w:type="dxa"/>
          </w:tcPr>
          <w:p w:rsidR="00801037" w:rsidRPr="008573C5" w:rsidRDefault="00801037" w:rsidP="00EF5237">
            <w:pPr>
              <w:autoSpaceDE w:val="0"/>
              <w:autoSpaceDN w:val="0"/>
              <w:adjustRightInd w:val="0"/>
              <w:spacing w:after="120"/>
            </w:pPr>
            <w:r w:rsidRPr="008573C5">
              <w:t>Have the</w:t>
            </w:r>
            <w:r w:rsidR="00C8435D" w:rsidRPr="008573C5">
              <w:t xml:space="preserve"> </w:t>
            </w:r>
            <w:r w:rsidRPr="008573C5">
              <w:t>accounting policies been prominently disclosed as an integral part of the financial statements under one caption, rather than notes to individual items in financial statements? (SAS 1.22)</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2</w:t>
            </w:r>
          </w:p>
        </w:tc>
        <w:tc>
          <w:tcPr>
            <w:tcW w:w="7295" w:type="dxa"/>
          </w:tcPr>
          <w:p w:rsidR="00801037" w:rsidRPr="008573C5" w:rsidRDefault="00801037" w:rsidP="00EF5237">
            <w:pPr>
              <w:autoSpaceDE w:val="0"/>
              <w:autoSpaceDN w:val="0"/>
              <w:adjustRightInd w:val="0"/>
              <w:spacing w:after="120"/>
            </w:pPr>
            <w:r w:rsidRPr="008573C5">
              <w:t>Has the information about the basis of preparation of the financial statement been disclosed by way of notes to the financial statements?  (SAS 1.21)</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1717D1">
            <w:r w:rsidRPr="008573C5">
              <w:t>3</w:t>
            </w:r>
            <w:r w:rsidR="001717D1" w:rsidRPr="008573C5">
              <w:t>-14</w:t>
            </w:r>
          </w:p>
        </w:tc>
        <w:tc>
          <w:tcPr>
            <w:tcW w:w="7295" w:type="dxa"/>
          </w:tcPr>
          <w:p w:rsidR="00801037" w:rsidRPr="008573C5" w:rsidRDefault="00801037" w:rsidP="00EF5237">
            <w:pPr>
              <w:autoSpaceDE w:val="0"/>
              <w:autoSpaceDN w:val="0"/>
              <w:adjustRightInd w:val="0"/>
            </w:pPr>
            <w:r w:rsidRPr="008573C5">
              <w:t>Do</w:t>
            </w:r>
            <w:r w:rsidR="007A2AE1" w:rsidRPr="008573C5">
              <w:t>es</w:t>
            </w:r>
            <w:r w:rsidRPr="008573C5">
              <w:t xml:space="preserve"> the accounting pol</w:t>
            </w:r>
            <w:r w:rsidR="00270AAA" w:rsidRPr="008573C5">
              <w:t>icies presented under a caption</w:t>
            </w:r>
            <w:r w:rsidRPr="008573C5">
              <w:t xml:space="preserve"> include:</w:t>
            </w:r>
          </w:p>
          <w:p w:rsidR="00801037" w:rsidRPr="008573C5" w:rsidRDefault="00801037" w:rsidP="00EF5237">
            <w:pPr>
              <w:autoSpaceDE w:val="0"/>
              <w:autoSpaceDN w:val="0"/>
              <w:adjustRightInd w:val="0"/>
            </w:pPr>
            <w:r w:rsidRPr="008573C5">
              <w:t>a) consolidation principles, including subsidiaries and associates;</w:t>
            </w:r>
          </w:p>
          <w:p w:rsidR="00801037" w:rsidRPr="008573C5" w:rsidRDefault="00801037" w:rsidP="00EF5237">
            <w:pPr>
              <w:autoSpaceDE w:val="0"/>
              <w:autoSpaceDN w:val="0"/>
              <w:adjustRightInd w:val="0"/>
            </w:pPr>
            <w:r w:rsidRPr="008573C5">
              <w:t>b) intangible assets- goodwill;</w:t>
            </w:r>
          </w:p>
          <w:p w:rsidR="00801037" w:rsidRPr="008573C5" w:rsidRDefault="00801037" w:rsidP="00EF5237">
            <w:pPr>
              <w:autoSpaceDE w:val="0"/>
              <w:autoSpaceDN w:val="0"/>
              <w:adjustRightInd w:val="0"/>
            </w:pPr>
            <w:r w:rsidRPr="008573C5">
              <w:t>c)investments;</w:t>
            </w:r>
          </w:p>
          <w:p w:rsidR="00801037" w:rsidRPr="008573C5" w:rsidRDefault="00801037" w:rsidP="00EF5237">
            <w:pPr>
              <w:autoSpaceDE w:val="0"/>
              <w:autoSpaceDN w:val="0"/>
              <w:adjustRightInd w:val="0"/>
            </w:pPr>
            <w:r w:rsidRPr="008573C5">
              <w:t>d) fixed Assets;</w:t>
            </w:r>
          </w:p>
          <w:p w:rsidR="00801037" w:rsidRPr="008573C5" w:rsidRDefault="00801037" w:rsidP="00EF5237">
            <w:pPr>
              <w:autoSpaceDE w:val="0"/>
              <w:autoSpaceDN w:val="0"/>
              <w:adjustRightInd w:val="0"/>
            </w:pPr>
            <w:r w:rsidRPr="008573C5">
              <w:t>e) depreciation;</w:t>
            </w:r>
          </w:p>
          <w:p w:rsidR="00801037" w:rsidRPr="008573C5" w:rsidRDefault="00801037" w:rsidP="00EF5237">
            <w:pPr>
              <w:autoSpaceDE w:val="0"/>
              <w:autoSpaceDN w:val="0"/>
              <w:adjustRightInd w:val="0"/>
            </w:pPr>
            <w:r w:rsidRPr="008573C5">
              <w:t>f) stock and work in progress;</w:t>
            </w:r>
          </w:p>
          <w:p w:rsidR="00801037" w:rsidRPr="008573C5" w:rsidRDefault="00801037" w:rsidP="00EF5237">
            <w:pPr>
              <w:autoSpaceDE w:val="0"/>
              <w:autoSpaceDN w:val="0"/>
              <w:adjustRightInd w:val="0"/>
            </w:pPr>
            <w:r w:rsidRPr="008573C5">
              <w:t>g) turnover;</w:t>
            </w:r>
          </w:p>
          <w:p w:rsidR="00801037" w:rsidRPr="008573C5" w:rsidRDefault="00801037" w:rsidP="00EF5237">
            <w:pPr>
              <w:autoSpaceDE w:val="0"/>
              <w:autoSpaceDN w:val="0"/>
              <w:adjustRightInd w:val="0"/>
            </w:pPr>
            <w:r w:rsidRPr="008573C5">
              <w:t>h)foreign currencies conversion;</w:t>
            </w:r>
          </w:p>
          <w:p w:rsidR="00801037" w:rsidRPr="008573C5" w:rsidRDefault="00801037" w:rsidP="00EF5237">
            <w:pPr>
              <w:autoSpaceDE w:val="0"/>
              <w:autoSpaceDN w:val="0"/>
              <w:adjustRightInd w:val="0"/>
            </w:pPr>
            <w:r w:rsidRPr="008573C5">
              <w:t>j) taxes, including deferred taxes;</w:t>
            </w:r>
          </w:p>
          <w:p w:rsidR="00801037" w:rsidRPr="008573C5" w:rsidRDefault="00801037" w:rsidP="00EF5237">
            <w:pPr>
              <w:autoSpaceDE w:val="0"/>
              <w:autoSpaceDN w:val="0"/>
              <w:adjustRightInd w:val="0"/>
            </w:pPr>
            <w:r w:rsidRPr="008573C5">
              <w:t>k) employee retirement benefits.</w:t>
            </w:r>
          </w:p>
          <w:p w:rsidR="00801037" w:rsidRPr="008573C5" w:rsidRDefault="00801037" w:rsidP="00EF5237">
            <w:pPr>
              <w:autoSpaceDE w:val="0"/>
              <w:autoSpaceDN w:val="0"/>
              <w:adjustRightInd w:val="0"/>
            </w:pPr>
            <w:r w:rsidRPr="008573C5">
              <w:t>l) research and development costs(yr end 31 Dec);</w:t>
            </w:r>
          </w:p>
          <w:p w:rsidR="00801037" w:rsidRPr="008573C5" w:rsidRDefault="00801037" w:rsidP="00EF5237">
            <w:pPr>
              <w:autoSpaceDE w:val="0"/>
              <w:autoSpaceDN w:val="0"/>
              <w:adjustRightInd w:val="0"/>
            </w:pPr>
            <w:r w:rsidRPr="008573C5">
              <w:t>m) provisions( Yr end 31 Dec)?</w:t>
            </w:r>
          </w:p>
          <w:p w:rsidR="00801037" w:rsidRPr="008573C5" w:rsidRDefault="00801037" w:rsidP="00EF5237">
            <w:pPr>
              <w:autoSpaceDE w:val="0"/>
              <w:autoSpaceDN w:val="0"/>
              <w:adjustRightInd w:val="0"/>
            </w:pP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15-17</w:t>
            </w:r>
          </w:p>
        </w:tc>
        <w:tc>
          <w:tcPr>
            <w:tcW w:w="7295" w:type="dxa"/>
          </w:tcPr>
          <w:p w:rsidR="00801037" w:rsidRPr="008573C5" w:rsidRDefault="00801037" w:rsidP="00EF5237">
            <w:pPr>
              <w:spacing w:after="120"/>
            </w:pPr>
            <w:r w:rsidRPr="008573C5">
              <w:t xml:space="preserve">Has the company disclosed: </w:t>
            </w:r>
          </w:p>
          <w:p w:rsidR="00801037" w:rsidRPr="008573C5" w:rsidRDefault="00801037" w:rsidP="00085210">
            <w:pPr>
              <w:numPr>
                <w:ilvl w:val="0"/>
                <w:numId w:val="19"/>
              </w:numPr>
              <w:spacing w:after="120"/>
            </w:pPr>
            <w:r w:rsidRPr="008573C5">
              <w:t xml:space="preserve"> the description of the nature of changes in accounting policies;</w:t>
            </w:r>
          </w:p>
          <w:p w:rsidR="00801037" w:rsidRPr="008573C5" w:rsidRDefault="00801037" w:rsidP="00085210">
            <w:pPr>
              <w:numPr>
                <w:ilvl w:val="0"/>
                <w:numId w:val="19"/>
              </w:numPr>
              <w:spacing w:after="120"/>
            </w:pPr>
            <w:r w:rsidRPr="008573C5">
              <w:t xml:space="preserve"> its effect on the current year’s profit or loss; and </w:t>
            </w:r>
          </w:p>
          <w:p w:rsidR="00801037" w:rsidRPr="008573C5" w:rsidRDefault="00801037" w:rsidP="00085210">
            <w:pPr>
              <w:numPr>
                <w:ilvl w:val="0"/>
                <w:numId w:val="19"/>
              </w:numPr>
              <w:spacing w:after="120"/>
            </w:pPr>
            <w:r w:rsidRPr="008573C5">
              <w:t>the cumulative effect of such a change? (SAS 1.23)</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autoSpaceDE w:val="0"/>
              <w:autoSpaceDN w:val="0"/>
              <w:adjustRightInd w:val="0"/>
              <w:spacing w:after="120"/>
            </w:pPr>
            <w:r w:rsidRPr="008573C5">
              <w:rPr>
                <w:b/>
              </w:rPr>
              <w:t>SAS 2 – Information to be disclosed in financial statements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18</w:t>
            </w:r>
          </w:p>
        </w:tc>
        <w:tc>
          <w:tcPr>
            <w:tcW w:w="7295" w:type="dxa"/>
          </w:tcPr>
          <w:p w:rsidR="00801037" w:rsidRPr="008573C5" w:rsidRDefault="00801037" w:rsidP="00EF5237">
            <w:pPr>
              <w:autoSpaceDE w:val="0"/>
              <w:autoSpaceDN w:val="0"/>
              <w:adjustRightInd w:val="0"/>
              <w:spacing w:after="120"/>
            </w:pPr>
            <w:r w:rsidRPr="008573C5">
              <w:t>Is the name of the enterprise disclosed? (SAS 2. 11)</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19</w:t>
            </w:r>
          </w:p>
        </w:tc>
        <w:tc>
          <w:tcPr>
            <w:tcW w:w="7295" w:type="dxa"/>
          </w:tcPr>
          <w:p w:rsidR="00801037" w:rsidRPr="008573C5" w:rsidRDefault="00801037" w:rsidP="00EF5237">
            <w:pPr>
              <w:autoSpaceDE w:val="0"/>
              <w:autoSpaceDN w:val="0"/>
              <w:adjustRightInd w:val="0"/>
              <w:spacing w:after="120"/>
            </w:pPr>
            <w:r w:rsidRPr="008573C5">
              <w:t>Is period of time covered disclosed? (SAS 2.11)</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20</w:t>
            </w:r>
          </w:p>
        </w:tc>
        <w:tc>
          <w:tcPr>
            <w:tcW w:w="7295" w:type="dxa"/>
          </w:tcPr>
          <w:p w:rsidR="00801037" w:rsidRPr="008573C5" w:rsidRDefault="00801037" w:rsidP="00EF5237">
            <w:pPr>
              <w:autoSpaceDE w:val="0"/>
              <w:autoSpaceDN w:val="0"/>
              <w:adjustRightInd w:val="0"/>
              <w:spacing w:after="120"/>
            </w:pPr>
            <w:r w:rsidRPr="008573C5">
              <w:t>Has the company made a brief description of activities? (SAS 2.11)</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21</w:t>
            </w:r>
          </w:p>
        </w:tc>
        <w:tc>
          <w:tcPr>
            <w:tcW w:w="7295" w:type="dxa"/>
          </w:tcPr>
          <w:p w:rsidR="00801037" w:rsidRPr="008573C5" w:rsidRDefault="00801037" w:rsidP="00EF5237">
            <w:pPr>
              <w:autoSpaceDE w:val="0"/>
              <w:autoSpaceDN w:val="0"/>
              <w:adjustRightInd w:val="0"/>
              <w:spacing w:after="120"/>
            </w:pPr>
            <w:r w:rsidRPr="008573C5">
              <w:t>Is the legal form of the company disclosed? (SAS 2.11)</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22-23</w:t>
            </w:r>
          </w:p>
        </w:tc>
        <w:tc>
          <w:tcPr>
            <w:tcW w:w="7295" w:type="dxa"/>
          </w:tcPr>
          <w:p w:rsidR="00801037" w:rsidRPr="008573C5" w:rsidRDefault="00801037" w:rsidP="00EF5237">
            <w:pPr>
              <w:autoSpaceDE w:val="0"/>
              <w:autoSpaceDN w:val="0"/>
              <w:adjustRightInd w:val="0"/>
              <w:spacing w:after="120"/>
            </w:pPr>
            <w:r w:rsidRPr="008573C5">
              <w:t>Has the entity described</w:t>
            </w:r>
          </w:p>
          <w:p w:rsidR="00801037" w:rsidRPr="008573C5" w:rsidRDefault="00801037" w:rsidP="00EF5237">
            <w:pPr>
              <w:autoSpaceDE w:val="0"/>
              <w:autoSpaceDN w:val="0"/>
              <w:adjustRightInd w:val="0"/>
              <w:spacing w:after="120"/>
            </w:pPr>
            <w:r w:rsidRPr="008573C5">
              <w:t>a    the relationship with its significant local and overseas suppliers    including the immediate and ultimate parent, associated or affiliated company? (SAS 2. 11)</w:t>
            </w:r>
          </w:p>
          <w:p w:rsidR="00801037" w:rsidRPr="008573C5" w:rsidRDefault="00801037" w:rsidP="00EF5237">
            <w:pPr>
              <w:autoSpaceDE w:val="0"/>
              <w:autoSpaceDN w:val="0"/>
              <w:adjustRightInd w:val="0"/>
              <w:spacing w:after="120"/>
            </w:pPr>
            <w:r w:rsidRPr="008573C5">
              <w:t>b. financial implication of inter-company transfer and technical/management agreements between the enterprise and its significant local and overseas suppliers including immediate and/or ultimate, associated affiliated company? (SAS 2. 13)</w:t>
            </w:r>
          </w:p>
          <w:p w:rsidR="00801037" w:rsidRPr="008573C5" w:rsidRDefault="00801037" w:rsidP="00EF5237">
            <w:pPr>
              <w:autoSpaceDE w:val="0"/>
              <w:autoSpaceDN w:val="0"/>
              <w:adjustRightInd w:val="0"/>
              <w:spacing w:after="120"/>
            </w:pPr>
          </w:p>
          <w:p w:rsidR="00801037" w:rsidRPr="008573C5" w:rsidRDefault="00801037" w:rsidP="00EF5237">
            <w:pPr>
              <w:autoSpaceDE w:val="0"/>
              <w:autoSpaceDN w:val="0"/>
              <w:adjustRightInd w:val="0"/>
              <w:spacing w:after="120"/>
            </w:pPr>
          </w:p>
        </w:tc>
        <w:tc>
          <w:tcPr>
            <w:tcW w:w="864" w:type="dxa"/>
          </w:tcPr>
          <w:p w:rsidR="00801037" w:rsidRPr="008573C5" w:rsidRDefault="00801037" w:rsidP="00EF5237"/>
        </w:tc>
        <w:tc>
          <w:tcPr>
            <w:tcW w:w="590" w:type="dxa"/>
          </w:tcPr>
          <w:p w:rsidR="00801037" w:rsidRPr="008573C5" w:rsidRDefault="00801037" w:rsidP="00EF5237"/>
          <w:p w:rsidR="00801037" w:rsidRPr="008573C5" w:rsidRDefault="00801037" w:rsidP="00EF5237"/>
          <w:p w:rsidR="00801037" w:rsidRPr="008573C5" w:rsidRDefault="00801037" w:rsidP="00EF5237"/>
          <w:p w:rsidR="00801037" w:rsidRPr="008573C5" w:rsidRDefault="00801037" w:rsidP="00EF5237"/>
          <w:p w:rsidR="00801037" w:rsidRPr="008573C5" w:rsidRDefault="00801037" w:rsidP="00EF5237"/>
          <w:p w:rsidR="00801037" w:rsidRPr="008573C5" w:rsidRDefault="00801037" w:rsidP="00EF5237"/>
        </w:tc>
        <w:tc>
          <w:tcPr>
            <w:tcW w:w="829" w:type="dxa"/>
          </w:tcPr>
          <w:p w:rsidR="00801037" w:rsidRPr="008573C5" w:rsidRDefault="00801037" w:rsidP="00EF5237"/>
          <w:p w:rsidR="00801037" w:rsidRPr="008573C5" w:rsidRDefault="00801037" w:rsidP="00EF5237"/>
          <w:p w:rsidR="00801037" w:rsidRPr="008573C5" w:rsidRDefault="00801037" w:rsidP="00EF5237"/>
          <w:p w:rsidR="00801037" w:rsidRPr="008573C5" w:rsidRDefault="00801037" w:rsidP="00EF5237"/>
          <w:p w:rsidR="00801037" w:rsidRPr="008573C5" w:rsidRDefault="00801037" w:rsidP="00EF5237"/>
        </w:tc>
      </w:tr>
      <w:tr w:rsidR="00801037" w:rsidRPr="008573C5">
        <w:tc>
          <w:tcPr>
            <w:tcW w:w="1168" w:type="dxa"/>
          </w:tcPr>
          <w:p w:rsidR="00801037" w:rsidRPr="008573C5" w:rsidRDefault="001717D1" w:rsidP="00EF5237">
            <w:r w:rsidRPr="008573C5">
              <w:t>24</w:t>
            </w:r>
          </w:p>
        </w:tc>
        <w:tc>
          <w:tcPr>
            <w:tcW w:w="7295" w:type="dxa"/>
          </w:tcPr>
          <w:p w:rsidR="00801037" w:rsidRPr="008573C5" w:rsidRDefault="00801037" w:rsidP="00EF5237">
            <w:pPr>
              <w:autoSpaceDE w:val="0"/>
              <w:autoSpaceDN w:val="0"/>
              <w:adjustRightInd w:val="0"/>
              <w:spacing w:after="120"/>
            </w:pPr>
            <w:r w:rsidRPr="008573C5">
              <w:t>Do</w:t>
            </w:r>
            <w:r w:rsidR="007A2AE1" w:rsidRPr="008573C5">
              <w:t>es the financial statement</w:t>
            </w:r>
            <w:r w:rsidRPr="008573C5">
              <w:t xml:space="preserve"> include balance sheet? (SAS 2.12)</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25</w:t>
            </w:r>
          </w:p>
        </w:tc>
        <w:tc>
          <w:tcPr>
            <w:tcW w:w="7295" w:type="dxa"/>
          </w:tcPr>
          <w:p w:rsidR="00801037" w:rsidRPr="008573C5" w:rsidRDefault="007A2AE1" w:rsidP="00EF5237">
            <w:pPr>
              <w:autoSpaceDE w:val="0"/>
              <w:autoSpaceDN w:val="0"/>
              <w:adjustRightInd w:val="0"/>
              <w:spacing w:after="120"/>
            </w:pPr>
            <w:r w:rsidRPr="008573C5">
              <w:t>Does the financial statement</w:t>
            </w:r>
            <w:r w:rsidR="00801037" w:rsidRPr="008573C5">
              <w:t xml:space="preserve"> include profit &amp; loss account or income statement? (SAS 2.12)</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26</w:t>
            </w:r>
          </w:p>
        </w:tc>
        <w:tc>
          <w:tcPr>
            <w:tcW w:w="7295" w:type="dxa"/>
          </w:tcPr>
          <w:p w:rsidR="00801037" w:rsidRPr="008573C5" w:rsidRDefault="007A2AE1" w:rsidP="00EF5237">
            <w:pPr>
              <w:autoSpaceDE w:val="0"/>
              <w:autoSpaceDN w:val="0"/>
              <w:adjustRightInd w:val="0"/>
              <w:spacing w:after="120"/>
            </w:pPr>
            <w:r w:rsidRPr="008573C5">
              <w:t>Does the financial statement</w:t>
            </w:r>
            <w:r w:rsidR="00801037" w:rsidRPr="008573C5">
              <w:t xml:space="preserve"> include notes to the account? (SAS 2.12)</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27</w:t>
            </w:r>
          </w:p>
        </w:tc>
        <w:tc>
          <w:tcPr>
            <w:tcW w:w="7295" w:type="dxa"/>
          </w:tcPr>
          <w:p w:rsidR="00801037" w:rsidRPr="008573C5" w:rsidRDefault="007A2AE1" w:rsidP="00EF5237">
            <w:pPr>
              <w:autoSpaceDE w:val="0"/>
              <w:autoSpaceDN w:val="0"/>
              <w:adjustRightInd w:val="0"/>
              <w:spacing w:after="120"/>
            </w:pPr>
            <w:r w:rsidRPr="008573C5">
              <w:t>Does the financial statement</w:t>
            </w:r>
            <w:r w:rsidR="00801037" w:rsidRPr="008573C5">
              <w:t xml:space="preserve"> include statement of cash flow? (SAS 2.12)</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28</w:t>
            </w:r>
          </w:p>
        </w:tc>
        <w:tc>
          <w:tcPr>
            <w:tcW w:w="7295" w:type="dxa"/>
          </w:tcPr>
          <w:p w:rsidR="00801037" w:rsidRPr="008573C5" w:rsidRDefault="00801037" w:rsidP="00EF5237">
            <w:pPr>
              <w:autoSpaceDE w:val="0"/>
              <w:autoSpaceDN w:val="0"/>
              <w:adjustRightInd w:val="0"/>
              <w:spacing w:after="120"/>
            </w:pPr>
            <w:r w:rsidRPr="008573C5">
              <w:t>Do</w:t>
            </w:r>
            <w:r w:rsidR="007A2AE1" w:rsidRPr="008573C5">
              <w:t>es the financial statement</w:t>
            </w:r>
            <w:r w:rsidRPr="008573C5">
              <w:t xml:space="preserve"> contain five year financial summary?(SAS 2.12)</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29</w:t>
            </w:r>
          </w:p>
        </w:tc>
        <w:tc>
          <w:tcPr>
            <w:tcW w:w="7295" w:type="dxa"/>
          </w:tcPr>
          <w:p w:rsidR="00801037" w:rsidRPr="008573C5" w:rsidRDefault="00801037" w:rsidP="00EF5237">
            <w:pPr>
              <w:autoSpaceDE w:val="0"/>
              <w:autoSpaceDN w:val="0"/>
              <w:adjustRightInd w:val="0"/>
              <w:spacing w:after="120"/>
            </w:pPr>
            <w:r w:rsidRPr="008573C5">
              <w:t>Do</w:t>
            </w:r>
            <w:r w:rsidR="007A2AE1" w:rsidRPr="008573C5">
              <w:t>es the financial statement</w:t>
            </w:r>
            <w:r w:rsidRPr="008573C5">
              <w:t xml:space="preserve"> show corresponding figures for the preceding period? (SAS 2. 14)</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30</w:t>
            </w:r>
          </w:p>
        </w:tc>
        <w:tc>
          <w:tcPr>
            <w:tcW w:w="7295" w:type="dxa"/>
          </w:tcPr>
          <w:p w:rsidR="00801037" w:rsidRPr="008573C5" w:rsidRDefault="00801037" w:rsidP="00EF5237">
            <w:pPr>
              <w:autoSpaceDE w:val="0"/>
              <w:autoSpaceDN w:val="0"/>
              <w:adjustRightInd w:val="0"/>
              <w:spacing w:after="120"/>
            </w:pPr>
            <w:r w:rsidRPr="008573C5">
              <w:t>In the value added statement, are purchases distinguished between imported and local items? (SAS 2.24)</w:t>
            </w:r>
          </w:p>
        </w:tc>
        <w:tc>
          <w:tcPr>
            <w:tcW w:w="864" w:type="dxa"/>
          </w:tcPr>
          <w:p w:rsidR="00801037" w:rsidRPr="008573C5" w:rsidRDefault="00801037" w:rsidP="008010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autoSpaceDE w:val="0"/>
              <w:autoSpaceDN w:val="0"/>
              <w:adjustRightInd w:val="0"/>
              <w:spacing w:after="120"/>
              <w:rPr>
                <w:b/>
              </w:rPr>
            </w:pPr>
            <w:r w:rsidRPr="008573C5">
              <w:rPr>
                <w:b/>
              </w:rPr>
              <w:t>SAS 3- Accounting for Property, Plant and Equipment (PPE)</w:t>
            </w:r>
          </w:p>
          <w:p w:rsidR="00801037" w:rsidRPr="008573C5" w:rsidRDefault="00801037" w:rsidP="00EF5237">
            <w:pPr>
              <w:spacing w:after="120"/>
            </w:pP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rPr>
          <w:trHeight w:val="962"/>
        </w:trPr>
        <w:tc>
          <w:tcPr>
            <w:tcW w:w="1168" w:type="dxa"/>
          </w:tcPr>
          <w:p w:rsidR="00801037" w:rsidRPr="008573C5" w:rsidRDefault="001717D1" w:rsidP="00EF5237">
            <w:r w:rsidRPr="008573C5">
              <w:t>31</w:t>
            </w:r>
          </w:p>
        </w:tc>
        <w:tc>
          <w:tcPr>
            <w:tcW w:w="7295" w:type="dxa"/>
          </w:tcPr>
          <w:p w:rsidR="00801037" w:rsidRPr="008573C5" w:rsidRDefault="00801037" w:rsidP="00270AAA">
            <w:pPr>
              <w:autoSpaceDE w:val="0"/>
              <w:autoSpaceDN w:val="0"/>
              <w:adjustRightInd w:val="0"/>
              <w:spacing w:after="120"/>
            </w:pPr>
            <w:r w:rsidRPr="008573C5">
              <w:t>Do</w:t>
            </w:r>
            <w:r w:rsidR="00270AAA" w:rsidRPr="008573C5">
              <w:t>es</w:t>
            </w:r>
            <w:r w:rsidRPr="008573C5">
              <w:t xml:space="preserve"> the financial statement disclose the bases for determining the book value of PPE? (SAS 3.45a)</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32</w:t>
            </w:r>
          </w:p>
        </w:tc>
        <w:tc>
          <w:tcPr>
            <w:tcW w:w="7295" w:type="dxa"/>
          </w:tcPr>
          <w:p w:rsidR="00801037" w:rsidRPr="008573C5" w:rsidRDefault="00801037" w:rsidP="00270AAA">
            <w:pPr>
              <w:autoSpaceDE w:val="0"/>
              <w:autoSpaceDN w:val="0"/>
              <w:adjustRightInd w:val="0"/>
              <w:spacing w:after="120"/>
            </w:pPr>
            <w:r w:rsidRPr="008573C5">
              <w:t>When more than one basis has been used, d</w:t>
            </w:r>
            <w:r w:rsidR="00270AAA" w:rsidRPr="008573C5">
              <w:t>oes</w:t>
            </w:r>
            <w:r w:rsidRPr="008573C5">
              <w:t xml:space="preserve"> the entity disclose the book value determined under each basis in each category of PPE? (SAS 3.45b)</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33-35</w:t>
            </w:r>
          </w:p>
        </w:tc>
        <w:tc>
          <w:tcPr>
            <w:tcW w:w="7295" w:type="dxa"/>
          </w:tcPr>
          <w:p w:rsidR="00801037" w:rsidRPr="008573C5" w:rsidRDefault="00801037" w:rsidP="00EF5237">
            <w:pPr>
              <w:autoSpaceDE w:val="0"/>
              <w:autoSpaceDN w:val="0"/>
              <w:adjustRightInd w:val="0"/>
              <w:spacing w:after="120"/>
            </w:pPr>
            <w:r w:rsidRPr="008573C5">
              <w:t>Where PPE are stated at revalued amounts, do</w:t>
            </w:r>
            <w:r w:rsidR="00270AAA" w:rsidRPr="008573C5">
              <w:t>es</w:t>
            </w:r>
            <w:r w:rsidRPr="008573C5">
              <w:t xml:space="preserve"> the entity disclose </w:t>
            </w:r>
          </w:p>
          <w:p w:rsidR="00801037" w:rsidRPr="008573C5" w:rsidRDefault="00801037" w:rsidP="00085210">
            <w:pPr>
              <w:numPr>
                <w:ilvl w:val="0"/>
                <w:numId w:val="18"/>
              </w:numPr>
              <w:autoSpaceDE w:val="0"/>
              <w:autoSpaceDN w:val="0"/>
              <w:adjustRightInd w:val="0"/>
              <w:spacing w:after="120"/>
            </w:pPr>
            <w:r w:rsidRPr="008573C5">
              <w:t xml:space="preserve">the methods adopted to compute these amounts, </w:t>
            </w:r>
          </w:p>
          <w:p w:rsidR="00801037" w:rsidRPr="008573C5" w:rsidRDefault="00801037" w:rsidP="00085210">
            <w:pPr>
              <w:numPr>
                <w:ilvl w:val="0"/>
                <w:numId w:val="18"/>
              </w:numPr>
              <w:autoSpaceDE w:val="0"/>
              <w:autoSpaceDN w:val="0"/>
              <w:adjustRightInd w:val="0"/>
              <w:spacing w:after="120"/>
            </w:pPr>
            <w:r w:rsidRPr="008573C5">
              <w:t xml:space="preserve">the policy  with regards to the frequency of revaluations, </w:t>
            </w:r>
          </w:p>
          <w:p w:rsidR="00801037" w:rsidRPr="008573C5" w:rsidRDefault="00801037" w:rsidP="00085210">
            <w:pPr>
              <w:numPr>
                <w:ilvl w:val="0"/>
                <w:numId w:val="18"/>
              </w:numPr>
              <w:autoSpaceDE w:val="0"/>
              <w:autoSpaceDN w:val="0"/>
              <w:adjustRightInd w:val="0"/>
              <w:spacing w:after="120"/>
            </w:pPr>
            <w:r w:rsidRPr="008573C5">
              <w:t xml:space="preserve"> whether external valuers are involved? (SAS 3.45c)</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36</w:t>
            </w:r>
          </w:p>
        </w:tc>
        <w:tc>
          <w:tcPr>
            <w:tcW w:w="7295" w:type="dxa"/>
          </w:tcPr>
          <w:p w:rsidR="00801037" w:rsidRPr="008573C5" w:rsidRDefault="00801037" w:rsidP="00EF5237">
            <w:pPr>
              <w:autoSpaceDE w:val="0"/>
              <w:autoSpaceDN w:val="0"/>
              <w:adjustRightInd w:val="0"/>
              <w:spacing w:after="120"/>
            </w:pPr>
            <w:r w:rsidRPr="008573C5">
              <w:t>Have the movements in each category of PPE ( i.e additions and disposals) during the year been disclosed? (SAS 3.45d)</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M1</w:t>
            </w:r>
          </w:p>
        </w:tc>
        <w:tc>
          <w:tcPr>
            <w:tcW w:w="7295" w:type="dxa"/>
          </w:tcPr>
          <w:p w:rsidR="00801037" w:rsidRPr="008573C5" w:rsidRDefault="00801037" w:rsidP="00EF5237">
            <w:pPr>
              <w:autoSpaceDE w:val="0"/>
              <w:autoSpaceDN w:val="0"/>
              <w:adjustRightInd w:val="0"/>
              <w:spacing w:after="120"/>
            </w:pPr>
            <w:r w:rsidRPr="008573C5">
              <w:t>The gross book value of an item of Property, Plant and Equipment (PPE) is determined using: (SAS 3.30)</w:t>
            </w:r>
          </w:p>
          <w:p w:rsidR="00801037" w:rsidRPr="008573C5" w:rsidRDefault="00801037" w:rsidP="00EF5237">
            <w:pPr>
              <w:spacing w:after="120"/>
            </w:pPr>
            <w:r w:rsidRPr="008573C5">
              <w:t>i.   Historical cost</w:t>
            </w:r>
          </w:p>
          <w:p w:rsidR="00801037" w:rsidRPr="008573C5" w:rsidRDefault="00801037" w:rsidP="00EF5237">
            <w:pPr>
              <w:autoSpaceDE w:val="0"/>
              <w:autoSpaceDN w:val="0"/>
              <w:adjustRightInd w:val="0"/>
              <w:spacing w:after="120"/>
            </w:pPr>
            <w:r w:rsidRPr="008573C5">
              <w:t>ii   Revalued Amount</w:t>
            </w:r>
          </w:p>
          <w:p w:rsidR="00801037" w:rsidRPr="008573C5" w:rsidRDefault="00801037" w:rsidP="00EF5237">
            <w:pPr>
              <w:autoSpaceDE w:val="0"/>
              <w:autoSpaceDN w:val="0"/>
              <w:adjustRightInd w:val="0"/>
              <w:spacing w:after="120"/>
            </w:pPr>
            <w:r w:rsidRPr="008573C5">
              <w:t>iii  Cost and Valuation</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M2</w:t>
            </w:r>
          </w:p>
        </w:tc>
        <w:tc>
          <w:tcPr>
            <w:tcW w:w="7295" w:type="dxa"/>
          </w:tcPr>
          <w:p w:rsidR="00801037" w:rsidRPr="008573C5" w:rsidRDefault="00801037" w:rsidP="00EF5237">
            <w:pPr>
              <w:autoSpaceDE w:val="0"/>
              <w:autoSpaceDN w:val="0"/>
              <w:adjustRightInd w:val="0"/>
              <w:spacing w:after="120"/>
            </w:pPr>
            <w:r w:rsidRPr="008573C5">
              <w:t>On revaluation of PPE, the increase/decrease in the net book value is credited to: (SAS 3.42)</w:t>
            </w:r>
          </w:p>
          <w:p w:rsidR="00801037" w:rsidRPr="008573C5" w:rsidRDefault="00801037" w:rsidP="00EF5237">
            <w:pPr>
              <w:autoSpaceDE w:val="0"/>
              <w:autoSpaceDN w:val="0"/>
              <w:adjustRightInd w:val="0"/>
              <w:spacing w:after="120"/>
            </w:pPr>
            <w:r w:rsidRPr="008573C5">
              <w:t xml:space="preserve">i.   Revaluation surplus account </w:t>
            </w:r>
          </w:p>
          <w:p w:rsidR="00801037" w:rsidRPr="008573C5" w:rsidRDefault="00801037" w:rsidP="00EF5237">
            <w:pPr>
              <w:spacing w:after="120"/>
            </w:pPr>
            <w:r w:rsidRPr="008573C5">
              <w:t>ii   Income statement</w:t>
            </w:r>
          </w:p>
          <w:p w:rsidR="00801037" w:rsidRPr="008573C5" w:rsidRDefault="00801037" w:rsidP="00EF5237">
            <w:pPr>
              <w:spacing w:after="120"/>
            </w:pPr>
            <w:r w:rsidRPr="008573C5">
              <w:t>iii  others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M3</w:t>
            </w:r>
          </w:p>
        </w:tc>
        <w:tc>
          <w:tcPr>
            <w:tcW w:w="7295" w:type="dxa"/>
          </w:tcPr>
          <w:p w:rsidR="00801037" w:rsidRPr="008573C5" w:rsidRDefault="00801037" w:rsidP="00EF5237">
            <w:pPr>
              <w:autoSpaceDE w:val="0"/>
              <w:autoSpaceDN w:val="0"/>
              <w:adjustRightInd w:val="0"/>
              <w:spacing w:after="120"/>
            </w:pPr>
            <w:r w:rsidRPr="008573C5">
              <w:t>Gains or losses arising from the retirement or disposal of an item of  PPE is: (SAS 3.43)</w:t>
            </w:r>
          </w:p>
          <w:p w:rsidR="00801037" w:rsidRPr="008573C5" w:rsidRDefault="00801037" w:rsidP="00EF5237">
            <w:pPr>
              <w:autoSpaceDE w:val="0"/>
              <w:autoSpaceDN w:val="0"/>
              <w:adjustRightInd w:val="0"/>
              <w:spacing w:after="120"/>
            </w:pPr>
            <w:r w:rsidRPr="008573C5">
              <w:t>i     recognised in the income statement.</w:t>
            </w:r>
          </w:p>
          <w:p w:rsidR="00801037" w:rsidRPr="008573C5" w:rsidRDefault="00801037" w:rsidP="00EF5237">
            <w:pPr>
              <w:spacing w:after="120"/>
            </w:pPr>
            <w:r w:rsidRPr="008573C5">
              <w:t xml:space="preserve">ii    taken to the revaluation surplus account. </w:t>
            </w:r>
          </w:p>
          <w:p w:rsidR="00801037" w:rsidRPr="008573C5" w:rsidRDefault="00801037" w:rsidP="00EF5237">
            <w:pPr>
              <w:spacing w:after="120"/>
            </w:pPr>
            <w:r w:rsidRPr="008573C5">
              <w:t>iii   others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autoSpaceDE w:val="0"/>
              <w:autoSpaceDN w:val="0"/>
              <w:adjustRightInd w:val="0"/>
              <w:spacing w:after="120"/>
              <w:rPr>
                <w:b/>
              </w:rPr>
            </w:pPr>
            <w:r w:rsidRPr="008573C5">
              <w:rPr>
                <w:b/>
              </w:rPr>
              <w:t>SAS 4 – On Stocks</w:t>
            </w:r>
          </w:p>
          <w:p w:rsidR="00801037" w:rsidRPr="008573C5" w:rsidRDefault="00801037" w:rsidP="00EF5237">
            <w:pPr>
              <w:spacing w:after="120"/>
            </w:pP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37-38</w:t>
            </w:r>
          </w:p>
        </w:tc>
        <w:tc>
          <w:tcPr>
            <w:tcW w:w="7295" w:type="dxa"/>
          </w:tcPr>
          <w:p w:rsidR="00801037" w:rsidRPr="008573C5" w:rsidRDefault="00801037" w:rsidP="00EF5237">
            <w:pPr>
              <w:autoSpaceDE w:val="0"/>
              <w:autoSpaceDN w:val="0"/>
              <w:adjustRightInd w:val="0"/>
              <w:spacing w:after="120"/>
            </w:pPr>
            <w:r w:rsidRPr="008573C5">
              <w:t>Where differing methods of valuation have been adopted for different types of stock, does the financial statements state</w:t>
            </w:r>
          </w:p>
          <w:p w:rsidR="00801037" w:rsidRPr="008573C5" w:rsidRDefault="00801037" w:rsidP="00085210">
            <w:pPr>
              <w:numPr>
                <w:ilvl w:val="0"/>
                <w:numId w:val="22"/>
              </w:numPr>
              <w:autoSpaceDE w:val="0"/>
              <w:autoSpaceDN w:val="0"/>
              <w:adjustRightInd w:val="0"/>
              <w:spacing w:after="120"/>
            </w:pPr>
            <w:r w:rsidRPr="008573C5">
              <w:t xml:space="preserve"> the amount, and </w:t>
            </w:r>
          </w:p>
          <w:p w:rsidR="00801037" w:rsidRPr="008573C5" w:rsidRDefault="00801037" w:rsidP="00085210">
            <w:pPr>
              <w:numPr>
                <w:ilvl w:val="0"/>
                <w:numId w:val="22"/>
              </w:numPr>
              <w:autoSpaceDE w:val="0"/>
              <w:autoSpaceDN w:val="0"/>
              <w:adjustRightInd w:val="0"/>
              <w:spacing w:after="120"/>
            </w:pPr>
            <w:r w:rsidRPr="008573C5">
              <w:t>methods used in respect of each type? (SAS 4.57)</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39</w:t>
            </w:r>
          </w:p>
        </w:tc>
        <w:tc>
          <w:tcPr>
            <w:tcW w:w="7295" w:type="dxa"/>
          </w:tcPr>
          <w:p w:rsidR="00801037" w:rsidRPr="008573C5" w:rsidRDefault="00801037" w:rsidP="007A2AE1">
            <w:pPr>
              <w:autoSpaceDE w:val="0"/>
              <w:autoSpaceDN w:val="0"/>
              <w:adjustRightInd w:val="0"/>
              <w:spacing w:after="120"/>
            </w:pPr>
            <w:r w:rsidRPr="008573C5">
              <w:t>D</w:t>
            </w:r>
            <w:r w:rsidR="007A2AE1" w:rsidRPr="008573C5">
              <w:t xml:space="preserve">oes </w:t>
            </w:r>
            <w:r w:rsidRPr="008573C5">
              <w:t>the entity state the classification of stock in a manner appropriate to its business, in order to indicate the amounts held in each category? (SAS 4.58)</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1717D1">
            <w:r w:rsidRPr="008573C5">
              <w:t>40</w:t>
            </w:r>
          </w:p>
        </w:tc>
        <w:tc>
          <w:tcPr>
            <w:tcW w:w="7295" w:type="dxa"/>
          </w:tcPr>
          <w:p w:rsidR="00801037" w:rsidRPr="008573C5" w:rsidRDefault="00801037" w:rsidP="00EF5237">
            <w:pPr>
              <w:spacing w:after="120"/>
            </w:pPr>
            <w:r w:rsidRPr="008573C5">
              <w:t>Does the entity disclose any changes in the basis of valuation from that used in the previous period? (SAS 4.59)</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M4</w:t>
            </w:r>
          </w:p>
        </w:tc>
        <w:tc>
          <w:tcPr>
            <w:tcW w:w="7295" w:type="dxa"/>
          </w:tcPr>
          <w:p w:rsidR="00801037" w:rsidRPr="008573C5" w:rsidRDefault="00801037" w:rsidP="00EF5237">
            <w:pPr>
              <w:autoSpaceDE w:val="0"/>
              <w:autoSpaceDN w:val="0"/>
              <w:adjustRightInd w:val="0"/>
              <w:spacing w:after="120"/>
            </w:pPr>
            <w:r w:rsidRPr="008573C5">
              <w:t>Which of the following valuation methods is used in determining the cost of stock? (SAS 4.46)</w:t>
            </w:r>
          </w:p>
          <w:p w:rsidR="00801037" w:rsidRPr="008573C5" w:rsidRDefault="00801037" w:rsidP="00EF5237">
            <w:pPr>
              <w:spacing w:after="120"/>
            </w:pPr>
            <w:r w:rsidRPr="008573C5">
              <w:t>i.  First in, First out</w:t>
            </w:r>
          </w:p>
          <w:p w:rsidR="00801037" w:rsidRPr="008573C5" w:rsidRDefault="00801037" w:rsidP="00EF5237">
            <w:pPr>
              <w:spacing w:after="120"/>
            </w:pPr>
            <w:r w:rsidRPr="008573C5">
              <w:t>ii  Average Cost</w:t>
            </w:r>
          </w:p>
          <w:p w:rsidR="00801037" w:rsidRPr="008573C5" w:rsidRDefault="00801037" w:rsidP="00EF5237">
            <w:pPr>
              <w:spacing w:after="120"/>
            </w:pPr>
            <w:r w:rsidRPr="008573C5">
              <w:t>iii  Specific identification</w:t>
            </w:r>
          </w:p>
          <w:p w:rsidR="00801037" w:rsidRPr="008573C5" w:rsidRDefault="00801037" w:rsidP="00EF5237">
            <w:pPr>
              <w:spacing w:after="120"/>
            </w:pPr>
            <w:r w:rsidRPr="008573C5">
              <w:t>iv  Standard Cost</w:t>
            </w:r>
          </w:p>
          <w:p w:rsidR="00801037" w:rsidRPr="008573C5" w:rsidRDefault="00801037" w:rsidP="00EF5237">
            <w:pPr>
              <w:spacing w:after="120"/>
            </w:pPr>
            <w:r w:rsidRPr="008573C5">
              <w:t>v   Adjusted Selling Price</w:t>
            </w:r>
          </w:p>
          <w:p w:rsidR="00801037" w:rsidRPr="008573C5" w:rsidRDefault="00801037" w:rsidP="00EF5237">
            <w:pPr>
              <w:spacing w:after="120"/>
            </w:pPr>
            <w:r w:rsidRPr="008573C5">
              <w:t>vi  others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p w:rsidR="00801037" w:rsidRPr="008573C5" w:rsidRDefault="00801037" w:rsidP="00EF5237"/>
          <w:p w:rsidR="00801037" w:rsidRPr="008573C5" w:rsidRDefault="00801037" w:rsidP="00EF5237"/>
          <w:p w:rsidR="00801037" w:rsidRPr="008573C5" w:rsidRDefault="00801037" w:rsidP="00EF5237"/>
          <w:p w:rsidR="00801037" w:rsidRPr="008573C5" w:rsidRDefault="00801037" w:rsidP="00EF5237"/>
        </w:tc>
      </w:tr>
      <w:tr w:rsidR="00801037" w:rsidRPr="008573C5">
        <w:tc>
          <w:tcPr>
            <w:tcW w:w="1168" w:type="dxa"/>
          </w:tcPr>
          <w:p w:rsidR="00801037" w:rsidRPr="008573C5" w:rsidRDefault="001717D1" w:rsidP="00EF5237">
            <w:r w:rsidRPr="008573C5">
              <w:t>M5</w:t>
            </w:r>
          </w:p>
        </w:tc>
        <w:tc>
          <w:tcPr>
            <w:tcW w:w="7295" w:type="dxa"/>
          </w:tcPr>
          <w:p w:rsidR="00801037" w:rsidRPr="008573C5" w:rsidRDefault="00801037" w:rsidP="00EF5237">
            <w:pPr>
              <w:autoSpaceDE w:val="0"/>
              <w:autoSpaceDN w:val="0"/>
              <w:adjustRightInd w:val="0"/>
              <w:spacing w:after="120"/>
            </w:pPr>
            <w:r w:rsidRPr="008573C5">
              <w:t>Which measurement basis is used in valuing stocks? (SAS 4.44)</w:t>
            </w:r>
          </w:p>
          <w:p w:rsidR="00801037" w:rsidRPr="008573C5" w:rsidRDefault="00801037" w:rsidP="00EF5237">
            <w:pPr>
              <w:autoSpaceDE w:val="0"/>
              <w:autoSpaceDN w:val="0"/>
              <w:adjustRightInd w:val="0"/>
              <w:spacing w:after="120"/>
            </w:pPr>
            <w:r w:rsidRPr="008573C5">
              <w:t>i.  Cost</w:t>
            </w:r>
          </w:p>
          <w:p w:rsidR="00801037" w:rsidRPr="008573C5" w:rsidRDefault="00801037" w:rsidP="00EF5237">
            <w:pPr>
              <w:autoSpaceDE w:val="0"/>
              <w:autoSpaceDN w:val="0"/>
              <w:adjustRightInd w:val="0"/>
              <w:spacing w:after="120"/>
            </w:pPr>
            <w:r w:rsidRPr="008573C5">
              <w:t>ii   Lower of cost  and  net realizable value</w:t>
            </w:r>
          </w:p>
          <w:p w:rsidR="00801037" w:rsidRPr="008573C5" w:rsidRDefault="00801037" w:rsidP="00EF5237">
            <w:pPr>
              <w:autoSpaceDE w:val="0"/>
              <w:autoSpaceDN w:val="0"/>
              <w:adjustRightInd w:val="0"/>
              <w:spacing w:after="120"/>
            </w:pPr>
            <w:r w:rsidRPr="008573C5">
              <w:t>iii   Market value</w:t>
            </w:r>
          </w:p>
          <w:p w:rsidR="00801037" w:rsidRPr="008573C5" w:rsidRDefault="00801037" w:rsidP="00EF5237">
            <w:pPr>
              <w:autoSpaceDE w:val="0"/>
              <w:autoSpaceDN w:val="0"/>
              <w:adjustRightInd w:val="0"/>
              <w:spacing w:after="120"/>
            </w:pPr>
            <w:r w:rsidRPr="008573C5">
              <w:t>iv   others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autoSpaceDE w:val="0"/>
              <w:autoSpaceDN w:val="0"/>
              <w:adjustRightInd w:val="0"/>
              <w:spacing w:after="120"/>
              <w:rPr>
                <w:b/>
              </w:rPr>
            </w:pPr>
            <w:r w:rsidRPr="008573C5">
              <w:rPr>
                <w:b/>
              </w:rPr>
              <w:t>SAS 7 – On Foreign Currency Conversions and Translations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41</w:t>
            </w:r>
          </w:p>
        </w:tc>
        <w:tc>
          <w:tcPr>
            <w:tcW w:w="7295" w:type="dxa"/>
          </w:tcPr>
          <w:p w:rsidR="00801037" w:rsidRPr="008573C5" w:rsidRDefault="00801037" w:rsidP="00EF5237">
            <w:pPr>
              <w:spacing w:after="120"/>
            </w:pPr>
            <w:r w:rsidRPr="008573C5">
              <w:t>Is the treatment given to foreign exchange gains and losses disclosed? (SAS 7.47b)</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42</w:t>
            </w:r>
          </w:p>
        </w:tc>
        <w:tc>
          <w:tcPr>
            <w:tcW w:w="7295" w:type="dxa"/>
          </w:tcPr>
          <w:p w:rsidR="00801037" w:rsidRPr="008573C5" w:rsidRDefault="00801037" w:rsidP="00EF5237">
            <w:pPr>
              <w:autoSpaceDE w:val="0"/>
              <w:autoSpaceDN w:val="0"/>
              <w:adjustRightInd w:val="0"/>
              <w:spacing w:after="120"/>
            </w:pPr>
            <w:r w:rsidRPr="008573C5">
              <w:t>Has the net total gains or losses arising from changes in foreign exchange rates taken to the Profit and Loss Account been disclosed?. (SAS 7.47c)</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43</w:t>
            </w:r>
          </w:p>
        </w:tc>
        <w:tc>
          <w:tcPr>
            <w:tcW w:w="7295" w:type="dxa"/>
          </w:tcPr>
          <w:p w:rsidR="00801037" w:rsidRPr="008573C5" w:rsidRDefault="00801037" w:rsidP="00EF5237">
            <w:pPr>
              <w:spacing w:after="120"/>
            </w:pPr>
            <w:r w:rsidRPr="008573C5">
              <w:t>Is post balance sheet rate movement on transactions that have significant impact on the Profit and Loss Account and Balance Sheet items disclosed in notes to the accounts? (SAS 7.47e)</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44</w:t>
            </w:r>
          </w:p>
        </w:tc>
        <w:tc>
          <w:tcPr>
            <w:tcW w:w="7295" w:type="dxa"/>
          </w:tcPr>
          <w:p w:rsidR="00801037" w:rsidRPr="008573C5" w:rsidRDefault="00801037" w:rsidP="00EF5237">
            <w:pPr>
              <w:autoSpaceDE w:val="0"/>
              <w:autoSpaceDN w:val="0"/>
              <w:adjustRightInd w:val="0"/>
              <w:spacing w:after="120"/>
            </w:pPr>
            <w:r w:rsidRPr="008573C5">
              <w:t>Is the amount of Gains and Losses deferred disclosed? (SAS 7.47f)</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M6</w:t>
            </w:r>
          </w:p>
        </w:tc>
        <w:tc>
          <w:tcPr>
            <w:tcW w:w="7295" w:type="dxa"/>
          </w:tcPr>
          <w:p w:rsidR="00801037" w:rsidRPr="008573C5" w:rsidRDefault="00801037" w:rsidP="00EF5237">
            <w:pPr>
              <w:autoSpaceDE w:val="0"/>
              <w:autoSpaceDN w:val="0"/>
              <w:adjustRightInd w:val="0"/>
              <w:spacing w:after="120"/>
            </w:pPr>
            <w:r w:rsidRPr="008573C5">
              <w:t>Income statements of foreign operations are translated using: (SAS 7.41c)</w:t>
            </w:r>
          </w:p>
          <w:p w:rsidR="00801037" w:rsidRPr="008573C5" w:rsidRDefault="00801037" w:rsidP="00EF5237">
            <w:pPr>
              <w:autoSpaceDE w:val="0"/>
              <w:autoSpaceDN w:val="0"/>
              <w:adjustRightInd w:val="0"/>
              <w:spacing w:after="120"/>
            </w:pPr>
            <w:r w:rsidRPr="008573C5">
              <w:t>i.   closing rates</w:t>
            </w:r>
          </w:p>
          <w:p w:rsidR="00801037" w:rsidRPr="008573C5" w:rsidRDefault="00801037" w:rsidP="00EF5237">
            <w:pPr>
              <w:autoSpaceDE w:val="0"/>
              <w:autoSpaceDN w:val="0"/>
              <w:adjustRightInd w:val="0"/>
              <w:spacing w:after="120"/>
            </w:pPr>
            <w:r w:rsidRPr="008573C5">
              <w:t>ii.  exchange rates at the day of transactions</w:t>
            </w:r>
          </w:p>
          <w:p w:rsidR="00801037" w:rsidRPr="008573C5" w:rsidRDefault="00801037" w:rsidP="00EF5237">
            <w:pPr>
              <w:autoSpaceDE w:val="0"/>
              <w:autoSpaceDN w:val="0"/>
              <w:adjustRightInd w:val="0"/>
              <w:spacing w:after="120"/>
            </w:pPr>
            <w:r w:rsidRPr="008573C5">
              <w:t>iii   average rates</w:t>
            </w:r>
          </w:p>
          <w:p w:rsidR="00801037" w:rsidRPr="008573C5" w:rsidRDefault="00801037" w:rsidP="00EF5237">
            <w:pPr>
              <w:autoSpaceDE w:val="0"/>
              <w:autoSpaceDN w:val="0"/>
              <w:adjustRightInd w:val="0"/>
              <w:spacing w:after="120"/>
            </w:pPr>
            <w:r w:rsidRPr="008573C5">
              <w:t>iv  others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M7</w:t>
            </w:r>
          </w:p>
        </w:tc>
        <w:tc>
          <w:tcPr>
            <w:tcW w:w="7295" w:type="dxa"/>
          </w:tcPr>
          <w:p w:rsidR="00801037" w:rsidRPr="008573C5" w:rsidRDefault="00801037" w:rsidP="00EF5237">
            <w:pPr>
              <w:autoSpaceDE w:val="0"/>
              <w:autoSpaceDN w:val="0"/>
              <w:adjustRightInd w:val="0"/>
              <w:spacing w:after="120"/>
            </w:pPr>
            <w:r w:rsidRPr="008573C5">
              <w:t>Assets and Liabilities  of foreign operations are translated using: (SAS 7.41a)</w:t>
            </w:r>
          </w:p>
          <w:p w:rsidR="00801037" w:rsidRPr="008573C5" w:rsidRDefault="00801037" w:rsidP="00EF5237">
            <w:pPr>
              <w:autoSpaceDE w:val="0"/>
              <w:autoSpaceDN w:val="0"/>
              <w:adjustRightInd w:val="0"/>
              <w:spacing w:after="120"/>
            </w:pPr>
            <w:r w:rsidRPr="008573C5">
              <w:t>i.   closing rates</w:t>
            </w:r>
          </w:p>
          <w:p w:rsidR="00801037" w:rsidRPr="008573C5" w:rsidRDefault="00801037" w:rsidP="00EF5237">
            <w:pPr>
              <w:autoSpaceDE w:val="0"/>
              <w:autoSpaceDN w:val="0"/>
              <w:adjustRightInd w:val="0"/>
              <w:spacing w:after="120"/>
            </w:pPr>
            <w:r w:rsidRPr="008573C5">
              <w:t>ii.  exchange rates at the day of transactions</w:t>
            </w:r>
          </w:p>
          <w:p w:rsidR="00801037" w:rsidRPr="008573C5" w:rsidRDefault="00801037" w:rsidP="00EF5237">
            <w:pPr>
              <w:autoSpaceDE w:val="0"/>
              <w:autoSpaceDN w:val="0"/>
              <w:adjustRightInd w:val="0"/>
              <w:spacing w:after="120"/>
            </w:pPr>
            <w:r w:rsidRPr="008573C5">
              <w:t>iii   average rates</w:t>
            </w:r>
          </w:p>
          <w:p w:rsidR="00801037" w:rsidRPr="008573C5" w:rsidRDefault="00801037" w:rsidP="00EF5237">
            <w:pPr>
              <w:autoSpaceDE w:val="0"/>
              <w:autoSpaceDN w:val="0"/>
              <w:adjustRightInd w:val="0"/>
              <w:spacing w:after="120"/>
            </w:pPr>
            <w:r w:rsidRPr="008573C5">
              <w:t>iv  others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M8</w:t>
            </w:r>
          </w:p>
        </w:tc>
        <w:tc>
          <w:tcPr>
            <w:tcW w:w="7295" w:type="dxa"/>
          </w:tcPr>
          <w:p w:rsidR="00801037" w:rsidRPr="008573C5" w:rsidRDefault="00801037" w:rsidP="00EF5237">
            <w:pPr>
              <w:autoSpaceDE w:val="0"/>
              <w:autoSpaceDN w:val="0"/>
              <w:adjustRightInd w:val="0"/>
              <w:spacing w:after="120"/>
            </w:pPr>
            <w:r w:rsidRPr="008573C5">
              <w:t>Transactions in foreign currencies are converted into Naira at (SAS 7. 38):</w:t>
            </w:r>
          </w:p>
          <w:p w:rsidR="00801037" w:rsidRPr="008573C5" w:rsidRDefault="00801037" w:rsidP="00085210">
            <w:pPr>
              <w:numPr>
                <w:ilvl w:val="0"/>
                <w:numId w:val="6"/>
              </w:numPr>
              <w:autoSpaceDE w:val="0"/>
              <w:autoSpaceDN w:val="0"/>
              <w:adjustRightInd w:val="0"/>
              <w:spacing w:after="120"/>
            </w:pPr>
            <w:r w:rsidRPr="008573C5">
              <w:t>rates of the exchange ruling at the dates of such transactions</w:t>
            </w:r>
          </w:p>
          <w:p w:rsidR="00801037" w:rsidRPr="008573C5" w:rsidRDefault="00801037" w:rsidP="00085210">
            <w:pPr>
              <w:numPr>
                <w:ilvl w:val="0"/>
                <w:numId w:val="6"/>
              </w:numPr>
              <w:autoSpaceDE w:val="0"/>
              <w:autoSpaceDN w:val="0"/>
              <w:adjustRightInd w:val="0"/>
              <w:spacing w:after="120"/>
            </w:pPr>
            <w:r w:rsidRPr="008573C5">
              <w:t>average exchange rate for the financial year</w:t>
            </w:r>
          </w:p>
          <w:p w:rsidR="00801037" w:rsidRPr="008573C5" w:rsidRDefault="00801037" w:rsidP="00085210">
            <w:pPr>
              <w:numPr>
                <w:ilvl w:val="0"/>
                <w:numId w:val="6"/>
              </w:numPr>
              <w:autoSpaceDE w:val="0"/>
              <w:autoSpaceDN w:val="0"/>
              <w:adjustRightInd w:val="0"/>
              <w:spacing w:after="120"/>
            </w:pPr>
            <w:r w:rsidRPr="008573C5">
              <w:t>closing exchange rate</w:t>
            </w:r>
          </w:p>
          <w:p w:rsidR="00801037" w:rsidRPr="008573C5" w:rsidRDefault="00801037" w:rsidP="00085210">
            <w:pPr>
              <w:numPr>
                <w:ilvl w:val="0"/>
                <w:numId w:val="6"/>
              </w:numPr>
              <w:autoSpaceDE w:val="0"/>
              <w:autoSpaceDN w:val="0"/>
              <w:adjustRightInd w:val="0"/>
              <w:spacing w:after="120"/>
            </w:pPr>
            <w:r w:rsidRPr="008573C5">
              <w:t>others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M9</w:t>
            </w:r>
          </w:p>
          <w:p w:rsidR="00801037" w:rsidRPr="008573C5" w:rsidRDefault="00801037" w:rsidP="00EF5237"/>
        </w:tc>
        <w:tc>
          <w:tcPr>
            <w:tcW w:w="7295" w:type="dxa"/>
          </w:tcPr>
          <w:p w:rsidR="00801037" w:rsidRPr="008573C5" w:rsidRDefault="00801037" w:rsidP="00EF5237">
            <w:pPr>
              <w:spacing w:after="120"/>
            </w:pPr>
            <w:r w:rsidRPr="008573C5">
              <w:t>At balance sheet date, balances in foreign currencies are converted into Naira using (SAS 7. 39) :</w:t>
            </w:r>
          </w:p>
          <w:p w:rsidR="00801037" w:rsidRPr="008573C5" w:rsidRDefault="00801037" w:rsidP="00EF5237">
            <w:pPr>
              <w:autoSpaceDE w:val="0"/>
              <w:autoSpaceDN w:val="0"/>
              <w:adjustRightInd w:val="0"/>
              <w:spacing w:after="120"/>
            </w:pPr>
            <w:r w:rsidRPr="008573C5">
              <w:t>i.   closing rates</w:t>
            </w:r>
          </w:p>
          <w:p w:rsidR="00801037" w:rsidRPr="008573C5" w:rsidRDefault="00801037" w:rsidP="00EF5237">
            <w:pPr>
              <w:autoSpaceDE w:val="0"/>
              <w:autoSpaceDN w:val="0"/>
              <w:adjustRightInd w:val="0"/>
              <w:spacing w:after="120"/>
            </w:pPr>
            <w:r w:rsidRPr="008573C5">
              <w:t>ii.  exchange rates at the day of transactions</w:t>
            </w:r>
          </w:p>
          <w:p w:rsidR="00801037" w:rsidRPr="008573C5" w:rsidRDefault="00801037" w:rsidP="00EF5237">
            <w:pPr>
              <w:autoSpaceDE w:val="0"/>
              <w:autoSpaceDN w:val="0"/>
              <w:adjustRightInd w:val="0"/>
              <w:spacing w:after="120"/>
            </w:pPr>
            <w:r w:rsidRPr="008573C5">
              <w:t>iii   average rates</w:t>
            </w:r>
          </w:p>
          <w:p w:rsidR="00801037" w:rsidRPr="008573C5" w:rsidRDefault="00801037" w:rsidP="00EF5237">
            <w:pPr>
              <w:spacing w:after="120"/>
            </w:pPr>
            <w:r w:rsidRPr="008573C5">
              <w:t>iv  others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717D1" w:rsidP="00EF5237">
            <w:r w:rsidRPr="008573C5">
              <w:t>M10</w:t>
            </w:r>
          </w:p>
        </w:tc>
        <w:tc>
          <w:tcPr>
            <w:tcW w:w="7295" w:type="dxa"/>
          </w:tcPr>
          <w:p w:rsidR="00801037" w:rsidRPr="008573C5" w:rsidRDefault="00801037" w:rsidP="00EF5237">
            <w:pPr>
              <w:spacing w:after="120"/>
            </w:pPr>
            <w:r w:rsidRPr="008573C5">
              <w:t>Exchange differences resulting from conversion of foreign currencies  are taken to (SAS 7.38):</w:t>
            </w:r>
          </w:p>
          <w:p w:rsidR="00801037" w:rsidRPr="008573C5" w:rsidRDefault="00801037" w:rsidP="00085210">
            <w:pPr>
              <w:numPr>
                <w:ilvl w:val="0"/>
                <w:numId w:val="7"/>
              </w:numPr>
              <w:spacing w:after="120"/>
            </w:pPr>
            <w:r w:rsidRPr="008573C5">
              <w:t>Profit and Loss account</w:t>
            </w:r>
          </w:p>
          <w:p w:rsidR="00801037" w:rsidRPr="008573C5" w:rsidRDefault="00801037" w:rsidP="00085210">
            <w:pPr>
              <w:numPr>
                <w:ilvl w:val="0"/>
                <w:numId w:val="7"/>
              </w:numPr>
              <w:spacing w:after="120"/>
            </w:pPr>
            <w:r w:rsidRPr="008573C5">
              <w:t>Reserves</w:t>
            </w:r>
          </w:p>
          <w:p w:rsidR="00801037" w:rsidRPr="008573C5" w:rsidRDefault="00801037" w:rsidP="00085210">
            <w:pPr>
              <w:numPr>
                <w:ilvl w:val="0"/>
                <w:numId w:val="7"/>
              </w:numPr>
              <w:spacing w:after="120"/>
            </w:pPr>
            <w:r w:rsidRPr="008573C5">
              <w:t>Others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C6282B" w:rsidP="00EF5237">
            <w:r w:rsidRPr="008573C5">
              <w:t>M11</w:t>
            </w:r>
          </w:p>
        </w:tc>
        <w:tc>
          <w:tcPr>
            <w:tcW w:w="7295" w:type="dxa"/>
          </w:tcPr>
          <w:p w:rsidR="00801037" w:rsidRPr="008573C5" w:rsidRDefault="00801037" w:rsidP="00EF5237">
            <w:pPr>
              <w:spacing w:after="120"/>
            </w:pPr>
            <w:r w:rsidRPr="008573C5">
              <w:t>Exchange differences resulting from translation of foreign entities financial statements are taken to (SAS 7.41):</w:t>
            </w:r>
          </w:p>
          <w:p w:rsidR="00801037" w:rsidRPr="008573C5" w:rsidRDefault="00801037" w:rsidP="00085210">
            <w:pPr>
              <w:numPr>
                <w:ilvl w:val="0"/>
                <w:numId w:val="8"/>
              </w:numPr>
              <w:spacing w:after="120"/>
            </w:pPr>
            <w:r w:rsidRPr="008573C5">
              <w:t>Profit and Loss account</w:t>
            </w:r>
          </w:p>
          <w:p w:rsidR="00801037" w:rsidRPr="008573C5" w:rsidRDefault="00801037" w:rsidP="00085210">
            <w:pPr>
              <w:numPr>
                <w:ilvl w:val="0"/>
                <w:numId w:val="8"/>
              </w:numPr>
              <w:spacing w:after="120"/>
            </w:pPr>
            <w:r w:rsidRPr="008573C5">
              <w:t>Reserves</w:t>
            </w:r>
          </w:p>
          <w:p w:rsidR="00801037" w:rsidRPr="008573C5" w:rsidRDefault="00801037" w:rsidP="00085210">
            <w:pPr>
              <w:numPr>
                <w:ilvl w:val="0"/>
                <w:numId w:val="8"/>
              </w:numPr>
              <w:spacing w:after="120"/>
            </w:pPr>
            <w:r w:rsidRPr="008573C5">
              <w:t>Others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autoSpaceDE w:val="0"/>
              <w:autoSpaceDN w:val="0"/>
              <w:adjustRightInd w:val="0"/>
              <w:spacing w:after="120"/>
              <w:rPr>
                <w:b/>
              </w:rPr>
            </w:pPr>
            <w:r w:rsidRPr="008573C5">
              <w:rPr>
                <w:b/>
              </w:rPr>
              <w:t>SAS 8 – On Accounting For Employees’ Retirement Benefits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C6282B" w:rsidP="00EF5237">
            <w:r w:rsidRPr="008573C5">
              <w:t>45</w:t>
            </w:r>
          </w:p>
        </w:tc>
        <w:tc>
          <w:tcPr>
            <w:tcW w:w="7295" w:type="dxa"/>
          </w:tcPr>
          <w:p w:rsidR="00801037" w:rsidRPr="008573C5" w:rsidRDefault="00801037" w:rsidP="00EF5237">
            <w:pPr>
              <w:autoSpaceDE w:val="0"/>
              <w:autoSpaceDN w:val="0"/>
              <w:adjustRightInd w:val="0"/>
              <w:spacing w:after="120"/>
            </w:pPr>
            <w:r w:rsidRPr="008573C5">
              <w:t>Has the reporting entity disclosed in the notes to the accounts the categories of employees covered for the retirement, provident or pension plan? (SAS 8. 76a)</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4</w:t>
            </w:r>
            <w:r w:rsidR="00C6282B" w:rsidRPr="008573C5">
              <w:t>6</w:t>
            </w:r>
          </w:p>
        </w:tc>
        <w:tc>
          <w:tcPr>
            <w:tcW w:w="7295" w:type="dxa"/>
          </w:tcPr>
          <w:p w:rsidR="00801037" w:rsidRPr="008573C5" w:rsidRDefault="00801037" w:rsidP="00EF5237">
            <w:pPr>
              <w:autoSpaceDE w:val="0"/>
              <w:autoSpaceDN w:val="0"/>
              <w:adjustRightInd w:val="0"/>
              <w:spacing w:after="120"/>
            </w:pPr>
            <w:r w:rsidRPr="008573C5">
              <w:t>Has the company disclosed in the notes to the accounts the accounting, actuarial and funding methods used, and changes thereto, where a defined contribution or benefit plan exists? (SAS 8. 76b)</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rPr>
          <w:trHeight w:val="2717"/>
        </w:trPr>
        <w:tc>
          <w:tcPr>
            <w:tcW w:w="1168" w:type="dxa"/>
          </w:tcPr>
          <w:p w:rsidR="00801037" w:rsidRPr="008573C5" w:rsidRDefault="00801037" w:rsidP="00EF5237">
            <w:r w:rsidRPr="008573C5">
              <w:t>4</w:t>
            </w:r>
            <w:r w:rsidR="00C6282B" w:rsidRPr="008573C5">
              <w:t>7</w:t>
            </w:r>
          </w:p>
        </w:tc>
        <w:tc>
          <w:tcPr>
            <w:tcW w:w="7295" w:type="dxa"/>
          </w:tcPr>
          <w:p w:rsidR="00801037" w:rsidRPr="008573C5" w:rsidRDefault="00801037" w:rsidP="00EF5237">
            <w:pPr>
              <w:autoSpaceDE w:val="0"/>
              <w:autoSpaceDN w:val="0"/>
              <w:adjustRightInd w:val="0"/>
              <w:spacing w:after="120"/>
            </w:pPr>
            <w:r w:rsidRPr="008573C5">
              <w:t>Has the company disclosed in the notes to the accounts the provisions made for retirement, provident or pension costs for the year? (SAS 8. 76c)</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C6282B" w:rsidP="00EF5237">
            <w:r w:rsidRPr="008573C5">
              <w:t>M12</w:t>
            </w:r>
          </w:p>
        </w:tc>
        <w:tc>
          <w:tcPr>
            <w:tcW w:w="7295" w:type="dxa"/>
          </w:tcPr>
          <w:p w:rsidR="00801037" w:rsidRPr="008573C5" w:rsidRDefault="00801037" w:rsidP="00EF5237">
            <w:pPr>
              <w:autoSpaceDE w:val="0"/>
              <w:autoSpaceDN w:val="0"/>
              <w:adjustRightInd w:val="0"/>
              <w:spacing w:after="120"/>
            </w:pPr>
            <w:r w:rsidRPr="008573C5">
              <w:t>Retirement benefits are determined using (SAS 8.13):</w:t>
            </w:r>
          </w:p>
          <w:p w:rsidR="00801037" w:rsidRPr="008573C5" w:rsidRDefault="00801037" w:rsidP="00085210">
            <w:pPr>
              <w:numPr>
                <w:ilvl w:val="0"/>
                <w:numId w:val="9"/>
              </w:numPr>
              <w:autoSpaceDE w:val="0"/>
              <w:autoSpaceDN w:val="0"/>
              <w:adjustRightInd w:val="0"/>
              <w:spacing w:after="120"/>
            </w:pPr>
            <w:r w:rsidRPr="008573C5">
              <w:t xml:space="preserve">Benefit-based plan- </w:t>
            </w:r>
          </w:p>
          <w:p w:rsidR="00801037" w:rsidRPr="008573C5" w:rsidRDefault="00801037" w:rsidP="00085210">
            <w:pPr>
              <w:numPr>
                <w:ilvl w:val="0"/>
                <w:numId w:val="9"/>
              </w:numPr>
              <w:autoSpaceDE w:val="0"/>
              <w:autoSpaceDN w:val="0"/>
              <w:adjustRightInd w:val="0"/>
              <w:spacing w:after="120"/>
            </w:pPr>
            <w:r w:rsidRPr="008573C5">
              <w:t>Contribution-based plan-</w:t>
            </w:r>
            <w:r w:rsidRPr="008573C5">
              <w:rPr>
                <w:i/>
              </w:rPr>
              <w:t>defined contribution</w:t>
            </w:r>
          </w:p>
          <w:p w:rsidR="00801037" w:rsidRPr="008573C5" w:rsidRDefault="00801037" w:rsidP="00085210">
            <w:pPr>
              <w:numPr>
                <w:ilvl w:val="0"/>
                <w:numId w:val="9"/>
              </w:numPr>
              <w:autoSpaceDE w:val="0"/>
              <w:autoSpaceDN w:val="0"/>
              <w:adjustRightInd w:val="0"/>
              <w:spacing w:after="120"/>
            </w:pPr>
            <w:r w:rsidRPr="008573C5">
              <w:t>Others – unfunded</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C6282B" w:rsidP="00EF5237">
            <w:r w:rsidRPr="008573C5">
              <w:t>M13</w:t>
            </w:r>
          </w:p>
        </w:tc>
        <w:tc>
          <w:tcPr>
            <w:tcW w:w="7295" w:type="dxa"/>
          </w:tcPr>
          <w:p w:rsidR="00801037" w:rsidRPr="008573C5" w:rsidRDefault="00801037" w:rsidP="00EF5237">
            <w:pPr>
              <w:autoSpaceDE w:val="0"/>
              <w:autoSpaceDN w:val="0"/>
              <w:adjustRightInd w:val="0"/>
              <w:spacing w:after="120"/>
            </w:pPr>
            <w:r w:rsidRPr="008573C5">
              <w:t>For contributory pension scheme:</w:t>
            </w:r>
          </w:p>
          <w:p w:rsidR="00801037" w:rsidRPr="008573C5" w:rsidRDefault="00801037" w:rsidP="00085210">
            <w:pPr>
              <w:numPr>
                <w:ilvl w:val="0"/>
                <w:numId w:val="10"/>
              </w:numPr>
              <w:autoSpaceDE w:val="0"/>
              <w:autoSpaceDN w:val="0"/>
              <w:adjustRightInd w:val="0"/>
              <w:spacing w:after="120"/>
            </w:pPr>
            <w:r w:rsidRPr="008573C5">
              <w:t>What is the percentage contribution of the employer?</w:t>
            </w:r>
          </w:p>
          <w:p w:rsidR="00801037" w:rsidRPr="008573C5" w:rsidRDefault="00801037" w:rsidP="00EF5237">
            <w:pPr>
              <w:autoSpaceDE w:val="0"/>
              <w:autoSpaceDN w:val="0"/>
              <w:adjustRightInd w:val="0"/>
              <w:spacing w:after="120"/>
              <w:ind w:left="360"/>
            </w:pPr>
            <w:r w:rsidRPr="008573C5">
              <w:t>ii          What is the percentage contribution of the employee?</w:t>
            </w:r>
          </w:p>
          <w:p w:rsidR="00801037" w:rsidRPr="008573C5" w:rsidRDefault="00801037" w:rsidP="00EF5237">
            <w:pPr>
              <w:spacing w:after="120"/>
            </w:pP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autoSpaceDE w:val="0"/>
              <w:autoSpaceDN w:val="0"/>
              <w:adjustRightInd w:val="0"/>
              <w:spacing w:after="120"/>
              <w:rPr>
                <w:b/>
              </w:rPr>
            </w:pPr>
            <w:r w:rsidRPr="008573C5">
              <w:rPr>
                <w:b/>
              </w:rPr>
              <w:t>SAS 9 – Accounting For Depreciation</w:t>
            </w:r>
          </w:p>
          <w:p w:rsidR="00801037" w:rsidRPr="008573C5" w:rsidRDefault="00801037" w:rsidP="00EF5237">
            <w:pPr>
              <w:spacing w:after="120"/>
            </w:pP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C6282B" w:rsidP="00EF5237">
            <w:r w:rsidRPr="008573C5">
              <w:t>M14</w:t>
            </w:r>
          </w:p>
        </w:tc>
        <w:tc>
          <w:tcPr>
            <w:tcW w:w="7295" w:type="dxa"/>
          </w:tcPr>
          <w:p w:rsidR="00801037" w:rsidRPr="008573C5" w:rsidRDefault="00801037" w:rsidP="00EF5237">
            <w:pPr>
              <w:autoSpaceDE w:val="0"/>
              <w:autoSpaceDN w:val="0"/>
              <w:adjustRightInd w:val="0"/>
              <w:spacing w:after="120"/>
            </w:pPr>
            <w:r w:rsidRPr="008573C5">
              <w:t>The depreciable value of an item of property, plant and equipment is (SAS 9.35):</w:t>
            </w:r>
          </w:p>
          <w:p w:rsidR="00801037" w:rsidRPr="008573C5" w:rsidRDefault="00801037" w:rsidP="00085210">
            <w:pPr>
              <w:numPr>
                <w:ilvl w:val="0"/>
                <w:numId w:val="11"/>
              </w:numPr>
              <w:autoSpaceDE w:val="0"/>
              <w:autoSpaceDN w:val="0"/>
              <w:adjustRightInd w:val="0"/>
              <w:spacing w:after="120"/>
            </w:pPr>
            <w:r w:rsidRPr="008573C5">
              <w:t>historical costs</w:t>
            </w:r>
          </w:p>
          <w:p w:rsidR="00801037" w:rsidRPr="008573C5" w:rsidRDefault="00801037" w:rsidP="00085210">
            <w:pPr>
              <w:numPr>
                <w:ilvl w:val="0"/>
                <w:numId w:val="11"/>
              </w:numPr>
              <w:autoSpaceDE w:val="0"/>
              <w:autoSpaceDN w:val="0"/>
              <w:adjustRightInd w:val="0"/>
              <w:spacing w:after="120"/>
            </w:pPr>
            <w:r w:rsidRPr="008573C5">
              <w:t>revalued amount</w:t>
            </w:r>
          </w:p>
          <w:p w:rsidR="00801037" w:rsidRPr="008573C5" w:rsidRDefault="00801037" w:rsidP="00085210">
            <w:pPr>
              <w:numPr>
                <w:ilvl w:val="0"/>
                <w:numId w:val="11"/>
              </w:numPr>
              <w:autoSpaceDE w:val="0"/>
              <w:autoSpaceDN w:val="0"/>
              <w:adjustRightInd w:val="0"/>
              <w:spacing w:after="120"/>
            </w:pPr>
            <w:r w:rsidRPr="008573C5">
              <w:t>cost and valuation</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C6282B" w:rsidP="00EF5237">
            <w:r w:rsidRPr="008573C5">
              <w:t>M15</w:t>
            </w:r>
          </w:p>
        </w:tc>
        <w:tc>
          <w:tcPr>
            <w:tcW w:w="7295" w:type="dxa"/>
          </w:tcPr>
          <w:p w:rsidR="00801037" w:rsidRPr="008573C5" w:rsidRDefault="00801037" w:rsidP="00EF5237">
            <w:pPr>
              <w:autoSpaceDE w:val="0"/>
              <w:autoSpaceDN w:val="0"/>
              <w:adjustRightInd w:val="0"/>
              <w:spacing w:after="120"/>
            </w:pPr>
            <w:r w:rsidRPr="008573C5">
              <w:t>What method of depreciation is used( SAS 9. 37)?</w:t>
            </w:r>
          </w:p>
          <w:p w:rsidR="00801037" w:rsidRPr="008573C5" w:rsidRDefault="00801037" w:rsidP="00085210">
            <w:pPr>
              <w:numPr>
                <w:ilvl w:val="0"/>
                <w:numId w:val="12"/>
              </w:numPr>
              <w:autoSpaceDE w:val="0"/>
              <w:autoSpaceDN w:val="0"/>
              <w:adjustRightInd w:val="0"/>
              <w:spacing w:after="120"/>
            </w:pPr>
            <w:r w:rsidRPr="008573C5">
              <w:t>Straight line method</w:t>
            </w:r>
          </w:p>
          <w:p w:rsidR="00801037" w:rsidRPr="008573C5" w:rsidRDefault="00801037" w:rsidP="00085210">
            <w:pPr>
              <w:numPr>
                <w:ilvl w:val="0"/>
                <w:numId w:val="12"/>
              </w:numPr>
              <w:autoSpaceDE w:val="0"/>
              <w:autoSpaceDN w:val="0"/>
              <w:adjustRightInd w:val="0"/>
              <w:spacing w:after="120"/>
            </w:pPr>
            <w:r w:rsidRPr="008573C5">
              <w:t>Reducing balance method</w:t>
            </w:r>
          </w:p>
          <w:p w:rsidR="00801037" w:rsidRPr="008573C5" w:rsidRDefault="00801037" w:rsidP="00085210">
            <w:pPr>
              <w:numPr>
                <w:ilvl w:val="0"/>
                <w:numId w:val="12"/>
              </w:numPr>
              <w:autoSpaceDE w:val="0"/>
              <w:autoSpaceDN w:val="0"/>
              <w:adjustRightInd w:val="0"/>
              <w:spacing w:after="120"/>
            </w:pPr>
            <w:r w:rsidRPr="008573C5">
              <w:t>Both (i) and (ii)</w:t>
            </w:r>
          </w:p>
          <w:p w:rsidR="00801037" w:rsidRPr="008573C5" w:rsidRDefault="00801037" w:rsidP="00085210">
            <w:pPr>
              <w:numPr>
                <w:ilvl w:val="0"/>
                <w:numId w:val="12"/>
              </w:numPr>
              <w:autoSpaceDE w:val="0"/>
              <w:autoSpaceDN w:val="0"/>
              <w:adjustRightInd w:val="0"/>
              <w:spacing w:after="120"/>
            </w:pPr>
            <w:r w:rsidRPr="008573C5">
              <w:t>Others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C6282B" w:rsidP="00EF5237">
            <w:r w:rsidRPr="008573C5">
              <w:t>M16</w:t>
            </w:r>
          </w:p>
        </w:tc>
        <w:tc>
          <w:tcPr>
            <w:tcW w:w="7295" w:type="dxa"/>
          </w:tcPr>
          <w:p w:rsidR="00801037" w:rsidRPr="008573C5" w:rsidRDefault="00801037" w:rsidP="00EF5237">
            <w:pPr>
              <w:autoSpaceDE w:val="0"/>
              <w:autoSpaceDN w:val="0"/>
              <w:adjustRightInd w:val="0"/>
              <w:spacing w:after="120"/>
            </w:pPr>
            <w:r w:rsidRPr="008573C5">
              <w:t>Average depreciation period for:</w:t>
            </w:r>
          </w:p>
          <w:p w:rsidR="00801037" w:rsidRPr="008573C5" w:rsidRDefault="00801037" w:rsidP="00085210">
            <w:pPr>
              <w:numPr>
                <w:ilvl w:val="0"/>
                <w:numId w:val="14"/>
              </w:numPr>
              <w:autoSpaceDE w:val="0"/>
              <w:autoSpaceDN w:val="0"/>
              <w:adjustRightInd w:val="0"/>
              <w:spacing w:after="120"/>
            </w:pPr>
            <w:r w:rsidRPr="008573C5">
              <w:t>Land and buildings is ………….</w:t>
            </w:r>
          </w:p>
          <w:p w:rsidR="00801037" w:rsidRPr="008573C5" w:rsidRDefault="00801037" w:rsidP="00085210">
            <w:pPr>
              <w:numPr>
                <w:ilvl w:val="0"/>
                <w:numId w:val="14"/>
              </w:numPr>
              <w:autoSpaceDE w:val="0"/>
              <w:autoSpaceDN w:val="0"/>
              <w:adjustRightInd w:val="0"/>
              <w:spacing w:after="120"/>
            </w:pPr>
            <w:r w:rsidRPr="008573C5">
              <w:t>Plant and Machinery is …………….</w:t>
            </w:r>
          </w:p>
          <w:p w:rsidR="00801037" w:rsidRPr="008573C5" w:rsidRDefault="00801037" w:rsidP="00085210">
            <w:pPr>
              <w:numPr>
                <w:ilvl w:val="0"/>
                <w:numId w:val="14"/>
              </w:numPr>
              <w:autoSpaceDE w:val="0"/>
              <w:autoSpaceDN w:val="0"/>
              <w:adjustRightInd w:val="0"/>
              <w:spacing w:after="120"/>
            </w:pPr>
            <w:r w:rsidRPr="008573C5">
              <w:t>Motor vehicles are …………….</w:t>
            </w:r>
          </w:p>
          <w:p w:rsidR="00801037" w:rsidRPr="008573C5" w:rsidRDefault="00801037" w:rsidP="00085210">
            <w:pPr>
              <w:numPr>
                <w:ilvl w:val="0"/>
                <w:numId w:val="14"/>
              </w:numPr>
              <w:autoSpaceDE w:val="0"/>
              <w:autoSpaceDN w:val="0"/>
              <w:adjustRightInd w:val="0"/>
              <w:spacing w:after="120"/>
            </w:pPr>
            <w:r w:rsidRPr="008573C5">
              <w:t>Furniture and fittings.....................</w:t>
            </w:r>
          </w:p>
          <w:p w:rsidR="00801037" w:rsidRPr="008573C5" w:rsidRDefault="00801037" w:rsidP="00085210">
            <w:pPr>
              <w:numPr>
                <w:ilvl w:val="0"/>
                <w:numId w:val="14"/>
              </w:numPr>
              <w:autoSpaceDE w:val="0"/>
              <w:autoSpaceDN w:val="0"/>
              <w:adjustRightInd w:val="0"/>
              <w:spacing w:after="120"/>
            </w:pPr>
            <w:r w:rsidRPr="008573C5">
              <w:t>Computer Equipment is ……………….</w:t>
            </w:r>
          </w:p>
          <w:p w:rsidR="00801037" w:rsidRPr="008573C5" w:rsidRDefault="00801037" w:rsidP="00085210">
            <w:pPr>
              <w:numPr>
                <w:ilvl w:val="0"/>
                <w:numId w:val="13"/>
              </w:numPr>
              <w:autoSpaceDE w:val="0"/>
              <w:autoSpaceDN w:val="0"/>
              <w:adjustRightInd w:val="0"/>
              <w:spacing w:after="120"/>
            </w:pPr>
            <w:r w:rsidRPr="008573C5">
              <w:t>Other Equipment is …………………..</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4</w:t>
            </w:r>
            <w:r w:rsidR="00C6282B" w:rsidRPr="008573C5">
              <w:t>8</w:t>
            </w:r>
          </w:p>
        </w:tc>
        <w:tc>
          <w:tcPr>
            <w:tcW w:w="7295" w:type="dxa"/>
          </w:tcPr>
          <w:p w:rsidR="00801037" w:rsidRPr="008573C5" w:rsidRDefault="00801037" w:rsidP="00EF5237">
            <w:pPr>
              <w:autoSpaceDE w:val="0"/>
              <w:autoSpaceDN w:val="0"/>
              <w:adjustRightInd w:val="0"/>
              <w:spacing w:after="120"/>
            </w:pPr>
            <w:r w:rsidRPr="008573C5">
              <w:t>Is the amount charged as depreciation during the period disclosed in the Notes to the Accounts? (SAS 9. 46a)</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4</w:t>
            </w:r>
            <w:r w:rsidR="00C6282B" w:rsidRPr="008573C5">
              <w:t>9</w:t>
            </w:r>
          </w:p>
        </w:tc>
        <w:tc>
          <w:tcPr>
            <w:tcW w:w="7295" w:type="dxa"/>
          </w:tcPr>
          <w:p w:rsidR="00801037" w:rsidRPr="008573C5" w:rsidRDefault="00801037" w:rsidP="00EF5237">
            <w:pPr>
              <w:autoSpaceDE w:val="0"/>
              <w:autoSpaceDN w:val="0"/>
              <w:adjustRightInd w:val="0"/>
              <w:spacing w:after="120"/>
            </w:pPr>
            <w:r w:rsidRPr="008573C5">
              <w:t>Is the effect of changes in depreciation rate on the operating results of the period disclosed by way of Notes to the Account? (SAS 9. 46b)</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C6282B" w:rsidP="00EF5237">
            <w:r w:rsidRPr="008573C5">
              <w:t>50</w:t>
            </w:r>
          </w:p>
        </w:tc>
        <w:tc>
          <w:tcPr>
            <w:tcW w:w="7295" w:type="dxa"/>
          </w:tcPr>
          <w:p w:rsidR="00801037" w:rsidRPr="008573C5" w:rsidRDefault="00801037" w:rsidP="00EF5237">
            <w:pPr>
              <w:spacing w:after="120"/>
            </w:pPr>
            <w:r w:rsidRPr="008573C5">
              <w:t>Are the methods used in computing depreciation in the period disclosed in the Notes to the Account?  (SAS 9. 46c)</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5</w:t>
            </w:r>
            <w:r w:rsidR="00C6282B" w:rsidRPr="008573C5">
              <w:t>1</w:t>
            </w:r>
          </w:p>
        </w:tc>
        <w:tc>
          <w:tcPr>
            <w:tcW w:w="7295" w:type="dxa"/>
          </w:tcPr>
          <w:p w:rsidR="00801037" w:rsidRPr="008573C5" w:rsidRDefault="00801037" w:rsidP="00EF5237">
            <w:pPr>
              <w:spacing w:after="120"/>
            </w:pPr>
            <w:r w:rsidRPr="008573C5">
              <w:t>Is the accumulated depreciation for each category or group of assets disclosed in the Note to the Account?(SAS 9.46d)</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autoSpaceDE w:val="0"/>
              <w:autoSpaceDN w:val="0"/>
              <w:adjustRightInd w:val="0"/>
              <w:spacing w:after="120"/>
              <w:ind w:left="360"/>
            </w:pPr>
            <w:r w:rsidRPr="008573C5">
              <w:rPr>
                <w:b/>
              </w:rPr>
              <w:t>SAS 13 – On Accounting for Investments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5</w:t>
            </w:r>
            <w:r w:rsidR="00C6282B" w:rsidRPr="008573C5">
              <w:t>2</w:t>
            </w:r>
          </w:p>
        </w:tc>
        <w:tc>
          <w:tcPr>
            <w:tcW w:w="7295" w:type="dxa"/>
          </w:tcPr>
          <w:p w:rsidR="00801037" w:rsidRPr="008573C5" w:rsidRDefault="007A2AE1" w:rsidP="00EF5237">
            <w:pPr>
              <w:autoSpaceDE w:val="0"/>
              <w:autoSpaceDN w:val="0"/>
              <w:adjustRightInd w:val="0"/>
              <w:spacing w:after="120"/>
            </w:pPr>
            <w:r w:rsidRPr="008573C5">
              <w:t>Does</w:t>
            </w:r>
            <w:r w:rsidR="00801037" w:rsidRPr="008573C5">
              <w:t xml:space="preserve"> the entity disclose the aggregate quoted market value of securities of quoted companies as well as their corresponding carrying amounts? (SAS 13. 55)</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5</w:t>
            </w:r>
            <w:r w:rsidR="00C6282B" w:rsidRPr="008573C5">
              <w:t>3</w:t>
            </w:r>
          </w:p>
        </w:tc>
        <w:tc>
          <w:tcPr>
            <w:tcW w:w="7295" w:type="dxa"/>
          </w:tcPr>
          <w:p w:rsidR="00801037" w:rsidRPr="008573C5" w:rsidRDefault="00801037" w:rsidP="00EF5237">
            <w:pPr>
              <w:spacing w:after="120"/>
            </w:pPr>
            <w:r w:rsidRPr="008573C5">
              <w:t>Has the company disclosed significant amounts included in income in respect of interest, dividends and rentals on short-term investments, and investment properties?(SAS 13.56)</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5</w:t>
            </w:r>
            <w:r w:rsidR="00C6282B" w:rsidRPr="008573C5">
              <w:t>4</w:t>
            </w:r>
          </w:p>
        </w:tc>
        <w:tc>
          <w:tcPr>
            <w:tcW w:w="7295" w:type="dxa"/>
          </w:tcPr>
          <w:p w:rsidR="00801037" w:rsidRPr="008573C5" w:rsidRDefault="00801037" w:rsidP="00EF5237">
            <w:pPr>
              <w:autoSpaceDE w:val="0"/>
              <w:autoSpaceDN w:val="0"/>
              <w:adjustRightInd w:val="0"/>
              <w:spacing w:after="120"/>
            </w:pPr>
            <w:r w:rsidRPr="008573C5">
              <w:t>Has the company disclosed significant amounts included in income in respect of profits and losses on disposal of short and long term investments?(SAS 13.56)</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5</w:t>
            </w:r>
            <w:r w:rsidR="00C6282B" w:rsidRPr="008573C5">
              <w:t>5</w:t>
            </w:r>
          </w:p>
        </w:tc>
        <w:tc>
          <w:tcPr>
            <w:tcW w:w="7295" w:type="dxa"/>
          </w:tcPr>
          <w:p w:rsidR="00801037" w:rsidRPr="008573C5" w:rsidRDefault="00801037" w:rsidP="00EF5237">
            <w:pPr>
              <w:autoSpaceDE w:val="0"/>
              <w:autoSpaceDN w:val="0"/>
              <w:adjustRightInd w:val="0"/>
              <w:spacing w:after="120"/>
            </w:pPr>
            <w:r w:rsidRPr="008573C5">
              <w:t>Has the company disclosed significant amounts included in income in respect of the amount by which aggregate cost exceeds market value? SAS 13.56)</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C6282B" w:rsidP="00EF5237">
            <w:r w:rsidRPr="008573C5">
              <w:t>56</w:t>
            </w:r>
          </w:p>
        </w:tc>
        <w:tc>
          <w:tcPr>
            <w:tcW w:w="7295" w:type="dxa"/>
          </w:tcPr>
          <w:p w:rsidR="00801037" w:rsidRPr="008573C5" w:rsidRDefault="00801037" w:rsidP="00EF5237">
            <w:pPr>
              <w:autoSpaceDE w:val="0"/>
              <w:autoSpaceDN w:val="0"/>
              <w:adjustRightInd w:val="0"/>
              <w:spacing w:after="120"/>
            </w:pPr>
            <w:r w:rsidRPr="008573C5">
              <w:t>Has the reporting enterprise disclosed the names of the persons making the valuation of its investment properties or other long-term investments for which an active market does not exist, their professional qualifications, the dates and bases of valuation, or whether they are employees or officers of the company or group which owns the property? (SAS 13.59)</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autoSpaceDE w:val="0"/>
              <w:autoSpaceDN w:val="0"/>
              <w:adjustRightInd w:val="0"/>
              <w:spacing w:after="120"/>
              <w:rPr>
                <w:b/>
              </w:rPr>
            </w:pPr>
            <w:r w:rsidRPr="008573C5">
              <w:rPr>
                <w:b/>
              </w:rPr>
              <w:t>SAS 18 – On Statement of Cash Flows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C6282B" w:rsidP="00EF5237">
            <w:r w:rsidRPr="008573C5">
              <w:t>57</w:t>
            </w:r>
          </w:p>
        </w:tc>
        <w:tc>
          <w:tcPr>
            <w:tcW w:w="7295" w:type="dxa"/>
          </w:tcPr>
          <w:p w:rsidR="00801037" w:rsidRPr="008573C5" w:rsidRDefault="00801037" w:rsidP="00EF5237">
            <w:pPr>
              <w:autoSpaceDE w:val="0"/>
              <w:autoSpaceDN w:val="0"/>
              <w:adjustRightInd w:val="0"/>
              <w:spacing w:after="120"/>
            </w:pPr>
            <w:r w:rsidRPr="008573C5">
              <w:t>Does the cash flow statement disclose cash flows during the period classified by operating, investing and financing activities? (SAS 18.66)</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C6282B" w:rsidP="00EF5237">
            <w:r w:rsidRPr="008573C5">
              <w:t>M17</w:t>
            </w:r>
          </w:p>
        </w:tc>
        <w:tc>
          <w:tcPr>
            <w:tcW w:w="7295" w:type="dxa"/>
          </w:tcPr>
          <w:p w:rsidR="00801037" w:rsidRPr="008573C5" w:rsidRDefault="00801037" w:rsidP="00EF5237">
            <w:pPr>
              <w:autoSpaceDE w:val="0"/>
              <w:autoSpaceDN w:val="0"/>
              <w:adjustRightInd w:val="0"/>
              <w:spacing w:after="120"/>
              <w:jc w:val="both"/>
            </w:pPr>
            <w:r w:rsidRPr="008573C5">
              <w:t>Does the Company disclose cash flows from operating activities using either: (SAS 18.67)</w:t>
            </w:r>
          </w:p>
          <w:p w:rsidR="00801037" w:rsidRPr="008573C5" w:rsidRDefault="00801037" w:rsidP="00EF5237">
            <w:pPr>
              <w:autoSpaceDE w:val="0"/>
              <w:autoSpaceDN w:val="0"/>
              <w:adjustRightInd w:val="0"/>
              <w:spacing w:after="120"/>
              <w:jc w:val="both"/>
            </w:pPr>
            <w:r w:rsidRPr="008573C5">
              <w:t>i) the direct method? or</w:t>
            </w:r>
          </w:p>
          <w:p w:rsidR="00801037" w:rsidRPr="008573C5" w:rsidRDefault="00801037" w:rsidP="00EF5237">
            <w:pPr>
              <w:autoSpaceDE w:val="0"/>
              <w:autoSpaceDN w:val="0"/>
              <w:adjustRightInd w:val="0"/>
              <w:jc w:val="both"/>
            </w:pPr>
            <w:r w:rsidRPr="008573C5">
              <w:t xml:space="preserve">ii) </w:t>
            </w:r>
            <w:r w:rsidRPr="008573C5">
              <w:rPr>
                <w:lang w:eastAsia="en-GB"/>
              </w:rPr>
              <w:t xml:space="preserve"> the indirect method?</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C6282B" w:rsidP="00EF5237">
            <w:r w:rsidRPr="008573C5">
              <w:t>58</w:t>
            </w:r>
          </w:p>
        </w:tc>
        <w:tc>
          <w:tcPr>
            <w:tcW w:w="7295" w:type="dxa"/>
          </w:tcPr>
          <w:p w:rsidR="00801037" w:rsidRPr="008573C5" w:rsidRDefault="00801037" w:rsidP="00EF5237">
            <w:pPr>
              <w:autoSpaceDE w:val="0"/>
              <w:autoSpaceDN w:val="0"/>
              <w:adjustRightInd w:val="0"/>
              <w:spacing w:after="120"/>
            </w:pPr>
            <w:r w:rsidRPr="008573C5">
              <w:t>Do</w:t>
            </w:r>
            <w:r w:rsidR="00952C95" w:rsidRPr="008573C5">
              <w:t>es</w:t>
            </w:r>
            <w:r w:rsidRPr="008573C5">
              <w:t xml:space="preserve"> the cash flows disclosed separately, interest received, dividends received, interest paid, dividends paid and income taxes paid in the Statement of Cash Flows? (SAS 18.80)</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C6282B" w:rsidP="00EF5237">
            <w:r w:rsidRPr="008573C5">
              <w:t>59</w:t>
            </w:r>
          </w:p>
        </w:tc>
        <w:tc>
          <w:tcPr>
            <w:tcW w:w="7295" w:type="dxa"/>
          </w:tcPr>
          <w:p w:rsidR="00801037" w:rsidRPr="008573C5" w:rsidRDefault="00801037" w:rsidP="00EF5237">
            <w:r w:rsidRPr="008573C5">
              <w:t>Does the reporting enterprise prepare a Statement of Cash Flows as an integral   part of its financial statement, prepared on a net basis? (SAS 18.81).</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6</w:t>
            </w:r>
            <w:r w:rsidR="00C6282B" w:rsidRPr="008573C5">
              <w:t>0</w:t>
            </w:r>
          </w:p>
        </w:tc>
        <w:tc>
          <w:tcPr>
            <w:tcW w:w="7295" w:type="dxa"/>
          </w:tcPr>
          <w:p w:rsidR="00801037" w:rsidRPr="008573C5" w:rsidRDefault="00801037" w:rsidP="00EF5237">
            <w:pPr>
              <w:autoSpaceDE w:val="0"/>
              <w:autoSpaceDN w:val="0"/>
              <w:adjustRightInd w:val="0"/>
              <w:spacing w:after="120"/>
            </w:pPr>
            <w:r w:rsidRPr="008573C5">
              <w:t>Does the enterprise disclose by way of note a reconciliation of the amounts in its Statement of Cash Flows with equivalent items reported in the profit and loss account and the balance sheet? (SAS 18. 82)</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6</w:t>
            </w:r>
            <w:r w:rsidR="00C6282B" w:rsidRPr="008573C5">
              <w:t>1</w:t>
            </w:r>
          </w:p>
        </w:tc>
        <w:tc>
          <w:tcPr>
            <w:tcW w:w="7295" w:type="dxa"/>
          </w:tcPr>
          <w:p w:rsidR="00801037" w:rsidRPr="008573C5" w:rsidRDefault="00801037" w:rsidP="00EF5237">
            <w:r w:rsidRPr="008573C5">
              <w:t>Does the Statement of Cash Flows include separately a reconciliation of the increase and decrease in cash and cash equivalents during the reporting period with opening and closing balances? (SAS 18.82)</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r w:rsidRPr="008573C5">
              <w:rPr>
                <w:b/>
              </w:rPr>
              <w:t>SAS 19- Accounting For Taxes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C6282B" w:rsidP="00EF5237">
            <w:r w:rsidRPr="008573C5">
              <w:t>M18</w:t>
            </w:r>
          </w:p>
        </w:tc>
        <w:tc>
          <w:tcPr>
            <w:tcW w:w="7295" w:type="dxa"/>
          </w:tcPr>
          <w:p w:rsidR="00801037" w:rsidRPr="008573C5" w:rsidRDefault="00801037" w:rsidP="00EF5237">
            <w:pPr>
              <w:autoSpaceDE w:val="0"/>
              <w:autoSpaceDN w:val="0"/>
              <w:adjustRightInd w:val="0"/>
              <w:spacing w:after="120"/>
            </w:pPr>
            <w:r w:rsidRPr="008573C5">
              <w:t>Deferred tax is computed using the following method (SAS 12. 32)</w:t>
            </w:r>
          </w:p>
          <w:p w:rsidR="00801037" w:rsidRPr="008573C5" w:rsidRDefault="00801037" w:rsidP="00085210">
            <w:pPr>
              <w:numPr>
                <w:ilvl w:val="0"/>
                <w:numId w:val="15"/>
              </w:numPr>
              <w:autoSpaceDE w:val="0"/>
              <w:autoSpaceDN w:val="0"/>
              <w:adjustRightInd w:val="0"/>
              <w:spacing w:after="120"/>
            </w:pPr>
            <w:r w:rsidRPr="008573C5">
              <w:t xml:space="preserve">liability method- </w:t>
            </w:r>
          </w:p>
          <w:p w:rsidR="00801037" w:rsidRPr="008573C5" w:rsidRDefault="00801037" w:rsidP="00085210">
            <w:pPr>
              <w:numPr>
                <w:ilvl w:val="0"/>
                <w:numId w:val="15"/>
              </w:numPr>
              <w:autoSpaceDE w:val="0"/>
              <w:autoSpaceDN w:val="0"/>
              <w:adjustRightInd w:val="0"/>
              <w:spacing w:after="120"/>
            </w:pPr>
            <w:r w:rsidRPr="008573C5">
              <w:t>nil prov</w:t>
            </w:r>
          </w:p>
          <w:p w:rsidR="00801037" w:rsidRPr="008573C5" w:rsidRDefault="00801037" w:rsidP="00085210">
            <w:pPr>
              <w:numPr>
                <w:ilvl w:val="0"/>
                <w:numId w:val="15"/>
              </w:numPr>
              <w:autoSpaceDE w:val="0"/>
              <w:autoSpaceDN w:val="0"/>
              <w:adjustRightInd w:val="0"/>
              <w:spacing w:after="120"/>
            </w:pPr>
            <w:r w:rsidRPr="008573C5">
              <w:t>deferral method</w:t>
            </w:r>
          </w:p>
          <w:p w:rsidR="00801037" w:rsidRPr="008573C5" w:rsidRDefault="00801037" w:rsidP="00085210">
            <w:pPr>
              <w:numPr>
                <w:ilvl w:val="0"/>
                <w:numId w:val="15"/>
              </w:numPr>
              <w:autoSpaceDE w:val="0"/>
              <w:autoSpaceDN w:val="0"/>
              <w:adjustRightInd w:val="0"/>
              <w:spacing w:after="120"/>
            </w:pPr>
            <w:r w:rsidRPr="008573C5">
              <w:t>others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6</w:t>
            </w:r>
            <w:r w:rsidR="00600571" w:rsidRPr="008573C5">
              <w:t>2</w:t>
            </w:r>
          </w:p>
        </w:tc>
        <w:tc>
          <w:tcPr>
            <w:tcW w:w="7295" w:type="dxa"/>
          </w:tcPr>
          <w:p w:rsidR="00801037" w:rsidRPr="008573C5" w:rsidRDefault="00801037" w:rsidP="00EF5237">
            <w:pPr>
              <w:autoSpaceDE w:val="0"/>
              <w:autoSpaceDN w:val="0"/>
              <w:adjustRightInd w:val="0"/>
              <w:spacing w:after="120"/>
            </w:pPr>
            <w:r w:rsidRPr="008573C5">
              <w:t>Do</w:t>
            </w:r>
            <w:r w:rsidR="00A03EBA" w:rsidRPr="008573C5">
              <w:t>es</w:t>
            </w:r>
            <w:r w:rsidRPr="008573C5">
              <w:t xml:space="preserve"> the enterprise recognize tax as an expense ((income) in the profit and loss account as a separate line item? (SAS 19. 65)</w:t>
            </w:r>
          </w:p>
          <w:p w:rsidR="00801037" w:rsidRPr="008573C5" w:rsidRDefault="00801037" w:rsidP="00EF5237"/>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6</w:t>
            </w:r>
            <w:r w:rsidR="00600571" w:rsidRPr="008573C5">
              <w:t>3</w:t>
            </w:r>
          </w:p>
        </w:tc>
        <w:tc>
          <w:tcPr>
            <w:tcW w:w="7295" w:type="dxa"/>
          </w:tcPr>
          <w:p w:rsidR="00801037" w:rsidRPr="008573C5" w:rsidRDefault="00801037" w:rsidP="00EF5237">
            <w:r w:rsidRPr="008573C5">
              <w:t>Is Company Income Tax disclosed by way of notes? (SAS 19.65)</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6</w:t>
            </w:r>
            <w:r w:rsidR="00600571" w:rsidRPr="008573C5">
              <w:t>4</w:t>
            </w:r>
          </w:p>
        </w:tc>
        <w:tc>
          <w:tcPr>
            <w:tcW w:w="7295" w:type="dxa"/>
          </w:tcPr>
          <w:p w:rsidR="00801037" w:rsidRPr="008573C5" w:rsidRDefault="00801037" w:rsidP="00EF5237">
            <w:r w:rsidRPr="008573C5">
              <w:t>Is Petroleum Profit Tax disclosed by way of notes? (SAS 19.65).</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600571" w:rsidP="00EF5237">
            <w:r w:rsidRPr="008573C5">
              <w:t>65</w:t>
            </w:r>
          </w:p>
        </w:tc>
        <w:tc>
          <w:tcPr>
            <w:tcW w:w="7295" w:type="dxa"/>
          </w:tcPr>
          <w:p w:rsidR="00801037" w:rsidRPr="008573C5" w:rsidRDefault="00801037" w:rsidP="00EF5237">
            <w:pPr>
              <w:spacing w:after="120"/>
            </w:pPr>
            <w:r w:rsidRPr="008573C5">
              <w:t>Is Capital Gains Tax disclosed by way of notes? (SAS 19.65).</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600571" w:rsidP="00EF5237">
            <w:r w:rsidRPr="008573C5">
              <w:t>66</w:t>
            </w:r>
          </w:p>
        </w:tc>
        <w:tc>
          <w:tcPr>
            <w:tcW w:w="7295" w:type="dxa"/>
          </w:tcPr>
          <w:p w:rsidR="00801037" w:rsidRPr="008573C5" w:rsidRDefault="00801037" w:rsidP="00EF5237">
            <w:pPr>
              <w:spacing w:after="120"/>
            </w:pPr>
            <w:r w:rsidRPr="008573C5">
              <w:t>Is Education Tax disclosed by way of notes? (SAS 19.65).</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600571" w:rsidP="00EF5237">
            <w:r w:rsidRPr="008573C5">
              <w:t>67</w:t>
            </w:r>
          </w:p>
        </w:tc>
        <w:tc>
          <w:tcPr>
            <w:tcW w:w="7295" w:type="dxa"/>
          </w:tcPr>
          <w:p w:rsidR="00801037" w:rsidRPr="008573C5" w:rsidRDefault="00801037" w:rsidP="00EF5237">
            <w:pPr>
              <w:spacing w:after="120"/>
            </w:pPr>
            <w:r w:rsidRPr="008573C5">
              <w:t>Is Deferred Tax disclosed by way of notes? (SAS 19.65).</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600571" w:rsidP="00EF5237">
            <w:r w:rsidRPr="008573C5">
              <w:t>68-69</w:t>
            </w:r>
          </w:p>
        </w:tc>
        <w:tc>
          <w:tcPr>
            <w:tcW w:w="7295" w:type="dxa"/>
          </w:tcPr>
          <w:p w:rsidR="00801037" w:rsidRPr="008573C5" w:rsidRDefault="00801037" w:rsidP="00EF5237">
            <w:pPr>
              <w:autoSpaceDE w:val="0"/>
              <w:autoSpaceDN w:val="0"/>
              <w:adjustRightInd w:val="0"/>
              <w:spacing w:after="120"/>
            </w:pPr>
            <w:r w:rsidRPr="008573C5">
              <w:t xml:space="preserve">Are tax assets and liabilities disclosed separately in the balance sheet with movements shown by way of notes? (SAS 19.69) </w:t>
            </w:r>
          </w:p>
          <w:p w:rsidR="00801037" w:rsidRPr="008573C5" w:rsidRDefault="00801037" w:rsidP="00085210">
            <w:pPr>
              <w:numPr>
                <w:ilvl w:val="0"/>
                <w:numId w:val="20"/>
              </w:numPr>
              <w:autoSpaceDE w:val="0"/>
              <w:autoSpaceDN w:val="0"/>
              <w:adjustRightInd w:val="0"/>
              <w:spacing w:after="120"/>
            </w:pPr>
            <w:r w:rsidRPr="008573C5">
              <w:t>Current Taxes</w:t>
            </w:r>
          </w:p>
          <w:p w:rsidR="00801037" w:rsidRPr="008573C5" w:rsidRDefault="00801037" w:rsidP="00085210">
            <w:pPr>
              <w:numPr>
                <w:ilvl w:val="0"/>
                <w:numId w:val="20"/>
              </w:numPr>
              <w:autoSpaceDE w:val="0"/>
              <w:autoSpaceDN w:val="0"/>
              <w:adjustRightInd w:val="0"/>
              <w:spacing w:after="120"/>
            </w:pPr>
            <w:r w:rsidRPr="008573C5">
              <w:t>Deferred Taxes</w:t>
            </w:r>
          </w:p>
          <w:p w:rsidR="00801037" w:rsidRPr="008573C5" w:rsidRDefault="00801037" w:rsidP="00EF5237">
            <w:pPr>
              <w:autoSpaceDE w:val="0"/>
              <w:autoSpaceDN w:val="0"/>
              <w:adjustRightInd w:val="0"/>
              <w:spacing w:after="120"/>
            </w:pP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autoSpaceDE w:val="0"/>
              <w:autoSpaceDN w:val="0"/>
              <w:adjustRightInd w:val="0"/>
              <w:spacing w:after="120"/>
              <w:rPr>
                <w:b/>
              </w:rPr>
            </w:pPr>
            <w:r w:rsidRPr="008573C5">
              <w:rPr>
                <w:b/>
              </w:rPr>
              <w:t>SAS 21- Earnings Per Share</w:t>
            </w:r>
          </w:p>
          <w:p w:rsidR="00801037" w:rsidRPr="008573C5" w:rsidRDefault="00801037" w:rsidP="00EF5237"/>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7</w:t>
            </w:r>
            <w:r w:rsidR="00600571" w:rsidRPr="008573C5">
              <w:t>0</w:t>
            </w:r>
          </w:p>
        </w:tc>
        <w:tc>
          <w:tcPr>
            <w:tcW w:w="7295" w:type="dxa"/>
          </w:tcPr>
          <w:p w:rsidR="00801037" w:rsidRPr="008573C5" w:rsidRDefault="00801037" w:rsidP="00EF5237">
            <w:pPr>
              <w:autoSpaceDE w:val="0"/>
              <w:autoSpaceDN w:val="0"/>
              <w:adjustRightInd w:val="0"/>
              <w:spacing w:after="120"/>
            </w:pPr>
            <w:r w:rsidRPr="008573C5">
              <w:t>D</w:t>
            </w:r>
            <w:r w:rsidR="00A03EBA" w:rsidRPr="008573C5">
              <w:t>oes</w:t>
            </w:r>
            <w:r w:rsidRPr="008573C5">
              <w:t xml:space="preserve"> the enterprise disclose basic earnings per share on the face of the income statement, and the historical financial summary with equal prominence? (SAS 21. 53).</w:t>
            </w:r>
          </w:p>
          <w:p w:rsidR="00801037" w:rsidRPr="008573C5" w:rsidRDefault="00801037" w:rsidP="00EF5237"/>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7</w:t>
            </w:r>
            <w:r w:rsidR="00600571" w:rsidRPr="008573C5">
              <w:t>1</w:t>
            </w:r>
          </w:p>
        </w:tc>
        <w:tc>
          <w:tcPr>
            <w:tcW w:w="7295" w:type="dxa"/>
          </w:tcPr>
          <w:p w:rsidR="00801037" w:rsidRPr="008573C5" w:rsidRDefault="00A03EBA" w:rsidP="00EF5237">
            <w:r w:rsidRPr="008573C5">
              <w:t>Does</w:t>
            </w:r>
            <w:r w:rsidR="00801037" w:rsidRPr="008573C5">
              <w:t xml:space="preserve"> the enterprise disclose diluted earnings per share on the face of the income statement, and the historical financial summary with equal prominence? (SAS 21. 53).</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7</w:t>
            </w:r>
            <w:r w:rsidR="00600571" w:rsidRPr="008573C5">
              <w:t>2</w:t>
            </w:r>
          </w:p>
        </w:tc>
        <w:tc>
          <w:tcPr>
            <w:tcW w:w="7295" w:type="dxa"/>
          </w:tcPr>
          <w:p w:rsidR="00801037" w:rsidRPr="008573C5" w:rsidRDefault="00A03EBA" w:rsidP="00EF5237">
            <w:r w:rsidRPr="008573C5">
              <w:t xml:space="preserve">Does </w:t>
            </w:r>
            <w:r w:rsidR="00801037" w:rsidRPr="008573C5">
              <w:t>the enterprise disclose the amounts used as numerators in calculating basic earnings per share, and a reconciliation of those amounts to the net profit and loss for the period? (SAS 21.56a)</w:t>
            </w:r>
          </w:p>
          <w:p w:rsidR="00801037" w:rsidRPr="008573C5" w:rsidRDefault="00801037" w:rsidP="00EF5237">
            <w:pPr>
              <w:ind w:left="360"/>
            </w:pP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7</w:t>
            </w:r>
            <w:r w:rsidR="00600571" w:rsidRPr="008573C5">
              <w:t>3</w:t>
            </w:r>
          </w:p>
        </w:tc>
        <w:tc>
          <w:tcPr>
            <w:tcW w:w="7295" w:type="dxa"/>
          </w:tcPr>
          <w:p w:rsidR="00801037" w:rsidRPr="008573C5" w:rsidRDefault="00A03EBA" w:rsidP="00EF5237">
            <w:r w:rsidRPr="008573C5">
              <w:t>Does</w:t>
            </w:r>
            <w:r w:rsidR="00801037" w:rsidRPr="008573C5">
              <w:t xml:space="preserve"> the enterprise disclose the amounts used as numerators in calculating diluted earnings per share, and a reconciliation of those amounts to the net profit and loss for the period? (SAS 21.56a)</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7</w:t>
            </w:r>
            <w:r w:rsidR="00600571" w:rsidRPr="008573C5">
              <w:t>4</w:t>
            </w:r>
          </w:p>
        </w:tc>
        <w:tc>
          <w:tcPr>
            <w:tcW w:w="7295" w:type="dxa"/>
          </w:tcPr>
          <w:p w:rsidR="00801037" w:rsidRPr="008573C5" w:rsidRDefault="00801037" w:rsidP="00A03EBA">
            <w:r w:rsidRPr="008573C5">
              <w:t>D</w:t>
            </w:r>
            <w:r w:rsidR="00A03EBA" w:rsidRPr="008573C5">
              <w:t>oes</w:t>
            </w:r>
            <w:r w:rsidRPr="008573C5">
              <w:t xml:space="preserve"> the enterprise disclose any changes in the number of shares used to compute earnings per share? (SAS 21.56b)</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spacing w:after="120"/>
            </w:pPr>
            <w:r w:rsidRPr="008573C5">
              <w:rPr>
                <w:b/>
              </w:rPr>
              <w:t>SAS 22: On Research and Development Costs ( for accounts ending on 31/12/06)</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7</w:t>
            </w:r>
            <w:r w:rsidR="00600571" w:rsidRPr="008573C5">
              <w:t>5</w:t>
            </w:r>
          </w:p>
        </w:tc>
        <w:tc>
          <w:tcPr>
            <w:tcW w:w="7295" w:type="dxa"/>
          </w:tcPr>
          <w:p w:rsidR="00801037" w:rsidRPr="008573C5" w:rsidRDefault="00801037" w:rsidP="00EF5237">
            <w:r w:rsidRPr="008573C5">
              <w:t>Is the amount of research costs and development recognized for the period disclosed as expense?</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600571" w:rsidP="00EF5237">
            <w:r w:rsidRPr="008573C5">
              <w:t>M19</w:t>
            </w:r>
          </w:p>
        </w:tc>
        <w:tc>
          <w:tcPr>
            <w:tcW w:w="7295" w:type="dxa"/>
          </w:tcPr>
          <w:p w:rsidR="00801037" w:rsidRPr="008573C5" w:rsidRDefault="00801037" w:rsidP="00EF5237">
            <w:pPr>
              <w:spacing w:after="120"/>
            </w:pPr>
            <w:r w:rsidRPr="008573C5">
              <w:t>What is the method used in treating research and development?</w:t>
            </w:r>
          </w:p>
          <w:p w:rsidR="00801037" w:rsidRPr="008573C5" w:rsidRDefault="00801037" w:rsidP="00085210">
            <w:pPr>
              <w:numPr>
                <w:ilvl w:val="0"/>
                <w:numId w:val="16"/>
              </w:numPr>
              <w:spacing w:after="120"/>
            </w:pPr>
            <w:r w:rsidRPr="008573C5">
              <w:t>write-off method</w:t>
            </w:r>
          </w:p>
          <w:p w:rsidR="00801037" w:rsidRPr="008573C5" w:rsidRDefault="00801037" w:rsidP="00085210">
            <w:pPr>
              <w:numPr>
                <w:ilvl w:val="0"/>
                <w:numId w:val="16"/>
              </w:numPr>
              <w:spacing w:after="120"/>
            </w:pPr>
            <w:r w:rsidRPr="008573C5">
              <w:t>deferral method</w:t>
            </w:r>
          </w:p>
          <w:p w:rsidR="00801037" w:rsidRPr="008573C5" w:rsidRDefault="00801037" w:rsidP="00EF5237"/>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600571" w:rsidP="00EF5237">
            <w:r w:rsidRPr="008573C5">
              <w:t>76</w:t>
            </w:r>
          </w:p>
        </w:tc>
        <w:tc>
          <w:tcPr>
            <w:tcW w:w="7295" w:type="dxa"/>
          </w:tcPr>
          <w:p w:rsidR="00801037" w:rsidRPr="008573C5" w:rsidRDefault="00801037" w:rsidP="00EF5237">
            <w:pPr>
              <w:spacing w:after="120"/>
            </w:pPr>
            <w:r w:rsidRPr="008573C5">
              <w:t>Are the amortization methods disclosed for development costs?</w:t>
            </w:r>
          </w:p>
          <w:p w:rsidR="00801037" w:rsidRPr="008573C5" w:rsidRDefault="00801037" w:rsidP="00EF5237"/>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642A0D" w:rsidP="00EF5237">
            <w:r w:rsidRPr="008573C5">
              <w:t>77</w:t>
            </w:r>
          </w:p>
        </w:tc>
        <w:tc>
          <w:tcPr>
            <w:tcW w:w="7295" w:type="dxa"/>
          </w:tcPr>
          <w:p w:rsidR="00801037" w:rsidRPr="008573C5" w:rsidRDefault="00801037" w:rsidP="00EF5237">
            <w:pPr>
              <w:spacing w:after="120"/>
            </w:pPr>
            <w:r w:rsidRPr="008573C5">
              <w:t>Is there a  reconciliation of the balance of unamortized development costs at the beginning and end of the period?</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642A0D" w:rsidP="00EF5237">
            <w:r w:rsidRPr="008573C5">
              <w:t>78</w:t>
            </w:r>
          </w:p>
        </w:tc>
        <w:tc>
          <w:tcPr>
            <w:tcW w:w="7295" w:type="dxa"/>
          </w:tcPr>
          <w:p w:rsidR="00801037" w:rsidRPr="008573C5" w:rsidRDefault="00801037" w:rsidP="00EF5237">
            <w:r w:rsidRPr="008573C5">
              <w:t>Is the grant received disclosed showing the amount received, receivable and source?</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r w:rsidRPr="008573C5">
              <w:rPr>
                <w:b/>
              </w:rPr>
              <w:t>SAS 23 : On Provisions, Contingent liabilities and Contingent Assets ( For accounts ending on 31/12/06)</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642A0D" w:rsidP="00EF5237">
            <w:r w:rsidRPr="008573C5">
              <w:t>79</w:t>
            </w:r>
          </w:p>
        </w:tc>
        <w:tc>
          <w:tcPr>
            <w:tcW w:w="7295" w:type="dxa"/>
          </w:tcPr>
          <w:p w:rsidR="00801037" w:rsidRPr="008573C5" w:rsidRDefault="00801037" w:rsidP="00EF5237">
            <w:pPr>
              <w:spacing w:after="120"/>
            </w:pPr>
            <w:r w:rsidRPr="008573C5">
              <w:t>For each class of provision, did the entity disclose the carrying amounts at the beginning and end of the period, additional provision made in the period, including increases to existing provisions, amounts used during the period and unused amounts reversed during the period?</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8</w:t>
            </w:r>
            <w:r w:rsidR="00642A0D" w:rsidRPr="008573C5">
              <w:t>0</w:t>
            </w:r>
          </w:p>
        </w:tc>
        <w:tc>
          <w:tcPr>
            <w:tcW w:w="7295" w:type="dxa"/>
          </w:tcPr>
          <w:p w:rsidR="00801037" w:rsidRPr="008573C5" w:rsidRDefault="00801037" w:rsidP="00A03EBA">
            <w:pPr>
              <w:spacing w:after="120"/>
            </w:pPr>
            <w:r w:rsidRPr="008573C5">
              <w:t>D</w:t>
            </w:r>
            <w:r w:rsidR="00A03EBA" w:rsidRPr="008573C5">
              <w:t>oes</w:t>
            </w:r>
            <w:r w:rsidRPr="008573C5">
              <w:t xml:space="preserve"> the entity disclose the following for each class of provision, a brief description of the nature of the obligation and the expected timing of any resulting outflows of economic benefits, an indication of the uncertainties about the amount or timing of those outflows and the amount of any expected reimbursement?</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8</w:t>
            </w:r>
            <w:r w:rsidR="00642A0D" w:rsidRPr="008573C5">
              <w:t>1</w:t>
            </w:r>
          </w:p>
        </w:tc>
        <w:tc>
          <w:tcPr>
            <w:tcW w:w="7295" w:type="dxa"/>
          </w:tcPr>
          <w:p w:rsidR="00801037" w:rsidRPr="008573C5" w:rsidRDefault="00801037" w:rsidP="00A03EBA">
            <w:r w:rsidRPr="008573C5">
              <w:t>D</w:t>
            </w:r>
            <w:r w:rsidR="00A03EBA" w:rsidRPr="008573C5">
              <w:t>oes</w:t>
            </w:r>
            <w:r w:rsidRPr="008573C5">
              <w:t xml:space="preserve"> the company disclose for the contingent liabilities the nature of the contingent liabilities, estimate of its financial effects and possibility of reimbursement?</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8</w:t>
            </w:r>
            <w:r w:rsidR="00642A0D" w:rsidRPr="008573C5">
              <w:t>2</w:t>
            </w:r>
          </w:p>
        </w:tc>
        <w:tc>
          <w:tcPr>
            <w:tcW w:w="7295" w:type="dxa"/>
          </w:tcPr>
          <w:p w:rsidR="00801037" w:rsidRPr="008573C5" w:rsidRDefault="00801037" w:rsidP="00A03EBA">
            <w:r w:rsidRPr="008573C5">
              <w:t>D</w:t>
            </w:r>
            <w:r w:rsidR="00A03EBA" w:rsidRPr="008573C5">
              <w:t>oes</w:t>
            </w:r>
            <w:r w:rsidRPr="008573C5">
              <w:t xml:space="preserve"> the entity disclose information on the nature of contingent assets and its financial effects, where an inflow of economic benefit is probable?</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B86851" w:rsidRPr="008573C5">
        <w:tc>
          <w:tcPr>
            <w:tcW w:w="1168" w:type="dxa"/>
          </w:tcPr>
          <w:p w:rsidR="00B86851" w:rsidRPr="008573C5" w:rsidRDefault="00B86851" w:rsidP="00EF5237"/>
        </w:tc>
        <w:tc>
          <w:tcPr>
            <w:tcW w:w="7295" w:type="dxa"/>
          </w:tcPr>
          <w:p w:rsidR="00B86851" w:rsidRPr="008573C5" w:rsidRDefault="00B86851" w:rsidP="008B10F8">
            <w:pPr>
              <w:tabs>
                <w:tab w:val="left" w:pos="5840"/>
              </w:tabs>
              <w:spacing w:after="120"/>
              <w:rPr>
                <w:b/>
              </w:rPr>
            </w:pPr>
            <w:r w:rsidRPr="008573C5">
              <w:rPr>
                <w:b/>
              </w:rPr>
              <w:t>IFRS  DISCLOSURE TEMPLATE</w:t>
            </w:r>
          </w:p>
        </w:tc>
        <w:tc>
          <w:tcPr>
            <w:tcW w:w="864" w:type="dxa"/>
          </w:tcPr>
          <w:p w:rsidR="00B86851" w:rsidRPr="008573C5" w:rsidRDefault="00B86851" w:rsidP="00EF5237"/>
        </w:tc>
        <w:tc>
          <w:tcPr>
            <w:tcW w:w="590" w:type="dxa"/>
          </w:tcPr>
          <w:p w:rsidR="00B86851" w:rsidRPr="008573C5" w:rsidRDefault="00B86851" w:rsidP="00EF5237"/>
        </w:tc>
        <w:tc>
          <w:tcPr>
            <w:tcW w:w="829" w:type="dxa"/>
          </w:tcPr>
          <w:p w:rsidR="00B86851" w:rsidRPr="008573C5" w:rsidRDefault="00B86851"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r w:rsidRPr="008573C5">
              <w:rPr>
                <w:b/>
              </w:rPr>
              <w:t>IAS 1- Presentation of Financial Statement</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1</w:t>
            </w:r>
            <w:r w:rsidR="007A702D" w:rsidRPr="008573C5">
              <w:t xml:space="preserve"> (1)</w:t>
            </w:r>
          </w:p>
        </w:tc>
        <w:tc>
          <w:tcPr>
            <w:tcW w:w="7295" w:type="dxa"/>
          </w:tcPr>
          <w:p w:rsidR="00801037" w:rsidRPr="008573C5" w:rsidRDefault="00801037" w:rsidP="00EF5237">
            <w:pPr>
              <w:spacing w:after="120"/>
            </w:pPr>
            <w:r w:rsidRPr="008573C5">
              <w:t>Does the entity disclose that the financial statements comply with IFRSs? ( IAS 1. 14)</w:t>
            </w:r>
          </w:p>
          <w:p w:rsidR="00801037" w:rsidRPr="008573C5" w:rsidRDefault="00801037" w:rsidP="00EF5237">
            <w:pPr>
              <w:spacing w:after="120"/>
            </w:pP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2</w:t>
            </w:r>
            <w:r w:rsidR="007A702D" w:rsidRPr="008573C5">
              <w:t xml:space="preserve"> (2)</w:t>
            </w:r>
          </w:p>
        </w:tc>
        <w:tc>
          <w:tcPr>
            <w:tcW w:w="7295" w:type="dxa"/>
          </w:tcPr>
          <w:p w:rsidR="00801037" w:rsidRPr="008573C5" w:rsidRDefault="00801037" w:rsidP="00EF5237">
            <w:pPr>
              <w:autoSpaceDE w:val="0"/>
              <w:autoSpaceDN w:val="0"/>
              <w:adjustRightInd w:val="0"/>
              <w:spacing w:after="120"/>
            </w:pPr>
            <w:r w:rsidRPr="008573C5">
              <w:t>Do the financial statements include a statement showing all changes in equity? (IAS 1.8)</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3</w:t>
            </w:r>
            <w:r w:rsidR="007A702D" w:rsidRPr="008573C5">
              <w:t xml:space="preserve"> (3)</w:t>
            </w:r>
          </w:p>
        </w:tc>
        <w:tc>
          <w:tcPr>
            <w:tcW w:w="7295" w:type="dxa"/>
          </w:tcPr>
          <w:p w:rsidR="00801037" w:rsidRPr="008573C5" w:rsidRDefault="00801037" w:rsidP="00EF5237">
            <w:pPr>
              <w:spacing w:after="120"/>
            </w:pPr>
            <w:r w:rsidRPr="008573C5">
              <w:t>Does the entity disclose that the financial statements comply with any approved accounting standards?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1962D6">
            <w:r w:rsidRPr="008573C5">
              <w:t>4</w:t>
            </w:r>
            <w:r w:rsidR="001962D6" w:rsidRPr="008573C5">
              <w:t>-5</w:t>
            </w:r>
          </w:p>
          <w:p w:rsidR="007A702D" w:rsidRPr="008573C5" w:rsidRDefault="007A702D" w:rsidP="001962D6">
            <w:r w:rsidRPr="008573C5">
              <w:t>(4-5)</w:t>
            </w:r>
          </w:p>
        </w:tc>
        <w:tc>
          <w:tcPr>
            <w:tcW w:w="7295" w:type="dxa"/>
          </w:tcPr>
          <w:p w:rsidR="00801037" w:rsidRPr="008573C5" w:rsidRDefault="00801037" w:rsidP="00EF5237">
            <w:pPr>
              <w:autoSpaceDE w:val="0"/>
              <w:autoSpaceDN w:val="0"/>
              <w:adjustRightInd w:val="0"/>
            </w:pPr>
            <w:r w:rsidRPr="008573C5">
              <w:t>Are the following information displayed prominently for a proper understanding of the information presented:</w:t>
            </w:r>
          </w:p>
          <w:p w:rsidR="00801037" w:rsidRPr="008573C5" w:rsidRDefault="00801037" w:rsidP="00EF5237">
            <w:pPr>
              <w:autoSpaceDE w:val="0"/>
              <w:autoSpaceDN w:val="0"/>
              <w:adjustRightInd w:val="0"/>
            </w:pPr>
          </w:p>
          <w:p w:rsidR="00801037" w:rsidRPr="008573C5" w:rsidRDefault="00801037" w:rsidP="00EF5237">
            <w:pPr>
              <w:autoSpaceDE w:val="0"/>
              <w:autoSpaceDN w:val="0"/>
              <w:adjustRightInd w:val="0"/>
            </w:pPr>
            <w:r w:rsidRPr="008573C5">
              <w:t>(a) the presentation currency; and</w:t>
            </w:r>
          </w:p>
          <w:p w:rsidR="00801037" w:rsidRPr="008573C5" w:rsidRDefault="00801037" w:rsidP="00EF5237">
            <w:pPr>
              <w:autoSpaceDE w:val="0"/>
              <w:autoSpaceDN w:val="0"/>
              <w:adjustRightInd w:val="0"/>
            </w:pPr>
            <w:r w:rsidRPr="008573C5">
              <w:t>(b) level of precision used in the presentation of figures in the</w:t>
            </w:r>
          </w:p>
          <w:p w:rsidR="00801037" w:rsidRPr="008573C5" w:rsidRDefault="00801037" w:rsidP="00EF5237">
            <w:pPr>
              <w:autoSpaceDE w:val="0"/>
              <w:autoSpaceDN w:val="0"/>
              <w:adjustRightInd w:val="0"/>
              <w:rPr>
                <w:i/>
                <w:iCs/>
              </w:rPr>
            </w:pPr>
            <w:r w:rsidRPr="008573C5">
              <w:t xml:space="preserve">financial statements </w:t>
            </w:r>
            <w:r w:rsidRPr="008573C5">
              <w:rPr>
                <w:i/>
                <w:iCs/>
              </w:rPr>
              <w:t>(for example, thousands or millions of units</w:t>
            </w:r>
          </w:p>
          <w:p w:rsidR="00801037" w:rsidRPr="008573C5" w:rsidRDefault="00801037" w:rsidP="00EF5237">
            <w:pPr>
              <w:spacing w:after="120"/>
            </w:pPr>
            <w:r w:rsidRPr="008573C5">
              <w:rPr>
                <w:i/>
                <w:iCs/>
              </w:rPr>
              <w:t>of the presentation currency)?</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962D6" w:rsidP="00EF5237">
            <w:r w:rsidRPr="008573C5">
              <w:t>6</w:t>
            </w:r>
            <w:r w:rsidR="007A702D" w:rsidRPr="008573C5">
              <w:t xml:space="preserve"> (6)</w:t>
            </w:r>
          </w:p>
        </w:tc>
        <w:tc>
          <w:tcPr>
            <w:tcW w:w="7295" w:type="dxa"/>
          </w:tcPr>
          <w:p w:rsidR="00801037" w:rsidRPr="008573C5" w:rsidRDefault="00A03EBA" w:rsidP="00EF5237">
            <w:pPr>
              <w:autoSpaceDE w:val="0"/>
              <w:autoSpaceDN w:val="0"/>
              <w:adjustRightInd w:val="0"/>
              <w:spacing w:after="120"/>
            </w:pPr>
            <w:r w:rsidRPr="008573C5">
              <w:t>Does</w:t>
            </w:r>
            <w:r w:rsidR="00801037" w:rsidRPr="008573C5">
              <w:t xml:space="preserve"> the company disclose in the summary of accounting policies or other notes, the judgments made by the management in the process of applying accounting principles? (IAS 1.113)?</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962D6" w:rsidP="00EF5237">
            <w:r w:rsidRPr="008573C5">
              <w:t>7</w:t>
            </w:r>
            <w:r w:rsidR="007A702D" w:rsidRPr="008573C5">
              <w:t xml:space="preserve"> (7)</w:t>
            </w:r>
          </w:p>
        </w:tc>
        <w:tc>
          <w:tcPr>
            <w:tcW w:w="7295" w:type="dxa"/>
          </w:tcPr>
          <w:p w:rsidR="00801037" w:rsidRPr="008573C5" w:rsidRDefault="00A03EBA" w:rsidP="00EF5237">
            <w:pPr>
              <w:autoSpaceDE w:val="0"/>
              <w:autoSpaceDN w:val="0"/>
              <w:adjustRightInd w:val="0"/>
              <w:spacing w:after="120"/>
            </w:pPr>
            <w:r w:rsidRPr="008573C5">
              <w:t>Does</w:t>
            </w:r>
            <w:r w:rsidR="00801037" w:rsidRPr="008573C5">
              <w:t xml:space="preserve"> the company disclose either the number of employees at the end of the period or the average for the period (IAS 1.102)?</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962D6" w:rsidP="00EF5237">
            <w:r w:rsidRPr="008573C5">
              <w:t>8</w:t>
            </w:r>
            <w:r w:rsidR="007A702D" w:rsidRPr="008573C5">
              <w:t xml:space="preserve"> (8)</w:t>
            </w:r>
          </w:p>
        </w:tc>
        <w:tc>
          <w:tcPr>
            <w:tcW w:w="7295" w:type="dxa"/>
          </w:tcPr>
          <w:p w:rsidR="00801037" w:rsidRPr="008573C5" w:rsidRDefault="00A03EBA" w:rsidP="00EF5237">
            <w:pPr>
              <w:autoSpaceDE w:val="0"/>
              <w:autoSpaceDN w:val="0"/>
              <w:adjustRightInd w:val="0"/>
              <w:spacing w:after="120"/>
            </w:pPr>
            <w:r w:rsidRPr="008573C5">
              <w:t>Does</w:t>
            </w:r>
            <w:r w:rsidR="00801037" w:rsidRPr="008573C5">
              <w:t xml:space="preserve"> the company disclose the amount of dividends recognised as distributions to equity holders during the period and related amount per share?</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962D6" w:rsidP="00EF5237">
            <w:r w:rsidRPr="008573C5">
              <w:t>9</w:t>
            </w:r>
            <w:r w:rsidR="007A702D" w:rsidRPr="008573C5">
              <w:t xml:space="preserve"> (9)</w:t>
            </w:r>
          </w:p>
        </w:tc>
        <w:tc>
          <w:tcPr>
            <w:tcW w:w="7295" w:type="dxa"/>
          </w:tcPr>
          <w:p w:rsidR="00801037" w:rsidRPr="008573C5" w:rsidRDefault="00A03EBA" w:rsidP="00EF5237">
            <w:pPr>
              <w:autoSpaceDE w:val="0"/>
              <w:autoSpaceDN w:val="0"/>
              <w:adjustRightInd w:val="0"/>
              <w:spacing w:after="120"/>
            </w:pPr>
            <w:r w:rsidRPr="008573C5">
              <w:t>Does</w:t>
            </w:r>
            <w:r w:rsidR="00801037" w:rsidRPr="008573C5">
              <w:t xml:space="preserve"> the company disclose the dividends proposed or declared before financial statements were authorised for issue but not recognised as distributions to equity holders during the period?</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autoSpaceDE w:val="0"/>
              <w:autoSpaceDN w:val="0"/>
              <w:adjustRightInd w:val="0"/>
              <w:spacing w:after="120"/>
              <w:rPr>
                <w:b/>
              </w:rPr>
            </w:pPr>
            <w:r w:rsidRPr="008573C5">
              <w:rPr>
                <w:b/>
              </w:rPr>
              <w:t>IAS 2 – Inventories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1962D6" w:rsidP="00EF5237">
            <w:r w:rsidRPr="008573C5">
              <w:t>10</w:t>
            </w:r>
          </w:p>
        </w:tc>
        <w:tc>
          <w:tcPr>
            <w:tcW w:w="7295" w:type="dxa"/>
          </w:tcPr>
          <w:p w:rsidR="00801037" w:rsidRPr="008573C5" w:rsidRDefault="00801037" w:rsidP="00EF5237">
            <w:pPr>
              <w:autoSpaceDE w:val="0"/>
              <w:autoSpaceDN w:val="0"/>
              <w:adjustRightInd w:val="0"/>
              <w:spacing w:after="120"/>
            </w:pPr>
            <w:r w:rsidRPr="008573C5">
              <w:t>Has the company disclosed the amount of inventories  write-down that is recognized as expenses during the period? ( IAS 2.36d,e)</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1</w:t>
            </w:r>
            <w:r w:rsidR="001962D6" w:rsidRPr="008573C5">
              <w:t>1</w:t>
            </w:r>
          </w:p>
        </w:tc>
        <w:tc>
          <w:tcPr>
            <w:tcW w:w="7295" w:type="dxa"/>
          </w:tcPr>
          <w:p w:rsidR="00801037" w:rsidRPr="008573C5" w:rsidRDefault="00801037" w:rsidP="00EF5237">
            <w:pPr>
              <w:autoSpaceDE w:val="0"/>
              <w:autoSpaceDN w:val="0"/>
              <w:adjustRightInd w:val="0"/>
              <w:rPr>
                <w:lang w:eastAsia="en-GB"/>
              </w:rPr>
            </w:pPr>
            <w:r w:rsidRPr="008573C5">
              <w:t xml:space="preserve">Has the company </w:t>
            </w:r>
            <w:r w:rsidRPr="008573C5">
              <w:rPr>
                <w:lang w:eastAsia="en-GB"/>
              </w:rPr>
              <w:t>disclosed the amount of, and circumstances or events leading to, the reversal of any write-down that is recognised as a reduction in the amount of inventories recognised as expense in the period</w:t>
            </w:r>
            <w:r w:rsidRPr="008573C5">
              <w:t>? ( IAS 2.36f,g)</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1</w:t>
            </w:r>
            <w:r w:rsidR="001962D6" w:rsidRPr="008573C5">
              <w:t>2</w:t>
            </w:r>
          </w:p>
        </w:tc>
        <w:tc>
          <w:tcPr>
            <w:tcW w:w="7295" w:type="dxa"/>
          </w:tcPr>
          <w:p w:rsidR="00801037" w:rsidRPr="008573C5" w:rsidRDefault="00801037" w:rsidP="00EF5237">
            <w:pPr>
              <w:autoSpaceDE w:val="0"/>
              <w:autoSpaceDN w:val="0"/>
              <w:adjustRightInd w:val="0"/>
              <w:spacing w:after="120"/>
            </w:pPr>
            <w:r w:rsidRPr="008573C5">
              <w:t>Has the organization disclosed the carrying amount of inventories pledged as security for liabilities?( IAS 2.36h)</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spacing w:after="120"/>
              <w:rPr>
                <w:b/>
              </w:rPr>
            </w:pPr>
            <w:r w:rsidRPr="008573C5">
              <w:rPr>
                <w:b/>
              </w:rPr>
              <w:t>IAS 10: Events after the balance sheet date</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1</w:t>
            </w:r>
            <w:r w:rsidR="001962D6" w:rsidRPr="008573C5">
              <w:t>3</w:t>
            </w:r>
            <w:r w:rsidR="003A46C6" w:rsidRPr="008573C5">
              <w:t xml:space="preserve"> (10)</w:t>
            </w:r>
          </w:p>
        </w:tc>
        <w:tc>
          <w:tcPr>
            <w:tcW w:w="7295" w:type="dxa"/>
          </w:tcPr>
          <w:p w:rsidR="00801037" w:rsidRPr="008573C5" w:rsidRDefault="00801037" w:rsidP="00A03EBA">
            <w:pPr>
              <w:pStyle w:val="NormalWeb"/>
            </w:pPr>
            <w:r w:rsidRPr="008573C5">
              <w:t>D</w:t>
            </w:r>
            <w:r w:rsidR="00A03EBA" w:rsidRPr="008573C5">
              <w:t>oes</w:t>
            </w:r>
            <w:r w:rsidRPr="008573C5">
              <w:t xml:space="preserve"> the company disclose non-adjusting events and adjusting events, stating its nature and financial effects?(IAS 10.21)</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1</w:t>
            </w:r>
            <w:r w:rsidR="001962D6" w:rsidRPr="008573C5">
              <w:t>4</w:t>
            </w:r>
            <w:r w:rsidR="003A46C6" w:rsidRPr="008573C5">
              <w:t xml:space="preserve">  (11)</w:t>
            </w:r>
          </w:p>
        </w:tc>
        <w:tc>
          <w:tcPr>
            <w:tcW w:w="7295" w:type="dxa"/>
          </w:tcPr>
          <w:p w:rsidR="00801037" w:rsidRPr="008573C5" w:rsidRDefault="00801037" w:rsidP="00A03EBA">
            <w:pPr>
              <w:pStyle w:val="NormalWeb"/>
            </w:pPr>
            <w:r w:rsidRPr="008573C5">
              <w:t>D</w:t>
            </w:r>
            <w:r w:rsidR="00A03EBA" w:rsidRPr="008573C5">
              <w:t xml:space="preserve">oes </w:t>
            </w:r>
            <w:r w:rsidRPr="008573C5">
              <w:t>the company disclose the date when the financial statements were authorised for issue? (IAS 10.17</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1</w:t>
            </w:r>
            <w:r w:rsidR="003A46C6" w:rsidRPr="008573C5">
              <w:t>5 (12)</w:t>
            </w:r>
          </w:p>
        </w:tc>
        <w:tc>
          <w:tcPr>
            <w:tcW w:w="7295" w:type="dxa"/>
          </w:tcPr>
          <w:p w:rsidR="00801037" w:rsidRPr="008573C5" w:rsidRDefault="00801037" w:rsidP="00EF5237">
            <w:pPr>
              <w:spacing w:after="120"/>
            </w:pPr>
            <w:r w:rsidRPr="008573C5">
              <w:t xml:space="preserve">Did the company disclose the body who gave the authorisation? (IAS 10.17) </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1</w:t>
            </w:r>
            <w:r w:rsidR="003A46C6" w:rsidRPr="008573C5">
              <w:t>6 (13)</w:t>
            </w:r>
          </w:p>
        </w:tc>
        <w:tc>
          <w:tcPr>
            <w:tcW w:w="7295" w:type="dxa"/>
          </w:tcPr>
          <w:p w:rsidR="00801037" w:rsidRPr="008573C5" w:rsidRDefault="00A03EBA" w:rsidP="00A03EBA">
            <w:pPr>
              <w:spacing w:after="120"/>
            </w:pPr>
            <w:r w:rsidRPr="008573C5">
              <w:t>Does</w:t>
            </w:r>
            <w:r w:rsidR="00801037" w:rsidRPr="008573C5">
              <w:t xml:space="preserve"> the enterprise disclose the fact that whether the shareholders or others have the power to amend the financial statements after issuance? (IAS 10.17)</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spacing w:after="120"/>
              <w:jc w:val="both"/>
              <w:rPr>
                <w:b/>
              </w:rPr>
            </w:pPr>
            <w:r w:rsidRPr="008573C5">
              <w:rPr>
                <w:b/>
              </w:rPr>
              <w:t>IAS 12 – Income Taxes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1</w:t>
            </w:r>
            <w:r w:rsidR="003A46C6" w:rsidRPr="008573C5">
              <w:t>7</w:t>
            </w:r>
          </w:p>
        </w:tc>
        <w:tc>
          <w:tcPr>
            <w:tcW w:w="7295" w:type="dxa"/>
          </w:tcPr>
          <w:p w:rsidR="00801037" w:rsidRPr="008573C5" w:rsidRDefault="00801037" w:rsidP="00EF5237">
            <w:pPr>
              <w:autoSpaceDE w:val="0"/>
              <w:autoSpaceDN w:val="0"/>
              <w:adjustRightInd w:val="0"/>
              <w:jc w:val="both"/>
              <w:rPr>
                <w:lang w:eastAsia="en-GB"/>
              </w:rPr>
            </w:pPr>
            <w:r w:rsidRPr="008573C5">
              <w:t xml:space="preserve">Did the enterprise </w:t>
            </w:r>
            <w:r w:rsidRPr="008573C5">
              <w:rPr>
                <w:lang w:eastAsia="en-GB"/>
              </w:rPr>
              <w:t>provide an explanation of the relationship between tax expense (income) and accounting profit in either of the following forms:</w:t>
            </w:r>
          </w:p>
          <w:p w:rsidR="00801037" w:rsidRPr="008573C5" w:rsidRDefault="00801037" w:rsidP="00EF5237">
            <w:pPr>
              <w:autoSpaceDE w:val="0"/>
              <w:autoSpaceDN w:val="0"/>
              <w:adjustRightInd w:val="0"/>
              <w:jc w:val="both"/>
              <w:rPr>
                <w:lang w:eastAsia="en-GB"/>
              </w:rPr>
            </w:pPr>
            <w:r w:rsidRPr="008573C5">
              <w:rPr>
                <w:lang w:eastAsia="en-GB"/>
              </w:rPr>
              <w:t>(a) numerical reconciliation between tax expense (income) and product of accounting profit, multiplied by the applicable tax rate(s), disclosing also the basis on which the applicable tax rate(s) is (are) computed (refer to IAS 12 para 85)? or</w:t>
            </w:r>
          </w:p>
          <w:p w:rsidR="00801037" w:rsidRPr="008573C5" w:rsidRDefault="00801037" w:rsidP="00EF5237">
            <w:pPr>
              <w:autoSpaceDE w:val="0"/>
              <w:autoSpaceDN w:val="0"/>
              <w:adjustRightInd w:val="0"/>
              <w:jc w:val="both"/>
              <w:rPr>
                <w:lang w:eastAsia="en-GB"/>
              </w:rPr>
            </w:pPr>
            <w:r w:rsidRPr="008573C5">
              <w:rPr>
                <w:lang w:eastAsia="en-GB"/>
              </w:rPr>
              <w:t>(b) a numerical reconciliation between the average effective tax rate and the applicable tax rate, disclosing also the basis on which the applicable tax rate is computed (refer to IAS 12 para 85).</w:t>
            </w:r>
            <w:r w:rsidRPr="008573C5">
              <w:t>[IAS 12.81c]</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rPr>
          <w:trHeight w:val="413"/>
        </w:trPr>
        <w:tc>
          <w:tcPr>
            <w:tcW w:w="1168" w:type="dxa"/>
          </w:tcPr>
          <w:p w:rsidR="00801037" w:rsidRPr="008573C5" w:rsidRDefault="00801037" w:rsidP="00EF5237">
            <w:r w:rsidRPr="008573C5">
              <w:t>1</w:t>
            </w:r>
            <w:r w:rsidR="003A46C6" w:rsidRPr="008573C5">
              <w:t>8</w:t>
            </w:r>
          </w:p>
        </w:tc>
        <w:tc>
          <w:tcPr>
            <w:tcW w:w="7295" w:type="dxa"/>
          </w:tcPr>
          <w:p w:rsidR="00801037" w:rsidRPr="008573C5" w:rsidRDefault="00801037" w:rsidP="00EF5237">
            <w:pPr>
              <w:spacing w:before="100" w:beforeAutospacing="1" w:after="100" w:afterAutospacing="1"/>
              <w:jc w:val="both"/>
            </w:pPr>
            <w:r w:rsidRPr="008573C5">
              <w:t xml:space="preserve">Are amounts and other details of deductible temporary differences, unused tax losses, and unused tax credits disclosed? [IAS 12.81e] </w:t>
            </w:r>
          </w:p>
        </w:tc>
        <w:tc>
          <w:tcPr>
            <w:tcW w:w="864" w:type="dxa"/>
          </w:tcPr>
          <w:p w:rsidR="00801037" w:rsidRPr="008573C5" w:rsidRDefault="00801037" w:rsidP="00EF5237">
            <w:pPr>
              <w:rPr>
                <w:b/>
              </w:rPr>
            </w:pPr>
          </w:p>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1</w:t>
            </w:r>
            <w:r w:rsidR="003A46C6" w:rsidRPr="008573C5">
              <w:t>9</w:t>
            </w:r>
          </w:p>
        </w:tc>
        <w:tc>
          <w:tcPr>
            <w:tcW w:w="7295" w:type="dxa"/>
          </w:tcPr>
          <w:p w:rsidR="00801037" w:rsidRPr="008573C5" w:rsidRDefault="00801037" w:rsidP="000B12D4">
            <w:pPr>
              <w:spacing w:before="100" w:beforeAutospacing="1" w:after="100" w:afterAutospacing="1"/>
            </w:pPr>
            <w:r w:rsidRPr="008573C5">
              <w:t xml:space="preserve">Are temporary differences associated with investments in subsidiaries, associates, branches, and joint ventures disclosed?[IAS 12.81f] </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spacing w:after="120"/>
              <w:jc w:val="both"/>
              <w:rPr>
                <w:b/>
              </w:rPr>
            </w:pPr>
            <w:r w:rsidRPr="008573C5">
              <w:rPr>
                <w:b/>
              </w:rPr>
              <w:t>IAS 14 : Segment Reporting</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A46C6" w:rsidP="00EF5237">
            <w:r w:rsidRPr="008573C5">
              <w:t>20 (14)</w:t>
            </w:r>
          </w:p>
        </w:tc>
        <w:tc>
          <w:tcPr>
            <w:tcW w:w="7295" w:type="dxa"/>
          </w:tcPr>
          <w:p w:rsidR="00801037" w:rsidRPr="008573C5" w:rsidRDefault="00801037" w:rsidP="00A03EBA">
            <w:pPr>
              <w:autoSpaceDE w:val="0"/>
              <w:autoSpaceDN w:val="0"/>
              <w:adjustRightInd w:val="0"/>
              <w:jc w:val="both"/>
              <w:rPr>
                <w:lang w:eastAsia="en-GB"/>
              </w:rPr>
            </w:pPr>
            <w:r w:rsidRPr="008573C5">
              <w:rPr>
                <w:lang w:eastAsia="en-GB"/>
              </w:rPr>
              <w:t>D</w:t>
            </w:r>
            <w:r w:rsidR="00A03EBA" w:rsidRPr="008573C5">
              <w:rPr>
                <w:lang w:eastAsia="en-GB"/>
              </w:rPr>
              <w:t>oes</w:t>
            </w:r>
            <w:r w:rsidRPr="008573C5">
              <w:rPr>
                <w:lang w:eastAsia="en-GB"/>
              </w:rPr>
              <w:t xml:space="preserve"> the entity disclose the composition of each reported  segment?(IAS 14.81)</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2</w:t>
            </w:r>
            <w:r w:rsidR="003A46C6" w:rsidRPr="008573C5">
              <w:t>1 (15)</w:t>
            </w:r>
          </w:p>
        </w:tc>
        <w:tc>
          <w:tcPr>
            <w:tcW w:w="7295" w:type="dxa"/>
          </w:tcPr>
          <w:p w:rsidR="00801037" w:rsidRPr="008573C5" w:rsidRDefault="00801037" w:rsidP="00EF5237">
            <w:pPr>
              <w:autoSpaceDE w:val="0"/>
              <w:autoSpaceDN w:val="0"/>
              <w:adjustRightInd w:val="0"/>
              <w:jc w:val="both"/>
              <w:rPr>
                <w:lang w:eastAsia="en-GB"/>
              </w:rPr>
            </w:pPr>
            <w:r w:rsidRPr="008573C5">
              <w:t xml:space="preserve"> Has the Company disclosed</w:t>
            </w:r>
            <w:r w:rsidRPr="008573C5">
              <w:rPr>
                <w:lang w:eastAsia="en-GB"/>
              </w:rPr>
              <w:t xml:space="preserve"> for each reportable segment in the entity’s primary segment reporting format, segment revenue , result, assets, liabilities and non cash expenses? (IAS 14.51,52,56,57,58,61)</w:t>
            </w:r>
          </w:p>
          <w:p w:rsidR="00801037" w:rsidRPr="008573C5" w:rsidRDefault="00801037" w:rsidP="00EF5237">
            <w:pPr>
              <w:autoSpaceDE w:val="0"/>
              <w:autoSpaceDN w:val="0"/>
              <w:adjustRightInd w:val="0"/>
              <w:jc w:val="both"/>
            </w:pP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2</w:t>
            </w:r>
            <w:r w:rsidR="003A46C6" w:rsidRPr="008573C5">
              <w:t>2 (16)</w:t>
            </w:r>
          </w:p>
        </w:tc>
        <w:tc>
          <w:tcPr>
            <w:tcW w:w="7295" w:type="dxa"/>
          </w:tcPr>
          <w:p w:rsidR="00801037" w:rsidRPr="008573C5" w:rsidRDefault="00801037" w:rsidP="00EF5237">
            <w:pPr>
              <w:autoSpaceDE w:val="0"/>
              <w:autoSpaceDN w:val="0"/>
              <w:adjustRightInd w:val="0"/>
              <w:spacing w:after="120"/>
              <w:jc w:val="both"/>
            </w:pPr>
            <w:r w:rsidRPr="008573C5">
              <w:t>For secondary segments do the entity disclose revenue, assets, capital addition?(IAS 14.69-72)</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2</w:t>
            </w:r>
            <w:r w:rsidR="003A46C6" w:rsidRPr="008573C5">
              <w:t>3 (17)</w:t>
            </w:r>
          </w:p>
        </w:tc>
        <w:tc>
          <w:tcPr>
            <w:tcW w:w="7295" w:type="dxa"/>
          </w:tcPr>
          <w:p w:rsidR="00801037" w:rsidRPr="008573C5" w:rsidRDefault="00801037" w:rsidP="00EF5237">
            <w:pPr>
              <w:autoSpaceDE w:val="0"/>
              <w:autoSpaceDN w:val="0"/>
              <w:adjustRightInd w:val="0"/>
              <w:jc w:val="both"/>
            </w:pPr>
            <w:r w:rsidRPr="008573C5">
              <w:t>Has the Company presented a</w:t>
            </w:r>
            <w:r w:rsidRPr="008573C5">
              <w:rPr>
                <w:lang w:eastAsia="en-GB"/>
              </w:rPr>
              <w:t xml:space="preserve"> reconciliation between the information disclosed for reportable segments and the aggregate information in the consolidated or entity financial statements? As a minimum, the segment revenue, segment result, segment assets and segment liabilities.</w:t>
            </w:r>
            <w:r w:rsidRPr="008573C5">
              <w:t>(IAS 14.67)</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2</w:t>
            </w:r>
            <w:r w:rsidR="003A46C6" w:rsidRPr="008573C5">
              <w:t>4 (18)</w:t>
            </w:r>
          </w:p>
        </w:tc>
        <w:tc>
          <w:tcPr>
            <w:tcW w:w="7295" w:type="dxa"/>
          </w:tcPr>
          <w:p w:rsidR="00801037" w:rsidRPr="008573C5" w:rsidRDefault="00801037" w:rsidP="00EF5237">
            <w:pPr>
              <w:autoSpaceDE w:val="0"/>
              <w:autoSpaceDN w:val="0"/>
              <w:adjustRightInd w:val="0"/>
              <w:jc w:val="both"/>
            </w:pPr>
            <w:r w:rsidRPr="008573C5">
              <w:rPr>
                <w:lang w:eastAsia="en-GB"/>
              </w:rPr>
              <w:t>For inter-segment transfers, did the entity disclose the basis of pricing; and any changes in the basis of pricing inter-segment transfers?(IAS 14.75).</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spacing w:after="120"/>
              <w:jc w:val="both"/>
              <w:rPr>
                <w:b/>
              </w:rPr>
            </w:pPr>
            <w:r w:rsidRPr="008573C5">
              <w:rPr>
                <w:b/>
              </w:rPr>
              <w:t>IAS 16 Property, Plant and Equipment</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3A46C6" w:rsidRPr="008573C5" w:rsidRDefault="003A46C6" w:rsidP="00EF5237">
            <w:r w:rsidRPr="008573C5">
              <w:t>25-26</w:t>
            </w:r>
          </w:p>
          <w:p w:rsidR="00801037" w:rsidRPr="008573C5" w:rsidRDefault="003A46C6" w:rsidP="003A46C6">
            <w:r w:rsidRPr="008573C5">
              <w:t>(19-20)</w:t>
            </w:r>
          </w:p>
        </w:tc>
        <w:tc>
          <w:tcPr>
            <w:tcW w:w="7295" w:type="dxa"/>
          </w:tcPr>
          <w:p w:rsidR="00801037" w:rsidRPr="008573C5" w:rsidRDefault="00801037" w:rsidP="00EF5237">
            <w:pPr>
              <w:autoSpaceDE w:val="0"/>
              <w:autoSpaceDN w:val="0"/>
              <w:adjustRightInd w:val="0"/>
              <w:jc w:val="both"/>
              <w:rPr>
                <w:lang w:eastAsia="en-GB"/>
              </w:rPr>
            </w:pPr>
            <w:r w:rsidRPr="008573C5">
              <w:rPr>
                <w:lang w:eastAsia="en-GB"/>
              </w:rPr>
              <w:t>D</w:t>
            </w:r>
            <w:r w:rsidR="00A03EBA" w:rsidRPr="008573C5">
              <w:rPr>
                <w:lang w:eastAsia="en-GB"/>
              </w:rPr>
              <w:t>oes</w:t>
            </w:r>
            <w:r w:rsidRPr="008573C5">
              <w:rPr>
                <w:lang w:eastAsia="en-GB"/>
              </w:rPr>
              <w:t xml:space="preserve"> the entity disclose </w:t>
            </w:r>
          </w:p>
          <w:p w:rsidR="00801037" w:rsidRPr="008573C5" w:rsidRDefault="00801037" w:rsidP="00EF5237">
            <w:pPr>
              <w:autoSpaceDE w:val="0"/>
              <w:autoSpaceDN w:val="0"/>
              <w:adjustRightInd w:val="0"/>
              <w:jc w:val="both"/>
              <w:rPr>
                <w:bCs/>
                <w:lang w:eastAsia="en-GB"/>
              </w:rPr>
            </w:pPr>
            <w:r w:rsidRPr="008573C5">
              <w:rPr>
                <w:lang w:eastAsia="en-GB"/>
              </w:rPr>
              <w:t>a  the existence of PPE whose title is restricted and pledged as security for liabilities? IAS</w:t>
            </w:r>
            <w:r w:rsidRPr="008573C5">
              <w:rPr>
                <w:bCs/>
                <w:lang w:eastAsia="en-GB"/>
              </w:rPr>
              <w:t xml:space="preserve">16p74(a) </w:t>
            </w:r>
          </w:p>
          <w:p w:rsidR="00801037" w:rsidRPr="008573C5" w:rsidRDefault="00801037" w:rsidP="00EF5237">
            <w:pPr>
              <w:autoSpaceDE w:val="0"/>
              <w:autoSpaceDN w:val="0"/>
              <w:adjustRightInd w:val="0"/>
              <w:jc w:val="both"/>
              <w:rPr>
                <w:bCs/>
                <w:lang w:eastAsia="en-GB"/>
              </w:rPr>
            </w:pPr>
            <w:r w:rsidRPr="008573C5">
              <w:rPr>
                <w:bCs/>
                <w:lang w:eastAsia="en-GB"/>
              </w:rPr>
              <w:t>b</w:t>
            </w:r>
            <w:r w:rsidRPr="008573C5">
              <w:rPr>
                <w:lang w:eastAsia="en-GB"/>
              </w:rPr>
              <w:t xml:space="preserve"> the amounts of PPE whose title is restricted and pledged as security for liabilities? IAS</w:t>
            </w:r>
            <w:r w:rsidRPr="008573C5">
              <w:rPr>
                <w:bCs/>
                <w:lang w:eastAsia="en-GB"/>
              </w:rPr>
              <w:t>16p74(a)</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A46C6" w:rsidP="00EF5237">
            <w:r w:rsidRPr="008573C5">
              <w:t>27 (21)</w:t>
            </w:r>
          </w:p>
        </w:tc>
        <w:tc>
          <w:tcPr>
            <w:tcW w:w="7295" w:type="dxa"/>
          </w:tcPr>
          <w:p w:rsidR="00801037" w:rsidRPr="008573C5" w:rsidRDefault="00801037" w:rsidP="00A03EBA">
            <w:pPr>
              <w:autoSpaceDE w:val="0"/>
              <w:autoSpaceDN w:val="0"/>
              <w:adjustRightInd w:val="0"/>
              <w:jc w:val="both"/>
              <w:rPr>
                <w:lang w:eastAsia="en-GB"/>
              </w:rPr>
            </w:pPr>
            <w:r w:rsidRPr="008573C5">
              <w:rPr>
                <w:bCs/>
                <w:lang w:eastAsia="en-GB"/>
              </w:rPr>
              <w:t>D</w:t>
            </w:r>
            <w:r w:rsidR="00A03EBA" w:rsidRPr="008573C5">
              <w:rPr>
                <w:bCs/>
                <w:lang w:eastAsia="en-GB"/>
              </w:rPr>
              <w:t>oes</w:t>
            </w:r>
            <w:r w:rsidRPr="008573C5">
              <w:rPr>
                <w:bCs/>
                <w:lang w:eastAsia="en-GB"/>
              </w:rPr>
              <w:t xml:space="preserve"> the entity disclose the amount of expenditure recognized in the carrying amount of PPE in the course of its construction?</w:t>
            </w:r>
            <w:r w:rsidRPr="008573C5">
              <w:rPr>
                <w:lang w:eastAsia="en-GB"/>
              </w:rPr>
              <w:t xml:space="preserve"> IAS</w:t>
            </w:r>
            <w:r w:rsidRPr="008573C5">
              <w:rPr>
                <w:bCs/>
                <w:lang w:eastAsia="en-GB"/>
              </w:rPr>
              <w:t>16p74(b)</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A46C6" w:rsidP="00EF5237">
            <w:r w:rsidRPr="008573C5">
              <w:t>28 (22)</w:t>
            </w:r>
          </w:p>
        </w:tc>
        <w:tc>
          <w:tcPr>
            <w:tcW w:w="7295" w:type="dxa"/>
          </w:tcPr>
          <w:p w:rsidR="00801037" w:rsidRPr="008573C5" w:rsidRDefault="00801037" w:rsidP="00A03EBA">
            <w:pPr>
              <w:autoSpaceDE w:val="0"/>
              <w:autoSpaceDN w:val="0"/>
              <w:adjustRightInd w:val="0"/>
              <w:jc w:val="both"/>
              <w:rPr>
                <w:lang w:eastAsia="en-GB"/>
              </w:rPr>
            </w:pPr>
            <w:r w:rsidRPr="008573C5">
              <w:rPr>
                <w:bCs/>
                <w:lang w:eastAsia="en-GB"/>
              </w:rPr>
              <w:t>D</w:t>
            </w:r>
            <w:r w:rsidR="00A03EBA" w:rsidRPr="008573C5">
              <w:rPr>
                <w:bCs/>
                <w:lang w:eastAsia="en-GB"/>
              </w:rPr>
              <w:t>oes</w:t>
            </w:r>
            <w:r w:rsidRPr="008573C5">
              <w:rPr>
                <w:bCs/>
                <w:lang w:eastAsia="en-GB"/>
              </w:rPr>
              <w:t xml:space="preserve"> the entity disclose the amount of contractual commitments for the acquisition of PPE?</w:t>
            </w:r>
            <w:r w:rsidRPr="008573C5">
              <w:rPr>
                <w:lang w:eastAsia="en-GB"/>
              </w:rPr>
              <w:t xml:space="preserve"> IAS</w:t>
            </w:r>
            <w:r w:rsidRPr="008573C5">
              <w:rPr>
                <w:bCs/>
                <w:lang w:eastAsia="en-GB"/>
              </w:rPr>
              <w:t>16p74(c)</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spacing w:after="120"/>
              <w:rPr>
                <w:b/>
              </w:rPr>
            </w:pPr>
            <w:r w:rsidRPr="008573C5">
              <w:rPr>
                <w:b/>
              </w:rPr>
              <w:t xml:space="preserve">IAS 18 Revenue </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2</w:t>
            </w:r>
            <w:r w:rsidR="003A46C6" w:rsidRPr="008573C5">
              <w:t>9 (23)</w:t>
            </w:r>
          </w:p>
        </w:tc>
        <w:tc>
          <w:tcPr>
            <w:tcW w:w="7295" w:type="dxa"/>
          </w:tcPr>
          <w:p w:rsidR="00801037" w:rsidRPr="008573C5" w:rsidRDefault="00801037" w:rsidP="00EF5237">
            <w:pPr>
              <w:autoSpaceDE w:val="0"/>
              <w:autoSpaceDN w:val="0"/>
              <w:adjustRightInd w:val="0"/>
              <w:jc w:val="both"/>
            </w:pPr>
            <w:r w:rsidRPr="008573C5">
              <w:rPr>
                <w:lang w:eastAsia="en-GB"/>
              </w:rPr>
              <w:t>Disclose the amount of each significant category of revenue recognised during the period, including revenue arising from the sale of goods, the rendering of services, interest, royalties; and dividends.(IAS 18.35b)</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spacing w:after="120"/>
              <w:rPr>
                <w:b/>
              </w:rPr>
            </w:pPr>
            <w:r w:rsidRPr="008573C5">
              <w:rPr>
                <w:b/>
              </w:rPr>
              <w:t>IAS 20- Accounting for Government Grants and Disclosure of Government Assistance</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A46C6" w:rsidP="00EF5237">
            <w:r w:rsidRPr="008573C5">
              <w:t>30</w:t>
            </w:r>
          </w:p>
        </w:tc>
        <w:tc>
          <w:tcPr>
            <w:tcW w:w="7295" w:type="dxa"/>
          </w:tcPr>
          <w:p w:rsidR="00801037" w:rsidRPr="008573C5" w:rsidRDefault="00801037" w:rsidP="00A03EBA">
            <w:pPr>
              <w:spacing w:after="120"/>
            </w:pPr>
            <w:r w:rsidRPr="008573C5">
              <w:t>D</w:t>
            </w:r>
            <w:r w:rsidR="00A03EBA" w:rsidRPr="008573C5">
              <w:t>oes</w:t>
            </w:r>
            <w:r w:rsidRPr="008573C5">
              <w:t xml:space="preserve"> the company disclose the accounting policy adopted for grants, including method of balance sheet presentation? (IAS 20.39)</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A46C6" w:rsidP="00EF5237">
            <w:r w:rsidRPr="008573C5">
              <w:t>31</w:t>
            </w:r>
          </w:p>
        </w:tc>
        <w:tc>
          <w:tcPr>
            <w:tcW w:w="7295" w:type="dxa"/>
          </w:tcPr>
          <w:p w:rsidR="00801037" w:rsidRPr="008573C5" w:rsidRDefault="00801037" w:rsidP="00EF5237">
            <w:pPr>
              <w:spacing w:after="120"/>
            </w:pPr>
            <w:r w:rsidRPr="008573C5">
              <w:t>Is the nature and extent of grants recognised in the financial statements disclosed?( IAS 20.39)</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3</w:t>
            </w:r>
            <w:r w:rsidR="003A46C6" w:rsidRPr="008573C5">
              <w:t>2</w:t>
            </w:r>
          </w:p>
        </w:tc>
        <w:tc>
          <w:tcPr>
            <w:tcW w:w="7295" w:type="dxa"/>
          </w:tcPr>
          <w:p w:rsidR="00801037" w:rsidRPr="008573C5" w:rsidRDefault="00801037" w:rsidP="00EF5237">
            <w:pPr>
              <w:spacing w:before="100" w:beforeAutospacing="1" w:after="100" w:afterAutospacing="1"/>
            </w:pPr>
            <w:r w:rsidRPr="008573C5">
              <w:t>Is the unfulfilled conditions and contingencies attaching to recognised grants disclosed? (IAS 20.39)</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3</w:t>
            </w:r>
            <w:r w:rsidR="003A46C6" w:rsidRPr="008573C5">
              <w:t>3</w:t>
            </w:r>
          </w:p>
        </w:tc>
        <w:tc>
          <w:tcPr>
            <w:tcW w:w="7295" w:type="dxa"/>
          </w:tcPr>
          <w:p w:rsidR="00801037" w:rsidRPr="008573C5" w:rsidRDefault="00A03EBA" w:rsidP="00EF5237">
            <w:pPr>
              <w:spacing w:after="120"/>
            </w:pPr>
            <w:r w:rsidRPr="008573C5">
              <w:t>Does</w:t>
            </w:r>
            <w:r w:rsidR="00801037" w:rsidRPr="008573C5">
              <w:t xml:space="preserve"> the company disclose any form of government assistance such as technical and marketing advice? (IAS 20.39b)</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spacing w:after="120"/>
              <w:rPr>
                <w:b/>
              </w:rPr>
            </w:pPr>
            <w:r w:rsidRPr="008573C5">
              <w:rPr>
                <w:b/>
              </w:rPr>
              <w:t>IAS 21 The Effects of Changes in Foreign Exchange Rates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3</w:t>
            </w:r>
            <w:r w:rsidR="003A46C6" w:rsidRPr="008573C5">
              <w:t>4</w:t>
            </w:r>
          </w:p>
        </w:tc>
        <w:tc>
          <w:tcPr>
            <w:tcW w:w="7295" w:type="dxa"/>
          </w:tcPr>
          <w:p w:rsidR="00801037" w:rsidRPr="008573C5" w:rsidRDefault="00A03EBA" w:rsidP="00EF5237">
            <w:r w:rsidRPr="008573C5">
              <w:t>Does</w:t>
            </w:r>
            <w:r w:rsidR="00801037" w:rsidRPr="008573C5">
              <w:t xml:space="preserve"> the enterprise disclose net exchange differences classified in a separate component of equity, and a reconciliation of the amount of such exchange differences at the beginning and end of the period. [IAS 21.52]</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3</w:t>
            </w:r>
            <w:r w:rsidR="003A46C6" w:rsidRPr="008573C5">
              <w:t>5</w:t>
            </w:r>
          </w:p>
        </w:tc>
        <w:tc>
          <w:tcPr>
            <w:tcW w:w="7295" w:type="dxa"/>
          </w:tcPr>
          <w:p w:rsidR="00801037" w:rsidRPr="008573C5" w:rsidRDefault="00801037" w:rsidP="00EF5237">
            <w:r w:rsidRPr="008573C5">
              <w:t>When the presentation currency is different from the functional currency, did the company disclose that fact together with the functional currency and the reason for using a different presentation currency. [IAS 21.53]</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3</w:t>
            </w:r>
            <w:r w:rsidR="003A46C6" w:rsidRPr="008573C5">
              <w:t>6</w:t>
            </w:r>
          </w:p>
        </w:tc>
        <w:tc>
          <w:tcPr>
            <w:tcW w:w="7295" w:type="dxa"/>
          </w:tcPr>
          <w:p w:rsidR="00801037" w:rsidRPr="008573C5" w:rsidRDefault="00A03EBA" w:rsidP="00EF5237">
            <w:pPr>
              <w:spacing w:before="100" w:beforeAutospacing="1" w:after="100" w:afterAutospacing="1"/>
            </w:pPr>
            <w:r w:rsidRPr="008573C5">
              <w:t>Does</w:t>
            </w:r>
            <w:r w:rsidR="00801037" w:rsidRPr="008573C5">
              <w:t xml:space="preserve"> the enterprise disclose a change in the functional currency of either the reporting entity or a significant foreign operation and the reason for the change in the functional currency? [IAS 21.54] </w:t>
            </w:r>
          </w:p>
          <w:p w:rsidR="00801037" w:rsidRPr="008573C5" w:rsidRDefault="00801037" w:rsidP="00EF5237"/>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r w:rsidRPr="008573C5">
              <w:rPr>
                <w:b/>
              </w:rPr>
              <w:t>IAS 23: Borrowing Costs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3</w:t>
            </w:r>
            <w:r w:rsidR="003A46C6" w:rsidRPr="008573C5">
              <w:t>7 (24)</w:t>
            </w:r>
          </w:p>
        </w:tc>
        <w:tc>
          <w:tcPr>
            <w:tcW w:w="7295" w:type="dxa"/>
          </w:tcPr>
          <w:p w:rsidR="00801037" w:rsidRPr="008573C5" w:rsidRDefault="00801037" w:rsidP="00EF5237">
            <w:pPr>
              <w:spacing w:before="100" w:beforeAutospacing="1" w:after="100" w:afterAutospacing="1"/>
            </w:pPr>
            <w:r w:rsidRPr="008573C5">
              <w:t>D</w:t>
            </w:r>
            <w:r w:rsidR="00A03EBA" w:rsidRPr="008573C5">
              <w:t>oes</w:t>
            </w:r>
            <w:r w:rsidRPr="008573C5">
              <w:t xml:space="preserve"> the enterprise disclose the accounting policy adopted for borrowing costs? (IAS 23.29)</w:t>
            </w:r>
          </w:p>
          <w:p w:rsidR="00801037" w:rsidRPr="008573C5" w:rsidRDefault="00801037" w:rsidP="00EF5237"/>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3</w:t>
            </w:r>
            <w:r w:rsidR="003A46C6" w:rsidRPr="008573C5">
              <w:t>8 (25)</w:t>
            </w:r>
          </w:p>
        </w:tc>
        <w:tc>
          <w:tcPr>
            <w:tcW w:w="7295" w:type="dxa"/>
          </w:tcPr>
          <w:p w:rsidR="00801037" w:rsidRPr="008573C5" w:rsidRDefault="00801037" w:rsidP="00EF5237">
            <w:pPr>
              <w:spacing w:before="100" w:beforeAutospacing="1" w:after="100" w:afterAutospacing="1"/>
            </w:pPr>
            <w:r w:rsidRPr="008573C5">
              <w:t>Is the amount of borrowing cost capitalised during the period disclosed? (IAS 23.29)</w:t>
            </w:r>
          </w:p>
          <w:p w:rsidR="00801037" w:rsidRPr="008573C5" w:rsidRDefault="00801037" w:rsidP="00EF5237"/>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3</w:t>
            </w:r>
            <w:r w:rsidR="003A46C6" w:rsidRPr="008573C5">
              <w:t>9 (26)</w:t>
            </w:r>
          </w:p>
        </w:tc>
        <w:tc>
          <w:tcPr>
            <w:tcW w:w="7295" w:type="dxa"/>
          </w:tcPr>
          <w:p w:rsidR="00801037" w:rsidRPr="008573C5" w:rsidRDefault="00801037" w:rsidP="00A03EBA">
            <w:r w:rsidRPr="008573C5">
              <w:t>D</w:t>
            </w:r>
            <w:r w:rsidR="00A03EBA" w:rsidRPr="008573C5">
              <w:t>oes</w:t>
            </w:r>
            <w:r w:rsidRPr="008573C5">
              <w:t xml:space="preserve"> the enterprise disclose the capitalisation rate used to determine the amount of borrowing costs eligible for the capitalization? (IAS 23.29)</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r w:rsidRPr="008573C5">
              <w:rPr>
                <w:b/>
              </w:rPr>
              <w:t>IAS 24: Related Party Disclosures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A46C6" w:rsidP="00EF5237">
            <w:r w:rsidRPr="008573C5">
              <w:t>40 (27)</w:t>
            </w:r>
          </w:p>
        </w:tc>
        <w:tc>
          <w:tcPr>
            <w:tcW w:w="7295" w:type="dxa"/>
          </w:tcPr>
          <w:p w:rsidR="00801037" w:rsidRPr="008573C5" w:rsidRDefault="00801037" w:rsidP="00EF5237">
            <w:pPr>
              <w:autoSpaceDE w:val="0"/>
              <w:autoSpaceDN w:val="0"/>
              <w:adjustRightInd w:val="0"/>
              <w:jc w:val="both"/>
              <w:rPr>
                <w:lang w:eastAsia="en-GB"/>
              </w:rPr>
            </w:pPr>
            <w:r w:rsidRPr="008573C5">
              <w:rPr>
                <w:lang w:eastAsia="en-GB"/>
              </w:rPr>
              <w:t>Are relationships between parents and subsidiaries disclosed irrespective of whether there have been transactions between those related parties?</w:t>
            </w:r>
            <w:r w:rsidRPr="008573C5">
              <w:t xml:space="preserve"> (IAS 24.12)</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A46C6" w:rsidP="00EF5237">
            <w:r w:rsidRPr="008573C5">
              <w:t>41 (28)</w:t>
            </w:r>
          </w:p>
        </w:tc>
        <w:tc>
          <w:tcPr>
            <w:tcW w:w="7295" w:type="dxa"/>
          </w:tcPr>
          <w:p w:rsidR="00801037" w:rsidRPr="008573C5" w:rsidRDefault="00801037" w:rsidP="00A03EBA">
            <w:pPr>
              <w:autoSpaceDE w:val="0"/>
              <w:autoSpaceDN w:val="0"/>
              <w:adjustRightInd w:val="0"/>
            </w:pPr>
            <w:r w:rsidRPr="008573C5">
              <w:t>D</w:t>
            </w:r>
            <w:r w:rsidR="00A03EBA" w:rsidRPr="008573C5">
              <w:t>oes</w:t>
            </w:r>
            <w:r w:rsidRPr="008573C5">
              <w:t xml:space="preserve"> the entity disclose key management personnel compensation in total</w:t>
            </w:r>
            <w:r w:rsidRPr="008573C5">
              <w:rPr>
                <w:lang w:eastAsia="en-GB"/>
              </w:rPr>
              <w:t xml:space="preserve"> for short-term employee benefits, post-employment benefits, other long-term benefits, termination benefits and share-based payments?</w:t>
            </w:r>
            <w:r w:rsidRPr="008573C5">
              <w:t xml:space="preserve"> (IAS 24.16)</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A46C6" w:rsidP="003A46C6">
            <w:r w:rsidRPr="008573C5">
              <w:t>42-44</w:t>
            </w:r>
          </w:p>
          <w:p w:rsidR="003A46C6" w:rsidRPr="008573C5" w:rsidRDefault="003A46C6" w:rsidP="003A46C6">
            <w:r w:rsidRPr="008573C5">
              <w:t>(29-31)</w:t>
            </w:r>
          </w:p>
        </w:tc>
        <w:tc>
          <w:tcPr>
            <w:tcW w:w="7295" w:type="dxa"/>
          </w:tcPr>
          <w:p w:rsidR="00801037" w:rsidRPr="008573C5" w:rsidRDefault="00801037" w:rsidP="00EF5237">
            <w:pPr>
              <w:autoSpaceDE w:val="0"/>
              <w:autoSpaceDN w:val="0"/>
              <w:adjustRightInd w:val="0"/>
              <w:jc w:val="both"/>
              <w:rPr>
                <w:rStyle w:val="Emphasis"/>
                <w:i w:val="0"/>
              </w:rPr>
            </w:pPr>
            <w:r w:rsidRPr="008573C5">
              <w:rPr>
                <w:rStyle w:val="Emphasis"/>
                <w:i w:val="0"/>
              </w:rPr>
              <w:t>Where there have been transactions between related parties, did the entity disclose:</w:t>
            </w:r>
          </w:p>
          <w:p w:rsidR="00801037" w:rsidRPr="008573C5" w:rsidRDefault="00801037" w:rsidP="00EF5237">
            <w:pPr>
              <w:autoSpaceDE w:val="0"/>
              <w:autoSpaceDN w:val="0"/>
              <w:adjustRightInd w:val="0"/>
              <w:jc w:val="both"/>
              <w:rPr>
                <w:rStyle w:val="Emphasis"/>
                <w:i w:val="0"/>
              </w:rPr>
            </w:pPr>
            <w:r w:rsidRPr="008573C5">
              <w:rPr>
                <w:rStyle w:val="Emphasis"/>
                <w:i w:val="0"/>
              </w:rPr>
              <w:t>(i) types of transactions between related parties ;</w:t>
            </w:r>
          </w:p>
          <w:p w:rsidR="00801037" w:rsidRPr="008573C5" w:rsidRDefault="00801037" w:rsidP="00EF5237">
            <w:pPr>
              <w:autoSpaceDE w:val="0"/>
              <w:autoSpaceDN w:val="0"/>
              <w:adjustRightInd w:val="0"/>
              <w:jc w:val="both"/>
              <w:rPr>
                <w:rStyle w:val="Emphasis"/>
                <w:i w:val="0"/>
              </w:rPr>
            </w:pPr>
            <w:r w:rsidRPr="008573C5">
              <w:rPr>
                <w:rStyle w:val="Emphasis"/>
                <w:i w:val="0"/>
              </w:rPr>
              <w:t>(ii) the amount of transactions;</w:t>
            </w:r>
          </w:p>
          <w:p w:rsidR="00801037" w:rsidRPr="008573C5" w:rsidRDefault="00801037" w:rsidP="00EF5237">
            <w:pPr>
              <w:autoSpaceDE w:val="0"/>
              <w:autoSpaceDN w:val="0"/>
              <w:adjustRightInd w:val="0"/>
              <w:jc w:val="both"/>
            </w:pPr>
            <w:r w:rsidRPr="008573C5">
              <w:rPr>
                <w:rStyle w:val="Emphasis"/>
                <w:i w:val="0"/>
              </w:rPr>
              <w:t>(iii) the amount of outstanding balances?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spacing w:after="120"/>
              <w:rPr>
                <w:b/>
              </w:rPr>
            </w:pPr>
            <w:r w:rsidRPr="008573C5">
              <w:rPr>
                <w:b/>
              </w:rPr>
              <w:t>IAS 27: Consolidated and Separate Financial Statements</w:t>
            </w:r>
          </w:p>
          <w:p w:rsidR="00801037" w:rsidRPr="008573C5" w:rsidRDefault="00801037" w:rsidP="00EF5237"/>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A46C6" w:rsidP="00EF5237">
            <w:r w:rsidRPr="008573C5">
              <w:t>45 (32)</w:t>
            </w:r>
          </w:p>
        </w:tc>
        <w:tc>
          <w:tcPr>
            <w:tcW w:w="7295" w:type="dxa"/>
          </w:tcPr>
          <w:p w:rsidR="00801037" w:rsidRPr="008573C5" w:rsidRDefault="00A03EBA" w:rsidP="00EF5237">
            <w:pPr>
              <w:autoSpaceDE w:val="0"/>
              <w:autoSpaceDN w:val="0"/>
              <w:adjustRightInd w:val="0"/>
            </w:pPr>
            <w:r w:rsidRPr="008573C5">
              <w:t>Does</w:t>
            </w:r>
            <w:r w:rsidR="00801037" w:rsidRPr="008573C5">
              <w:t xml:space="preserve"> the parent enterprise disclose </w:t>
            </w:r>
            <w:r w:rsidR="00801037" w:rsidRPr="008573C5">
              <w:rPr>
                <w:lang w:eastAsia="en-GB"/>
              </w:rPr>
              <w:t>in the consolidated financial statements the names of significant subsidiaries? (IAS 27.32a)</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A46C6" w:rsidP="00EF5237">
            <w:r w:rsidRPr="008573C5">
              <w:t>46 (33)</w:t>
            </w:r>
          </w:p>
        </w:tc>
        <w:tc>
          <w:tcPr>
            <w:tcW w:w="7295" w:type="dxa"/>
          </w:tcPr>
          <w:p w:rsidR="00801037" w:rsidRPr="008573C5" w:rsidRDefault="00A03EBA" w:rsidP="00EF5237">
            <w:pPr>
              <w:autoSpaceDE w:val="0"/>
              <w:autoSpaceDN w:val="0"/>
              <w:adjustRightInd w:val="0"/>
            </w:pPr>
            <w:r w:rsidRPr="008573C5">
              <w:t>Does</w:t>
            </w:r>
            <w:r w:rsidR="00801037" w:rsidRPr="008573C5">
              <w:t xml:space="preserve"> the parent enterprise disclose </w:t>
            </w:r>
            <w:r w:rsidR="00801037" w:rsidRPr="008573C5">
              <w:rPr>
                <w:lang w:eastAsia="en-GB"/>
              </w:rPr>
              <w:t>in the consolidated financial statements the country of incorporation or residence of significant subsidiaries? (IAS 27.32a)</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A46C6" w:rsidP="00EF5237">
            <w:r w:rsidRPr="008573C5">
              <w:t>47 (34)</w:t>
            </w:r>
          </w:p>
        </w:tc>
        <w:tc>
          <w:tcPr>
            <w:tcW w:w="7295" w:type="dxa"/>
          </w:tcPr>
          <w:p w:rsidR="00801037" w:rsidRPr="008573C5" w:rsidRDefault="00A03EBA" w:rsidP="00EF5237">
            <w:pPr>
              <w:autoSpaceDE w:val="0"/>
              <w:autoSpaceDN w:val="0"/>
              <w:adjustRightInd w:val="0"/>
            </w:pPr>
            <w:r w:rsidRPr="008573C5">
              <w:t>Does</w:t>
            </w:r>
            <w:r w:rsidRPr="008573C5">
              <w:rPr>
                <w:lang w:eastAsia="en-GB"/>
              </w:rPr>
              <w:t xml:space="preserve"> </w:t>
            </w:r>
            <w:r w:rsidR="00801037" w:rsidRPr="008573C5">
              <w:rPr>
                <w:lang w:eastAsia="en-GB"/>
              </w:rPr>
              <w:t>(IAS 27.32a)</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A46C6" w:rsidP="00EF5237">
            <w:r w:rsidRPr="008573C5">
              <w:t>48 (35)</w:t>
            </w:r>
          </w:p>
        </w:tc>
        <w:tc>
          <w:tcPr>
            <w:tcW w:w="7295" w:type="dxa"/>
          </w:tcPr>
          <w:p w:rsidR="00801037" w:rsidRPr="008573C5" w:rsidRDefault="00A03EBA" w:rsidP="00EF5237">
            <w:pPr>
              <w:autoSpaceDE w:val="0"/>
              <w:autoSpaceDN w:val="0"/>
              <w:adjustRightInd w:val="0"/>
              <w:rPr>
                <w:b/>
              </w:rPr>
            </w:pPr>
            <w:r w:rsidRPr="008573C5">
              <w:t>Does</w:t>
            </w:r>
            <w:r w:rsidR="00801037" w:rsidRPr="008573C5">
              <w:t xml:space="preserve"> the parent enterprise disclose </w:t>
            </w:r>
            <w:r w:rsidR="00801037" w:rsidRPr="008573C5">
              <w:rPr>
                <w:lang w:eastAsia="en-GB"/>
              </w:rPr>
              <w:t>in the consolidated financial statements the reasons for not consolidating a subsidiary? (IAS 27.32b)</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A46C6" w:rsidP="003A46C6">
            <w:r w:rsidRPr="008573C5">
              <w:t>49-51</w:t>
            </w:r>
          </w:p>
          <w:p w:rsidR="003A46C6" w:rsidRPr="008573C5" w:rsidRDefault="003A46C6" w:rsidP="003A46C6">
            <w:r w:rsidRPr="008573C5">
              <w:t>(36-38)</w:t>
            </w:r>
          </w:p>
        </w:tc>
        <w:tc>
          <w:tcPr>
            <w:tcW w:w="7295" w:type="dxa"/>
          </w:tcPr>
          <w:p w:rsidR="00801037" w:rsidRPr="008573C5" w:rsidRDefault="00801037" w:rsidP="00EF5237">
            <w:pPr>
              <w:autoSpaceDE w:val="0"/>
              <w:autoSpaceDN w:val="0"/>
              <w:adjustRightInd w:val="0"/>
              <w:jc w:val="both"/>
              <w:rPr>
                <w:lang w:eastAsia="en-GB"/>
              </w:rPr>
            </w:pPr>
            <w:r w:rsidRPr="008573C5">
              <w:rPr>
                <w:lang w:eastAsia="en-GB"/>
              </w:rPr>
              <w:t>When separate financial statements are prepared for a parent that, in accordance with para 10, elects not to prepare consolidated financial statements, those separate financial statements should disclose:</w:t>
            </w:r>
          </w:p>
          <w:p w:rsidR="00801037" w:rsidRPr="008573C5" w:rsidRDefault="00801037" w:rsidP="00085210">
            <w:pPr>
              <w:numPr>
                <w:ilvl w:val="0"/>
                <w:numId w:val="17"/>
              </w:numPr>
              <w:autoSpaceDE w:val="0"/>
              <w:autoSpaceDN w:val="0"/>
              <w:adjustRightInd w:val="0"/>
              <w:spacing w:after="200"/>
              <w:jc w:val="both"/>
              <w:rPr>
                <w:lang w:eastAsia="en-GB"/>
              </w:rPr>
            </w:pPr>
            <w:r w:rsidRPr="008573C5">
              <w:rPr>
                <w:lang w:eastAsia="en-GB"/>
              </w:rPr>
              <w:t>The fact that the financial statements are separate?</w:t>
            </w:r>
          </w:p>
          <w:p w:rsidR="00801037" w:rsidRPr="008573C5" w:rsidRDefault="00801037" w:rsidP="00085210">
            <w:pPr>
              <w:numPr>
                <w:ilvl w:val="0"/>
                <w:numId w:val="17"/>
              </w:numPr>
              <w:autoSpaceDE w:val="0"/>
              <w:autoSpaceDN w:val="0"/>
              <w:adjustRightInd w:val="0"/>
              <w:spacing w:after="200"/>
              <w:jc w:val="both"/>
              <w:rPr>
                <w:lang w:eastAsia="en-GB"/>
              </w:rPr>
            </w:pPr>
            <w:r w:rsidRPr="008573C5">
              <w:rPr>
                <w:lang w:eastAsia="en-GB"/>
              </w:rPr>
              <w:t>A list of significant investments in subsidiaries, jointly controlled entities and associates?</w:t>
            </w:r>
          </w:p>
          <w:p w:rsidR="00801037" w:rsidRPr="008573C5" w:rsidRDefault="00801037" w:rsidP="00085210">
            <w:pPr>
              <w:numPr>
                <w:ilvl w:val="0"/>
                <w:numId w:val="17"/>
              </w:numPr>
              <w:autoSpaceDE w:val="0"/>
              <w:autoSpaceDN w:val="0"/>
              <w:adjustRightInd w:val="0"/>
              <w:spacing w:after="200"/>
              <w:jc w:val="both"/>
              <w:rPr>
                <w:lang w:eastAsia="en-GB"/>
              </w:rPr>
            </w:pPr>
            <w:r w:rsidRPr="008573C5">
              <w:rPr>
                <w:lang w:eastAsia="en-GB"/>
              </w:rPr>
              <w:t xml:space="preserve"> Proportion of ownership interest and if different, proportion of voting power held? </w:t>
            </w:r>
            <w:r w:rsidRPr="008573C5">
              <w:t>(IAS 27.42)</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r w:rsidRPr="008573C5">
              <w:rPr>
                <w:b/>
              </w:rPr>
              <w:t>IAS 28 – Investment In Associates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A46C6" w:rsidP="00EF5237">
            <w:r w:rsidRPr="008573C5">
              <w:t>52 (39)</w:t>
            </w:r>
          </w:p>
        </w:tc>
        <w:tc>
          <w:tcPr>
            <w:tcW w:w="7295" w:type="dxa"/>
          </w:tcPr>
          <w:p w:rsidR="00801037" w:rsidRPr="008573C5" w:rsidRDefault="00A03EBA" w:rsidP="00EF5237">
            <w:r w:rsidRPr="008573C5">
              <w:t>Does</w:t>
            </w:r>
            <w:r w:rsidR="00801037" w:rsidRPr="008573C5">
              <w:t xml:space="preserve"> the enterprise disclose the listings of significant associates?(IAS 28.27a)</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A46C6" w:rsidP="00EF5237">
            <w:r w:rsidRPr="008573C5">
              <w:t>53 (40)</w:t>
            </w:r>
          </w:p>
        </w:tc>
        <w:tc>
          <w:tcPr>
            <w:tcW w:w="7295" w:type="dxa"/>
          </w:tcPr>
          <w:p w:rsidR="00801037" w:rsidRPr="008573C5" w:rsidRDefault="00A03EBA" w:rsidP="00EF5237">
            <w:r w:rsidRPr="008573C5">
              <w:t>Does</w:t>
            </w:r>
            <w:r w:rsidR="00801037" w:rsidRPr="008573C5">
              <w:t xml:space="preserve"> the enterprise disclose the method used in accounting for the associates?(IAS 28.27b)</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A46C6" w:rsidP="003A46C6">
            <w:r w:rsidRPr="008573C5">
              <w:t>54-56</w:t>
            </w:r>
          </w:p>
          <w:p w:rsidR="003A46C6" w:rsidRPr="008573C5" w:rsidRDefault="003A46C6" w:rsidP="003A46C6">
            <w:r w:rsidRPr="008573C5">
              <w:t>(41-43)</w:t>
            </w:r>
          </w:p>
        </w:tc>
        <w:tc>
          <w:tcPr>
            <w:tcW w:w="7295" w:type="dxa"/>
          </w:tcPr>
          <w:p w:rsidR="00801037" w:rsidRPr="008573C5" w:rsidRDefault="00801037" w:rsidP="00EF5237">
            <w:pPr>
              <w:autoSpaceDE w:val="0"/>
              <w:autoSpaceDN w:val="0"/>
              <w:adjustRightInd w:val="0"/>
              <w:jc w:val="both"/>
              <w:rPr>
                <w:lang w:eastAsia="en-GB"/>
              </w:rPr>
            </w:pPr>
            <w:r w:rsidRPr="008573C5">
              <w:rPr>
                <w:lang w:eastAsia="en-GB"/>
              </w:rPr>
              <w:t>Are the following disclosures made?(IAS 28.37)</w:t>
            </w:r>
          </w:p>
          <w:p w:rsidR="00801037" w:rsidRPr="008573C5" w:rsidRDefault="00801037" w:rsidP="00EF5237">
            <w:pPr>
              <w:autoSpaceDE w:val="0"/>
              <w:autoSpaceDN w:val="0"/>
              <w:adjustRightInd w:val="0"/>
              <w:jc w:val="both"/>
              <w:rPr>
                <w:lang w:eastAsia="en-GB"/>
              </w:rPr>
            </w:pPr>
            <w:r w:rsidRPr="008573C5">
              <w:rPr>
                <w:lang w:eastAsia="en-GB"/>
              </w:rPr>
              <w:t>(i) the fair value of investments in associates (individually) for which there are published price quotations;</w:t>
            </w:r>
          </w:p>
          <w:p w:rsidR="00801037" w:rsidRPr="008573C5" w:rsidRDefault="00801037" w:rsidP="00EF5237">
            <w:pPr>
              <w:autoSpaceDE w:val="0"/>
              <w:autoSpaceDN w:val="0"/>
              <w:adjustRightInd w:val="0"/>
              <w:jc w:val="both"/>
              <w:rPr>
                <w:lang w:eastAsia="en-GB"/>
              </w:rPr>
            </w:pPr>
            <w:r w:rsidRPr="008573C5">
              <w:rPr>
                <w:lang w:eastAsia="en-GB"/>
              </w:rPr>
              <w:t>(ii) summarised financial information of associates (individually for each significant associate), including the aggregated amounts of assets, liabilities, revenues and profit or loss;</w:t>
            </w:r>
          </w:p>
          <w:p w:rsidR="00801037" w:rsidRPr="008573C5" w:rsidRDefault="00801037" w:rsidP="00EF5237">
            <w:pPr>
              <w:autoSpaceDE w:val="0"/>
              <w:autoSpaceDN w:val="0"/>
              <w:adjustRightInd w:val="0"/>
              <w:jc w:val="both"/>
              <w:rPr>
                <w:lang w:eastAsia="en-GB"/>
              </w:rPr>
            </w:pPr>
            <w:r w:rsidRPr="008573C5">
              <w:rPr>
                <w:lang w:eastAsia="en-GB"/>
              </w:rPr>
              <w:t>(iii) the reporting date of an associate’s financial statements, when it is different from that of the investor, and the reason for using a different reporting date?</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rPr>
          <w:trHeight w:val="377"/>
        </w:trPr>
        <w:tc>
          <w:tcPr>
            <w:tcW w:w="1168" w:type="dxa"/>
          </w:tcPr>
          <w:p w:rsidR="00801037" w:rsidRPr="008573C5" w:rsidRDefault="00801037" w:rsidP="00EF5237"/>
        </w:tc>
        <w:tc>
          <w:tcPr>
            <w:tcW w:w="7295" w:type="dxa"/>
          </w:tcPr>
          <w:p w:rsidR="00801037" w:rsidRPr="008573C5" w:rsidRDefault="00801037" w:rsidP="00EF5237">
            <w:pPr>
              <w:spacing w:after="120"/>
              <w:rPr>
                <w:b/>
              </w:rPr>
            </w:pPr>
            <w:r w:rsidRPr="008573C5">
              <w:rPr>
                <w:b/>
              </w:rPr>
              <w:t>IAS 31- Interests in Joint Venture</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rPr>
          <w:trHeight w:val="377"/>
        </w:trPr>
        <w:tc>
          <w:tcPr>
            <w:tcW w:w="1168" w:type="dxa"/>
          </w:tcPr>
          <w:p w:rsidR="00801037" w:rsidRPr="008573C5" w:rsidRDefault="003A46C6" w:rsidP="00EF5237">
            <w:r w:rsidRPr="008573C5">
              <w:t>57</w:t>
            </w:r>
            <w:r w:rsidR="00340983" w:rsidRPr="008573C5">
              <w:t xml:space="preserve"> </w:t>
            </w:r>
          </w:p>
        </w:tc>
        <w:tc>
          <w:tcPr>
            <w:tcW w:w="7295" w:type="dxa"/>
          </w:tcPr>
          <w:p w:rsidR="00801037" w:rsidRPr="008573C5" w:rsidRDefault="00A03EBA" w:rsidP="00EF5237">
            <w:pPr>
              <w:rPr>
                <w:b/>
              </w:rPr>
            </w:pPr>
            <w:r w:rsidRPr="008573C5">
              <w:t>Does</w:t>
            </w:r>
            <w:r w:rsidR="00801037" w:rsidRPr="008573C5">
              <w:t xml:space="preserve"> the venturer disclose information about contingent liabilities relating to its interest in a joint venture? [IAS 31.54]</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rPr>
          <w:trHeight w:val="377"/>
        </w:trPr>
        <w:tc>
          <w:tcPr>
            <w:tcW w:w="1168" w:type="dxa"/>
          </w:tcPr>
          <w:p w:rsidR="00801037" w:rsidRPr="008573C5" w:rsidRDefault="003A46C6" w:rsidP="00EF5237">
            <w:r w:rsidRPr="008573C5">
              <w:t>58</w:t>
            </w:r>
            <w:r w:rsidR="00340983" w:rsidRPr="008573C5">
              <w:t xml:space="preserve"> </w:t>
            </w:r>
          </w:p>
        </w:tc>
        <w:tc>
          <w:tcPr>
            <w:tcW w:w="7295" w:type="dxa"/>
          </w:tcPr>
          <w:p w:rsidR="00801037" w:rsidRPr="008573C5" w:rsidRDefault="00801037" w:rsidP="00EF5237">
            <w:pPr>
              <w:rPr>
                <w:b/>
              </w:rPr>
            </w:pPr>
            <w:r w:rsidRPr="008573C5">
              <w:t>Is information about commitments relating to its interests in joint ventures disclosed? [IAS 31.55]</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rPr>
          <w:trHeight w:val="377"/>
        </w:trPr>
        <w:tc>
          <w:tcPr>
            <w:tcW w:w="1168" w:type="dxa"/>
          </w:tcPr>
          <w:p w:rsidR="00801037" w:rsidRPr="008573C5" w:rsidRDefault="00801037" w:rsidP="00EF5237">
            <w:r w:rsidRPr="008573C5">
              <w:t>5</w:t>
            </w:r>
            <w:r w:rsidR="003A46C6" w:rsidRPr="008573C5">
              <w:t>9</w:t>
            </w:r>
            <w:r w:rsidR="00340983" w:rsidRPr="008573C5">
              <w:t xml:space="preserve"> </w:t>
            </w:r>
          </w:p>
        </w:tc>
        <w:tc>
          <w:tcPr>
            <w:tcW w:w="7295" w:type="dxa"/>
          </w:tcPr>
          <w:p w:rsidR="00801037" w:rsidRPr="008573C5" w:rsidRDefault="00801037" w:rsidP="00EF5237">
            <w:pPr>
              <w:spacing w:before="100" w:beforeAutospacing="1" w:after="100" w:afterAutospacing="1"/>
            </w:pPr>
            <w:r w:rsidRPr="008573C5">
              <w:t xml:space="preserve">Is a listing and description of interests in significant joint ventures and the proportion of ownership interest held in jointly controlled entities disclosed? (IAS 31.56) </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rPr>
          <w:trHeight w:val="377"/>
        </w:trPr>
        <w:tc>
          <w:tcPr>
            <w:tcW w:w="1168" w:type="dxa"/>
          </w:tcPr>
          <w:p w:rsidR="00801037" w:rsidRPr="008573C5" w:rsidRDefault="003A46C6" w:rsidP="00EF5237">
            <w:r w:rsidRPr="008573C5">
              <w:t>60</w:t>
            </w:r>
            <w:r w:rsidR="00340983" w:rsidRPr="008573C5">
              <w:t xml:space="preserve"> </w:t>
            </w:r>
          </w:p>
        </w:tc>
        <w:tc>
          <w:tcPr>
            <w:tcW w:w="7295" w:type="dxa"/>
          </w:tcPr>
          <w:p w:rsidR="00801037" w:rsidRPr="008573C5" w:rsidRDefault="00801037" w:rsidP="00EF5237">
            <w:pPr>
              <w:rPr>
                <w:b/>
              </w:rPr>
            </w:pPr>
            <w:r w:rsidRPr="008573C5">
              <w:t>Is the method used by the venturer to recognise its interests in jointly controlled entities disclosed?. [IAS 31.57]</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rPr>
                <w:b/>
              </w:rPr>
            </w:pPr>
            <w:r w:rsidRPr="008573C5">
              <w:rPr>
                <w:b/>
              </w:rPr>
              <w:t>IAS 32- Financial Instruments Presentation</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A46C6" w:rsidP="00EF5237">
            <w:r w:rsidRPr="008573C5">
              <w:t>61</w:t>
            </w:r>
            <w:r w:rsidR="00340983" w:rsidRPr="008573C5">
              <w:t xml:space="preserve"> (44)</w:t>
            </w:r>
          </w:p>
        </w:tc>
        <w:tc>
          <w:tcPr>
            <w:tcW w:w="7295" w:type="dxa"/>
          </w:tcPr>
          <w:p w:rsidR="00801037" w:rsidRPr="008573C5" w:rsidRDefault="00801037" w:rsidP="00EF5237">
            <w:pPr>
              <w:spacing w:before="100" w:beforeAutospacing="1" w:after="100" w:afterAutospacing="1"/>
            </w:pPr>
            <w:r w:rsidRPr="008573C5">
              <w:t xml:space="preserve">For each class of financial asset, financial liability, and equity instrument, did the entity disclose the accounting policies and methods adopted, including the criteria for recognition and the basis of measurement applied? [IAS 32.60] </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62 (45)</w:t>
            </w:r>
          </w:p>
        </w:tc>
        <w:tc>
          <w:tcPr>
            <w:tcW w:w="7295" w:type="dxa"/>
          </w:tcPr>
          <w:p w:rsidR="00801037" w:rsidRPr="008573C5" w:rsidRDefault="00801037" w:rsidP="000B12D4">
            <w:pPr>
              <w:pStyle w:val="NormalWeb"/>
            </w:pPr>
            <w:r w:rsidRPr="008573C5">
              <w:t xml:space="preserve">For each class of financial assets and financial liabilities, did the entity disclose information about exposure to interest rate risk, including contractual repricing or maturity dates and effective interest rates, when applicable? [IAS 32.67] </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63 (46)</w:t>
            </w:r>
          </w:p>
        </w:tc>
        <w:tc>
          <w:tcPr>
            <w:tcW w:w="7295" w:type="dxa"/>
          </w:tcPr>
          <w:p w:rsidR="00801037" w:rsidRPr="008573C5" w:rsidRDefault="00801037" w:rsidP="00EF5237">
            <w:pPr>
              <w:pStyle w:val="NormalWeb"/>
            </w:pPr>
            <w:r w:rsidRPr="008573C5">
              <w:t xml:space="preserve">For each class of financial assets and other credit exposures, did the entity disclose information about exposure to credit risk, including: the amount that best represents its maximum credit risk exposure at the balance sheet date and significant concentrations of credit risk? [IAS 32.76] </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64 (47)</w:t>
            </w:r>
          </w:p>
        </w:tc>
        <w:tc>
          <w:tcPr>
            <w:tcW w:w="7295" w:type="dxa"/>
          </w:tcPr>
          <w:p w:rsidR="00801037" w:rsidRPr="008573C5" w:rsidRDefault="00A03EBA" w:rsidP="00EF5237">
            <w:pPr>
              <w:spacing w:before="100" w:beforeAutospacing="1" w:after="100" w:afterAutospacing="1"/>
            </w:pPr>
            <w:r w:rsidRPr="008573C5">
              <w:t>Does</w:t>
            </w:r>
            <w:r w:rsidR="00801037" w:rsidRPr="008573C5">
              <w:t xml:space="preserve"> the entity disclose the carrying amount of financial assets pledged as collateral and any material terms and conditions relating to assets pledged as collateral? (IAS 32.94)</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rPr>
                <w:b/>
              </w:rPr>
            </w:pP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r w:rsidRPr="008573C5">
              <w:rPr>
                <w:b/>
              </w:rPr>
              <w:t>IAS 36 – Impairment of Assets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65 (48)</w:t>
            </w:r>
          </w:p>
        </w:tc>
        <w:tc>
          <w:tcPr>
            <w:tcW w:w="7295" w:type="dxa"/>
          </w:tcPr>
          <w:p w:rsidR="00801037" w:rsidRPr="008573C5" w:rsidRDefault="00A03EBA" w:rsidP="00EF5237">
            <w:pPr>
              <w:spacing w:after="120"/>
            </w:pPr>
            <w:r w:rsidRPr="008573C5">
              <w:t>Does</w:t>
            </w:r>
            <w:r w:rsidR="00801037" w:rsidRPr="008573C5">
              <w:t xml:space="preserve"> the entity disclose the policies adopted for impairment losses and impairment losses (reversed) in the income statement for classes of assets? ( IAS 36.126)</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66 (49)</w:t>
            </w:r>
          </w:p>
        </w:tc>
        <w:tc>
          <w:tcPr>
            <w:tcW w:w="7295" w:type="dxa"/>
          </w:tcPr>
          <w:p w:rsidR="00801037" w:rsidRPr="008573C5" w:rsidRDefault="00A03EBA" w:rsidP="00EF5237">
            <w:pPr>
              <w:spacing w:after="120"/>
            </w:pPr>
            <w:r w:rsidRPr="008573C5">
              <w:t>Does</w:t>
            </w:r>
            <w:r w:rsidR="00801037" w:rsidRPr="008573C5">
              <w:t xml:space="preserve"> the entity disclose for primary segments impairment losses and reversals?(IAS 36.126)</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6</w:t>
            </w:r>
            <w:r w:rsidR="00340983" w:rsidRPr="008573C5">
              <w:t>7 (50)</w:t>
            </w:r>
          </w:p>
        </w:tc>
        <w:tc>
          <w:tcPr>
            <w:tcW w:w="7295" w:type="dxa"/>
          </w:tcPr>
          <w:p w:rsidR="00801037" w:rsidRPr="008573C5" w:rsidRDefault="00801037" w:rsidP="00EF5237">
            <w:pPr>
              <w:spacing w:after="120"/>
            </w:pPr>
            <w:r w:rsidRPr="008573C5">
              <w:t>If an individual impairment loss (reversal) recognised is material, did the entity disclose the main events and circumstances resulting in the impairment loss? (IAS 36. 130)</w:t>
            </w:r>
          </w:p>
          <w:p w:rsidR="00801037" w:rsidRPr="008573C5" w:rsidRDefault="00801037" w:rsidP="00EF5237"/>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r w:rsidRPr="008573C5">
              <w:t>6</w:t>
            </w:r>
            <w:r w:rsidR="00340983" w:rsidRPr="008573C5">
              <w:t>8 (51)</w:t>
            </w:r>
          </w:p>
        </w:tc>
        <w:tc>
          <w:tcPr>
            <w:tcW w:w="7295" w:type="dxa"/>
          </w:tcPr>
          <w:p w:rsidR="00801037" w:rsidRPr="008573C5" w:rsidRDefault="00801037" w:rsidP="00EF5237">
            <w:pPr>
              <w:spacing w:after="120"/>
            </w:pPr>
            <w:r w:rsidRPr="008573C5">
              <w:t>If an individual impairment loss (reversal) recognised is material, did the entity disclose the amount? (IAS 36. 130)</w:t>
            </w:r>
          </w:p>
          <w:p w:rsidR="00801037" w:rsidRPr="008573C5" w:rsidRDefault="00801037" w:rsidP="00EF5237"/>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spacing w:after="120"/>
              <w:rPr>
                <w:b/>
              </w:rPr>
            </w:pPr>
            <w:r w:rsidRPr="008573C5">
              <w:rPr>
                <w:b/>
              </w:rPr>
              <w:t>IAS 37 : Provisions, Contingent Liabilities, and Contingent Assets for financial year end before December 2006)</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69 (52)</w:t>
            </w:r>
          </w:p>
        </w:tc>
        <w:tc>
          <w:tcPr>
            <w:tcW w:w="7295" w:type="dxa"/>
          </w:tcPr>
          <w:p w:rsidR="00801037" w:rsidRPr="008573C5" w:rsidRDefault="00A03EBA" w:rsidP="00EF5237">
            <w:pPr>
              <w:autoSpaceDE w:val="0"/>
              <w:autoSpaceDN w:val="0"/>
              <w:adjustRightInd w:val="0"/>
              <w:jc w:val="both"/>
              <w:rPr>
                <w:lang w:eastAsia="en-GB"/>
              </w:rPr>
            </w:pPr>
            <w:r w:rsidRPr="008573C5">
              <w:t>Does</w:t>
            </w:r>
            <w:r w:rsidR="00801037" w:rsidRPr="008573C5">
              <w:rPr>
                <w:lang w:eastAsia="en-GB"/>
              </w:rPr>
              <w:t xml:space="preserve"> the company disclose the accounting policy for provisions, contingent liability and contingent assets?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70 (53)</w:t>
            </w:r>
          </w:p>
        </w:tc>
        <w:tc>
          <w:tcPr>
            <w:tcW w:w="7295" w:type="dxa"/>
          </w:tcPr>
          <w:p w:rsidR="00801037" w:rsidRPr="008573C5" w:rsidRDefault="00801037" w:rsidP="00EF5237">
            <w:pPr>
              <w:autoSpaceDE w:val="0"/>
              <w:autoSpaceDN w:val="0"/>
              <w:adjustRightInd w:val="0"/>
              <w:jc w:val="both"/>
            </w:pPr>
            <w:r w:rsidRPr="008573C5">
              <w:rPr>
                <w:lang w:eastAsia="en-GB"/>
              </w:rPr>
              <w:t>For each class of provision, did the entity disclose,  the carrying amount at the beginning of the period, provisions acquired through business combinations,  additional provisions, amounts used, amounts reversed unused,  increase during the period and the carrying amount at the end of the period?</w:t>
            </w:r>
            <w:r w:rsidRPr="008573C5">
              <w:t xml:space="preserve">[IAS 37.84] </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71 (54)</w:t>
            </w:r>
          </w:p>
        </w:tc>
        <w:tc>
          <w:tcPr>
            <w:tcW w:w="7295" w:type="dxa"/>
          </w:tcPr>
          <w:p w:rsidR="00801037" w:rsidRPr="008573C5" w:rsidRDefault="00801037" w:rsidP="00EF5237">
            <w:pPr>
              <w:spacing w:after="120"/>
              <w:rPr>
                <w:b/>
              </w:rPr>
            </w:pPr>
            <w:r w:rsidRPr="008573C5">
              <w:rPr>
                <w:lang w:eastAsia="en-GB"/>
              </w:rPr>
              <w:t>For each class of provision, did the company provide a brief description of the nature of the obligation and of the expected timing of any resulting outflows of economic benefit, and  amount of any expected reimbursement?</w:t>
            </w:r>
            <w:r w:rsidRPr="008573C5">
              <w:t>[IAS 37.85]</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72 (55)</w:t>
            </w:r>
          </w:p>
        </w:tc>
        <w:tc>
          <w:tcPr>
            <w:tcW w:w="7295" w:type="dxa"/>
          </w:tcPr>
          <w:p w:rsidR="00801037" w:rsidRPr="008573C5" w:rsidRDefault="00A03EBA" w:rsidP="00EF5237">
            <w:pPr>
              <w:autoSpaceDE w:val="0"/>
              <w:autoSpaceDN w:val="0"/>
              <w:adjustRightInd w:val="0"/>
              <w:jc w:val="both"/>
              <w:rPr>
                <w:lang w:eastAsia="en-GB"/>
              </w:rPr>
            </w:pPr>
            <w:r w:rsidRPr="008573C5">
              <w:t>Does</w:t>
            </w:r>
            <w:r w:rsidR="00801037" w:rsidRPr="008573C5">
              <w:rPr>
                <w:lang w:eastAsia="en-GB"/>
              </w:rPr>
              <w:t xml:space="preserve"> the entity disclose for each class of contingent liability, a brief description of the nature of the contingent liability, its financial effect, and possibility of any reimbursement?(IAS 37.86,91)</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73 (56)</w:t>
            </w:r>
          </w:p>
        </w:tc>
        <w:tc>
          <w:tcPr>
            <w:tcW w:w="7295" w:type="dxa"/>
          </w:tcPr>
          <w:p w:rsidR="00801037" w:rsidRPr="008573C5" w:rsidRDefault="00A03EBA" w:rsidP="00EF5237">
            <w:pPr>
              <w:autoSpaceDE w:val="0"/>
              <w:autoSpaceDN w:val="0"/>
              <w:adjustRightInd w:val="0"/>
              <w:jc w:val="both"/>
            </w:pPr>
            <w:r w:rsidRPr="008573C5">
              <w:t>Does</w:t>
            </w:r>
            <w:r w:rsidR="00801037" w:rsidRPr="008573C5">
              <w:rPr>
                <w:lang w:eastAsia="en-GB"/>
              </w:rPr>
              <w:t xml:space="preserve"> the enterprise disclose for contingent assets, a brief description of the nature of the contingent asset and where practicable, an estimate of their financial effect? (IAS 37.89,91).</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spacing w:after="120"/>
              <w:rPr>
                <w:b/>
              </w:rPr>
            </w:pPr>
            <w:r w:rsidRPr="008573C5">
              <w:rPr>
                <w:b/>
              </w:rPr>
              <w:t>IAS 38 – Intangible Assets</w:t>
            </w:r>
          </w:p>
          <w:p w:rsidR="00801037" w:rsidRPr="008573C5" w:rsidRDefault="00801037" w:rsidP="00EF5237"/>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340983">
            <w:r w:rsidRPr="008573C5">
              <w:t>74-78</w:t>
            </w:r>
          </w:p>
          <w:p w:rsidR="00340983" w:rsidRPr="008573C5" w:rsidRDefault="00340983" w:rsidP="00340983">
            <w:r w:rsidRPr="008573C5">
              <w:t>(57-61)</w:t>
            </w:r>
          </w:p>
        </w:tc>
        <w:tc>
          <w:tcPr>
            <w:tcW w:w="7295" w:type="dxa"/>
          </w:tcPr>
          <w:p w:rsidR="00801037" w:rsidRPr="008573C5" w:rsidRDefault="00A03EBA" w:rsidP="00EF5237">
            <w:pPr>
              <w:autoSpaceDE w:val="0"/>
              <w:autoSpaceDN w:val="0"/>
              <w:adjustRightInd w:val="0"/>
              <w:jc w:val="both"/>
              <w:rPr>
                <w:lang w:eastAsia="en-GB"/>
              </w:rPr>
            </w:pPr>
            <w:r w:rsidRPr="008573C5">
              <w:t>Does</w:t>
            </w:r>
            <w:r w:rsidR="00801037" w:rsidRPr="008573C5">
              <w:rPr>
                <w:lang w:eastAsia="en-GB"/>
              </w:rPr>
              <w:t xml:space="preserve"> the entity disclose the following for each class of intangible assets:</w:t>
            </w:r>
          </w:p>
          <w:p w:rsidR="00801037" w:rsidRPr="008573C5" w:rsidRDefault="00801037" w:rsidP="00085210">
            <w:pPr>
              <w:numPr>
                <w:ilvl w:val="0"/>
                <w:numId w:val="21"/>
              </w:numPr>
              <w:autoSpaceDE w:val="0"/>
              <w:autoSpaceDN w:val="0"/>
              <w:adjustRightInd w:val="0"/>
              <w:spacing w:after="200"/>
              <w:jc w:val="both"/>
              <w:rPr>
                <w:lang w:eastAsia="en-GB"/>
              </w:rPr>
            </w:pPr>
            <w:r w:rsidRPr="008573C5">
              <w:rPr>
                <w:lang w:eastAsia="en-GB"/>
              </w:rPr>
              <w:t>Useful life or armortisation rate?</w:t>
            </w:r>
          </w:p>
          <w:p w:rsidR="00801037" w:rsidRPr="008573C5" w:rsidRDefault="00801037" w:rsidP="00085210">
            <w:pPr>
              <w:numPr>
                <w:ilvl w:val="0"/>
                <w:numId w:val="21"/>
              </w:numPr>
              <w:autoSpaceDE w:val="0"/>
              <w:autoSpaceDN w:val="0"/>
              <w:adjustRightInd w:val="0"/>
              <w:spacing w:after="200"/>
              <w:jc w:val="both"/>
              <w:rPr>
                <w:lang w:eastAsia="en-GB"/>
              </w:rPr>
            </w:pPr>
            <w:r w:rsidRPr="008573C5">
              <w:rPr>
                <w:lang w:eastAsia="en-GB"/>
              </w:rPr>
              <w:t>Armortisation method?</w:t>
            </w:r>
          </w:p>
          <w:p w:rsidR="00801037" w:rsidRPr="008573C5" w:rsidRDefault="00801037" w:rsidP="00085210">
            <w:pPr>
              <w:numPr>
                <w:ilvl w:val="0"/>
                <w:numId w:val="21"/>
              </w:numPr>
              <w:autoSpaceDE w:val="0"/>
              <w:autoSpaceDN w:val="0"/>
              <w:adjustRightInd w:val="0"/>
              <w:spacing w:after="200"/>
              <w:jc w:val="both"/>
              <w:rPr>
                <w:lang w:eastAsia="en-GB"/>
              </w:rPr>
            </w:pPr>
            <w:r w:rsidRPr="008573C5">
              <w:rPr>
                <w:lang w:eastAsia="en-GB"/>
              </w:rPr>
              <w:t>Gross carrying amount?</w:t>
            </w:r>
          </w:p>
          <w:p w:rsidR="00801037" w:rsidRPr="008573C5" w:rsidRDefault="00801037" w:rsidP="00085210">
            <w:pPr>
              <w:numPr>
                <w:ilvl w:val="0"/>
                <w:numId w:val="21"/>
              </w:numPr>
              <w:autoSpaceDE w:val="0"/>
              <w:autoSpaceDN w:val="0"/>
              <w:adjustRightInd w:val="0"/>
              <w:spacing w:after="200"/>
              <w:jc w:val="both"/>
              <w:rPr>
                <w:lang w:eastAsia="en-GB"/>
              </w:rPr>
            </w:pPr>
            <w:r w:rsidRPr="008573C5">
              <w:rPr>
                <w:lang w:eastAsia="en-GB"/>
              </w:rPr>
              <w:t>Accumulated armortisation and impairment loss?</w:t>
            </w:r>
          </w:p>
          <w:p w:rsidR="00801037" w:rsidRPr="008573C5" w:rsidRDefault="00801037" w:rsidP="00085210">
            <w:pPr>
              <w:numPr>
                <w:ilvl w:val="0"/>
                <w:numId w:val="21"/>
              </w:numPr>
              <w:autoSpaceDE w:val="0"/>
              <w:autoSpaceDN w:val="0"/>
              <w:adjustRightInd w:val="0"/>
              <w:spacing w:after="200"/>
              <w:jc w:val="both"/>
              <w:rPr>
                <w:lang w:eastAsia="en-GB"/>
              </w:rPr>
            </w:pPr>
            <w:r w:rsidRPr="008573C5">
              <w:rPr>
                <w:lang w:eastAsia="en-GB"/>
              </w:rPr>
              <w:t>Reconciliation of the carrying amount at the beginning and the end of the period showing additions, assets held for sale, retirements, revaluations, impairments, amortisation and foreign exchange differences?</w:t>
            </w:r>
          </w:p>
          <w:p w:rsidR="00801037" w:rsidRPr="008573C5" w:rsidRDefault="00801037" w:rsidP="00EF5237">
            <w:pPr>
              <w:autoSpaceDE w:val="0"/>
              <w:autoSpaceDN w:val="0"/>
              <w:adjustRightInd w:val="0"/>
              <w:jc w:val="both"/>
              <w:rPr>
                <w:lang w:eastAsia="en-GB"/>
              </w:rPr>
            </w:pPr>
            <w:r w:rsidRPr="008573C5">
              <w:rPr>
                <w:lang w:eastAsia="en-GB"/>
              </w:rPr>
              <w:t xml:space="preserve"> (IAS 38.112, 38.122 and IAS 38.124)</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79 (62)</w:t>
            </w:r>
          </w:p>
        </w:tc>
        <w:tc>
          <w:tcPr>
            <w:tcW w:w="7295" w:type="dxa"/>
          </w:tcPr>
          <w:p w:rsidR="00801037" w:rsidRPr="008573C5" w:rsidRDefault="00A03EBA" w:rsidP="00EF5237">
            <w:pPr>
              <w:autoSpaceDE w:val="0"/>
              <w:autoSpaceDN w:val="0"/>
              <w:adjustRightInd w:val="0"/>
              <w:jc w:val="both"/>
              <w:rPr>
                <w:lang w:eastAsia="en-GB"/>
              </w:rPr>
            </w:pPr>
            <w:r w:rsidRPr="008573C5">
              <w:t>Does</w:t>
            </w:r>
            <w:r w:rsidR="00801037" w:rsidRPr="008573C5">
              <w:rPr>
                <w:lang w:eastAsia="en-GB"/>
              </w:rPr>
              <w:t xml:space="preserve"> the company disclose information about intangible assets where title is restricted?</w:t>
            </w:r>
          </w:p>
          <w:p w:rsidR="00801037" w:rsidRPr="008573C5" w:rsidRDefault="00801037" w:rsidP="00EF5237">
            <w:pPr>
              <w:rPr>
                <w:b/>
              </w:rPr>
            </w:pP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80 (63)</w:t>
            </w:r>
          </w:p>
        </w:tc>
        <w:tc>
          <w:tcPr>
            <w:tcW w:w="7295" w:type="dxa"/>
          </w:tcPr>
          <w:p w:rsidR="00801037" w:rsidRPr="008573C5" w:rsidRDefault="00A03EBA" w:rsidP="00EF5237">
            <w:pPr>
              <w:rPr>
                <w:b/>
              </w:rPr>
            </w:pPr>
            <w:r w:rsidRPr="008573C5">
              <w:t>Does</w:t>
            </w:r>
            <w:r w:rsidR="00801037" w:rsidRPr="008573C5">
              <w:rPr>
                <w:lang w:eastAsia="en-GB"/>
              </w:rPr>
              <w:t xml:space="preserve"> the company disclose intangible assets carried at revalued amounts?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r w:rsidRPr="008573C5">
              <w:rPr>
                <w:b/>
              </w:rPr>
              <w:t>IAS 40- Investment Property</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81 (64)</w:t>
            </w:r>
          </w:p>
        </w:tc>
        <w:tc>
          <w:tcPr>
            <w:tcW w:w="7295" w:type="dxa"/>
          </w:tcPr>
          <w:p w:rsidR="00801037" w:rsidRPr="008573C5" w:rsidRDefault="00801037" w:rsidP="00EF5237">
            <w:r w:rsidRPr="008573C5">
              <w:t>Is there a disclosure on whether the fair value or the cost model is used? (IAS 40.75a)</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82 (65)</w:t>
            </w:r>
          </w:p>
        </w:tc>
        <w:tc>
          <w:tcPr>
            <w:tcW w:w="7295" w:type="dxa"/>
          </w:tcPr>
          <w:p w:rsidR="00801037" w:rsidRPr="008573C5" w:rsidRDefault="00801037" w:rsidP="00EF5237">
            <w:r w:rsidRPr="008573C5">
              <w:t>Are the methods and significant assumptions applied in determining the fair value of investment property disclosed? (IAS 40.75d)</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83 (66)</w:t>
            </w:r>
          </w:p>
        </w:tc>
        <w:tc>
          <w:tcPr>
            <w:tcW w:w="7295" w:type="dxa"/>
          </w:tcPr>
          <w:p w:rsidR="00801037" w:rsidRPr="008573C5" w:rsidRDefault="00801037" w:rsidP="00EF5237">
            <w:r w:rsidRPr="008573C5">
              <w:t>For Cost model, is the depreciation method, useful lives and carrying amount disclosed? (IAS 40.79)</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84 (67)</w:t>
            </w:r>
          </w:p>
        </w:tc>
        <w:tc>
          <w:tcPr>
            <w:tcW w:w="7295" w:type="dxa"/>
          </w:tcPr>
          <w:p w:rsidR="00801037" w:rsidRPr="008573C5" w:rsidRDefault="00801037" w:rsidP="00EF5237">
            <w:r w:rsidRPr="008573C5">
              <w:t>The extent to which the fair value of investment property is based on a valuation by a qualified independent valuer; if there has been no such valuation, has that fact must be disclosed? (IAS 40.75)</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85 (68)</w:t>
            </w:r>
          </w:p>
        </w:tc>
        <w:tc>
          <w:tcPr>
            <w:tcW w:w="7295" w:type="dxa"/>
          </w:tcPr>
          <w:p w:rsidR="00801037" w:rsidRPr="008573C5" w:rsidRDefault="00801037" w:rsidP="00EF5237">
            <w:r w:rsidRPr="008573C5">
              <w:t>Are the amounts disclosed in profit or loss for direct operating expenses that did or did not generate rental income during the period? (IAS 40.75f)</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spacing w:after="120"/>
              <w:rPr>
                <w:b/>
              </w:rPr>
            </w:pPr>
            <w:r w:rsidRPr="008573C5">
              <w:rPr>
                <w:b/>
              </w:rPr>
              <w:t>IFRS 2- Share-based Payment</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 xml:space="preserve">86 </w:t>
            </w:r>
          </w:p>
        </w:tc>
        <w:tc>
          <w:tcPr>
            <w:tcW w:w="7295" w:type="dxa"/>
          </w:tcPr>
          <w:p w:rsidR="00801037" w:rsidRPr="008573C5" w:rsidRDefault="00A03EBA" w:rsidP="00EF5237">
            <w:pPr>
              <w:spacing w:after="120"/>
            </w:pPr>
            <w:r w:rsidRPr="008573C5">
              <w:t>Does</w:t>
            </w:r>
            <w:r w:rsidR="00801037" w:rsidRPr="008573C5">
              <w:t xml:space="preserve"> the entity disclose the nature and extent of share-based payment arrangements that existed during the period? (IFRS 2)</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 xml:space="preserve">87 </w:t>
            </w:r>
          </w:p>
        </w:tc>
        <w:tc>
          <w:tcPr>
            <w:tcW w:w="7295" w:type="dxa"/>
          </w:tcPr>
          <w:p w:rsidR="00801037" w:rsidRPr="008573C5" w:rsidRDefault="00A03EBA" w:rsidP="00EF5237">
            <w:pPr>
              <w:spacing w:after="120"/>
            </w:pPr>
            <w:r w:rsidRPr="008573C5">
              <w:t>Does</w:t>
            </w:r>
            <w:r w:rsidR="00801037" w:rsidRPr="008573C5">
              <w:t xml:space="preserve"> the company disclose how the fair value was determined?(IFRS 2)</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 xml:space="preserve">88 </w:t>
            </w:r>
          </w:p>
        </w:tc>
        <w:tc>
          <w:tcPr>
            <w:tcW w:w="7295" w:type="dxa"/>
          </w:tcPr>
          <w:p w:rsidR="00801037" w:rsidRPr="008573C5" w:rsidRDefault="00A03EBA" w:rsidP="00EF5237">
            <w:pPr>
              <w:spacing w:after="120"/>
            </w:pPr>
            <w:r w:rsidRPr="008573C5">
              <w:t>Does</w:t>
            </w:r>
            <w:r w:rsidR="00801037" w:rsidRPr="008573C5">
              <w:t xml:space="preserve"> the company disclose the effect of share-based payment transactions on the financial position(IFRS 2)</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801037" w:rsidP="00EF5237"/>
        </w:tc>
        <w:tc>
          <w:tcPr>
            <w:tcW w:w="7295" w:type="dxa"/>
          </w:tcPr>
          <w:p w:rsidR="00801037" w:rsidRPr="008573C5" w:rsidRDefault="00801037" w:rsidP="00EF5237">
            <w:pPr>
              <w:spacing w:after="120"/>
              <w:rPr>
                <w:b/>
              </w:rPr>
            </w:pPr>
            <w:r w:rsidRPr="008573C5">
              <w:rPr>
                <w:b/>
              </w:rPr>
              <w:t>IFRS 3- Business Combinations</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89 (69)</w:t>
            </w:r>
          </w:p>
        </w:tc>
        <w:tc>
          <w:tcPr>
            <w:tcW w:w="7295" w:type="dxa"/>
          </w:tcPr>
          <w:p w:rsidR="00801037" w:rsidRPr="008573C5" w:rsidRDefault="00801037" w:rsidP="00EF5237">
            <w:pPr>
              <w:spacing w:before="100" w:beforeAutospacing="1" w:after="100" w:afterAutospacing="1"/>
              <w:jc w:val="both"/>
            </w:pPr>
            <w:r w:rsidRPr="008573C5">
              <w:t xml:space="preserve">For each business combination did the acquirer disclose names and descriptions of the combining entities or businesses? [IFRS 3.67] </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90 (70)</w:t>
            </w:r>
          </w:p>
        </w:tc>
        <w:tc>
          <w:tcPr>
            <w:tcW w:w="7295" w:type="dxa"/>
          </w:tcPr>
          <w:p w:rsidR="00801037" w:rsidRPr="008573C5" w:rsidRDefault="00305DBA" w:rsidP="00EF5237">
            <w:pPr>
              <w:spacing w:before="100" w:beforeAutospacing="1" w:after="100" w:afterAutospacing="1"/>
              <w:jc w:val="both"/>
            </w:pPr>
            <w:r w:rsidRPr="008573C5">
              <w:t>Does</w:t>
            </w:r>
            <w:r w:rsidR="00801037" w:rsidRPr="008573C5">
              <w:t xml:space="preserve"> the acquirer disclose acquisition date? (IFRS 3.67)</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91 (71)</w:t>
            </w:r>
          </w:p>
        </w:tc>
        <w:tc>
          <w:tcPr>
            <w:tcW w:w="7295" w:type="dxa"/>
          </w:tcPr>
          <w:p w:rsidR="00801037" w:rsidRPr="008573C5" w:rsidRDefault="00801037" w:rsidP="00EF5237">
            <w:pPr>
              <w:spacing w:before="100" w:beforeAutospacing="1" w:after="100" w:afterAutospacing="1"/>
              <w:jc w:val="both"/>
            </w:pPr>
            <w:r w:rsidRPr="008573C5">
              <w:t>Is the percentage of voting equity instruments acquired disclosed?(IFRS 3.67)</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92 (72)</w:t>
            </w:r>
          </w:p>
        </w:tc>
        <w:tc>
          <w:tcPr>
            <w:tcW w:w="7295" w:type="dxa"/>
          </w:tcPr>
          <w:p w:rsidR="00801037" w:rsidRPr="008573C5" w:rsidRDefault="00801037" w:rsidP="00EF5237">
            <w:pPr>
              <w:spacing w:before="100" w:beforeAutospacing="1" w:after="100" w:afterAutospacing="1"/>
              <w:jc w:val="both"/>
            </w:pPr>
            <w:r w:rsidRPr="008573C5">
              <w:t>Is the cost of the combination (with separate disclosure of the number and fair values of equity instruments issued and how fair values were determined) disclosed? (IFRS 3.67)</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801037" w:rsidRPr="008573C5">
        <w:tc>
          <w:tcPr>
            <w:tcW w:w="1168" w:type="dxa"/>
          </w:tcPr>
          <w:p w:rsidR="00801037" w:rsidRPr="008573C5" w:rsidRDefault="00340983" w:rsidP="00EF5237">
            <w:r w:rsidRPr="008573C5">
              <w:t>93 (73)</w:t>
            </w:r>
          </w:p>
        </w:tc>
        <w:tc>
          <w:tcPr>
            <w:tcW w:w="7295" w:type="dxa"/>
          </w:tcPr>
          <w:p w:rsidR="00801037" w:rsidRPr="008573C5" w:rsidRDefault="00801037" w:rsidP="00EF5237">
            <w:pPr>
              <w:spacing w:before="100" w:beforeAutospacing="1" w:after="100" w:afterAutospacing="1"/>
              <w:jc w:val="both"/>
            </w:pPr>
            <w:r w:rsidRPr="008573C5">
              <w:t xml:space="preserve">Are details about the factors that contributed to recognition of goodwill disclosed? (IFRS 3.67) </w:t>
            </w:r>
          </w:p>
        </w:tc>
        <w:tc>
          <w:tcPr>
            <w:tcW w:w="864" w:type="dxa"/>
          </w:tcPr>
          <w:p w:rsidR="00801037" w:rsidRPr="008573C5" w:rsidRDefault="00801037" w:rsidP="00EF5237"/>
        </w:tc>
        <w:tc>
          <w:tcPr>
            <w:tcW w:w="590" w:type="dxa"/>
          </w:tcPr>
          <w:p w:rsidR="00801037" w:rsidRPr="008573C5" w:rsidRDefault="00801037" w:rsidP="00EF5237"/>
        </w:tc>
        <w:tc>
          <w:tcPr>
            <w:tcW w:w="829" w:type="dxa"/>
          </w:tcPr>
          <w:p w:rsidR="00801037" w:rsidRPr="008573C5" w:rsidRDefault="00801037" w:rsidP="00EF5237"/>
        </w:tc>
      </w:tr>
      <w:tr w:rsidR="00B86851" w:rsidRPr="008573C5">
        <w:tc>
          <w:tcPr>
            <w:tcW w:w="1168" w:type="dxa"/>
          </w:tcPr>
          <w:p w:rsidR="00B86851" w:rsidRPr="008573C5" w:rsidRDefault="00B86851" w:rsidP="00EF5237"/>
        </w:tc>
        <w:tc>
          <w:tcPr>
            <w:tcW w:w="7295" w:type="dxa"/>
          </w:tcPr>
          <w:p w:rsidR="00B86851" w:rsidRPr="008573C5" w:rsidRDefault="00B86851" w:rsidP="00B86851">
            <w:pPr>
              <w:tabs>
                <w:tab w:val="left" w:pos="5840"/>
              </w:tabs>
              <w:spacing w:after="120"/>
              <w:rPr>
                <w:b/>
              </w:rPr>
            </w:pPr>
            <w:r w:rsidRPr="008573C5">
              <w:rPr>
                <w:b/>
              </w:rPr>
              <w:t>OTHER VOLUNTARY ITEMS  DISCLOSURE TEMPLATE</w:t>
            </w:r>
          </w:p>
        </w:tc>
        <w:tc>
          <w:tcPr>
            <w:tcW w:w="864" w:type="dxa"/>
          </w:tcPr>
          <w:p w:rsidR="00B86851" w:rsidRPr="008573C5" w:rsidRDefault="00B86851" w:rsidP="00EF5237"/>
        </w:tc>
        <w:tc>
          <w:tcPr>
            <w:tcW w:w="590" w:type="dxa"/>
          </w:tcPr>
          <w:p w:rsidR="00B86851" w:rsidRPr="008573C5" w:rsidRDefault="00B86851" w:rsidP="00EF5237"/>
        </w:tc>
        <w:tc>
          <w:tcPr>
            <w:tcW w:w="829" w:type="dxa"/>
          </w:tcPr>
          <w:p w:rsidR="00B86851" w:rsidRPr="008573C5" w:rsidRDefault="00B86851" w:rsidP="00EF5237"/>
        </w:tc>
      </w:tr>
      <w:tr w:rsidR="00B86851" w:rsidRPr="008573C5">
        <w:tc>
          <w:tcPr>
            <w:tcW w:w="1168" w:type="dxa"/>
          </w:tcPr>
          <w:p w:rsidR="00B86851" w:rsidRPr="008573C5" w:rsidRDefault="00B86851" w:rsidP="00EF5237">
            <w:r w:rsidRPr="008573C5">
              <w:t>1</w:t>
            </w:r>
          </w:p>
        </w:tc>
        <w:tc>
          <w:tcPr>
            <w:tcW w:w="7295" w:type="dxa"/>
          </w:tcPr>
          <w:p w:rsidR="00B86851" w:rsidRPr="008573C5" w:rsidRDefault="00B86851" w:rsidP="00EF5237">
            <w:pPr>
              <w:spacing w:after="120"/>
            </w:pPr>
            <w:r w:rsidRPr="008573C5">
              <w:t>Financial highlights</w:t>
            </w:r>
          </w:p>
        </w:tc>
        <w:tc>
          <w:tcPr>
            <w:tcW w:w="864" w:type="dxa"/>
          </w:tcPr>
          <w:p w:rsidR="00B86851" w:rsidRPr="008573C5" w:rsidRDefault="00B86851" w:rsidP="00EF5237">
            <w:pPr>
              <w:rPr>
                <w:b/>
              </w:rPr>
            </w:pPr>
          </w:p>
        </w:tc>
        <w:tc>
          <w:tcPr>
            <w:tcW w:w="590" w:type="dxa"/>
          </w:tcPr>
          <w:p w:rsidR="00B86851" w:rsidRPr="008573C5" w:rsidRDefault="00B86851" w:rsidP="00EF5237">
            <w:pPr>
              <w:rPr>
                <w:b/>
              </w:rPr>
            </w:pPr>
          </w:p>
        </w:tc>
        <w:tc>
          <w:tcPr>
            <w:tcW w:w="829" w:type="dxa"/>
          </w:tcPr>
          <w:p w:rsidR="00B86851" w:rsidRPr="008573C5" w:rsidRDefault="00B86851" w:rsidP="00EF5237">
            <w:pPr>
              <w:rPr>
                <w:b/>
              </w:rPr>
            </w:pPr>
          </w:p>
        </w:tc>
      </w:tr>
      <w:tr w:rsidR="00B86851" w:rsidRPr="008573C5">
        <w:tc>
          <w:tcPr>
            <w:tcW w:w="1168" w:type="dxa"/>
          </w:tcPr>
          <w:p w:rsidR="00B86851" w:rsidRPr="008573C5" w:rsidRDefault="00B86851" w:rsidP="00EF5237">
            <w:r w:rsidRPr="008573C5">
              <w:t>2</w:t>
            </w:r>
          </w:p>
        </w:tc>
        <w:tc>
          <w:tcPr>
            <w:tcW w:w="7295" w:type="dxa"/>
          </w:tcPr>
          <w:p w:rsidR="00B86851" w:rsidRPr="008573C5" w:rsidRDefault="009045AC" w:rsidP="009045AC">
            <w:pPr>
              <w:spacing w:after="120"/>
            </w:pPr>
            <w:r w:rsidRPr="008573C5">
              <w:t>Quantitative f</w:t>
            </w:r>
            <w:r w:rsidR="00B86851" w:rsidRPr="008573C5">
              <w:t>orecast of performance for  the next year</w:t>
            </w:r>
          </w:p>
        </w:tc>
        <w:tc>
          <w:tcPr>
            <w:tcW w:w="864" w:type="dxa"/>
          </w:tcPr>
          <w:p w:rsidR="00B86851" w:rsidRPr="008573C5" w:rsidRDefault="00B86851" w:rsidP="00EF5237">
            <w:pPr>
              <w:rPr>
                <w:b/>
              </w:rPr>
            </w:pPr>
          </w:p>
        </w:tc>
        <w:tc>
          <w:tcPr>
            <w:tcW w:w="590" w:type="dxa"/>
          </w:tcPr>
          <w:p w:rsidR="00B86851" w:rsidRPr="008573C5" w:rsidRDefault="00B86851" w:rsidP="00EF5237">
            <w:pPr>
              <w:rPr>
                <w:b/>
              </w:rPr>
            </w:pPr>
          </w:p>
        </w:tc>
        <w:tc>
          <w:tcPr>
            <w:tcW w:w="829" w:type="dxa"/>
          </w:tcPr>
          <w:p w:rsidR="00B86851" w:rsidRPr="008573C5" w:rsidRDefault="00B86851" w:rsidP="00EF5237">
            <w:pPr>
              <w:rPr>
                <w:b/>
              </w:rPr>
            </w:pPr>
          </w:p>
        </w:tc>
      </w:tr>
      <w:tr w:rsidR="00B86851" w:rsidRPr="008573C5">
        <w:tc>
          <w:tcPr>
            <w:tcW w:w="1168" w:type="dxa"/>
          </w:tcPr>
          <w:p w:rsidR="00B86851" w:rsidRPr="008573C5" w:rsidRDefault="00B86851" w:rsidP="00EF5237">
            <w:r w:rsidRPr="008573C5">
              <w:t>3</w:t>
            </w:r>
          </w:p>
        </w:tc>
        <w:tc>
          <w:tcPr>
            <w:tcW w:w="7295" w:type="dxa"/>
          </w:tcPr>
          <w:p w:rsidR="00B86851" w:rsidRPr="008573C5" w:rsidRDefault="00B86851" w:rsidP="00EF5237">
            <w:pPr>
              <w:spacing w:after="120"/>
            </w:pPr>
            <w:r w:rsidRPr="008573C5">
              <w:t>Share price at accounting year end</w:t>
            </w:r>
          </w:p>
        </w:tc>
        <w:tc>
          <w:tcPr>
            <w:tcW w:w="864" w:type="dxa"/>
          </w:tcPr>
          <w:p w:rsidR="00B86851" w:rsidRPr="008573C5" w:rsidRDefault="00B86851" w:rsidP="00EF5237">
            <w:pPr>
              <w:rPr>
                <w:b/>
              </w:rPr>
            </w:pPr>
          </w:p>
        </w:tc>
        <w:tc>
          <w:tcPr>
            <w:tcW w:w="590" w:type="dxa"/>
          </w:tcPr>
          <w:p w:rsidR="00B86851" w:rsidRPr="008573C5" w:rsidRDefault="00B86851" w:rsidP="00EF5237">
            <w:pPr>
              <w:rPr>
                <w:b/>
              </w:rPr>
            </w:pPr>
          </w:p>
        </w:tc>
        <w:tc>
          <w:tcPr>
            <w:tcW w:w="829" w:type="dxa"/>
          </w:tcPr>
          <w:p w:rsidR="00B86851" w:rsidRPr="008573C5" w:rsidRDefault="00B86851" w:rsidP="00EF5237"/>
        </w:tc>
      </w:tr>
      <w:tr w:rsidR="00B86851" w:rsidRPr="008573C5">
        <w:trPr>
          <w:trHeight w:val="323"/>
        </w:trPr>
        <w:tc>
          <w:tcPr>
            <w:tcW w:w="1168" w:type="dxa"/>
          </w:tcPr>
          <w:p w:rsidR="00B86851" w:rsidRPr="008573C5" w:rsidRDefault="00B86851" w:rsidP="00EF5237">
            <w:r w:rsidRPr="008573C5">
              <w:t>4</w:t>
            </w:r>
          </w:p>
        </w:tc>
        <w:tc>
          <w:tcPr>
            <w:tcW w:w="7295" w:type="dxa"/>
          </w:tcPr>
          <w:p w:rsidR="00B86851" w:rsidRPr="008573C5" w:rsidRDefault="00B86851" w:rsidP="00EF5237">
            <w:pPr>
              <w:spacing w:after="120"/>
            </w:pPr>
            <w:r w:rsidRPr="008573C5">
              <w:t>Corporate social responsibility report</w:t>
            </w:r>
          </w:p>
        </w:tc>
        <w:tc>
          <w:tcPr>
            <w:tcW w:w="864" w:type="dxa"/>
          </w:tcPr>
          <w:p w:rsidR="00B86851" w:rsidRPr="008573C5" w:rsidRDefault="00B86851" w:rsidP="00EF5237">
            <w:pPr>
              <w:rPr>
                <w:b/>
              </w:rPr>
            </w:pPr>
          </w:p>
        </w:tc>
        <w:tc>
          <w:tcPr>
            <w:tcW w:w="590" w:type="dxa"/>
          </w:tcPr>
          <w:p w:rsidR="00B86851" w:rsidRPr="008573C5" w:rsidRDefault="00B86851" w:rsidP="00EF5237">
            <w:pPr>
              <w:rPr>
                <w:b/>
              </w:rPr>
            </w:pPr>
          </w:p>
        </w:tc>
        <w:tc>
          <w:tcPr>
            <w:tcW w:w="829" w:type="dxa"/>
          </w:tcPr>
          <w:p w:rsidR="00B86851" w:rsidRPr="008573C5" w:rsidRDefault="00B86851" w:rsidP="00EF5237">
            <w:pPr>
              <w:rPr>
                <w:b/>
              </w:rPr>
            </w:pPr>
          </w:p>
        </w:tc>
      </w:tr>
      <w:tr w:rsidR="00B86851" w:rsidRPr="008573C5">
        <w:tc>
          <w:tcPr>
            <w:tcW w:w="1168" w:type="dxa"/>
          </w:tcPr>
          <w:p w:rsidR="00B86851" w:rsidRPr="008573C5" w:rsidRDefault="00B86851" w:rsidP="00EF5237">
            <w:r w:rsidRPr="008573C5">
              <w:t>5</w:t>
            </w:r>
          </w:p>
        </w:tc>
        <w:tc>
          <w:tcPr>
            <w:tcW w:w="7295" w:type="dxa"/>
          </w:tcPr>
          <w:p w:rsidR="00B86851" w:rsidRPr="008573C5" w:rsidRDefault="00B86851" w:rsidP="00EF5237">
            <w:pPr>
              <w:rPr>
                <w:i/>
              </w:rPr>
            </w:pPr>
            <w:r w:rsidRPr="008573C5">
              <w:t>Corporate governance report</w:t>
            </w:r>
          </w:p>
        </w:tc>
        <w:tc>
          <w:tcPr>
            <w:tcW w:w="864" w:type="dxa"/>
          </w:tcPr>
          <w:p w:rsidR="00B86851" w:rsidRPr="008573C5" w:rsidRDefault="00B86851" w:rsidP="00EF5237"/>
        </w:tc>
        <w:tc>
          <w:tcPr>
            <w:tcW w:w="590" w:type="dxa"/>
          </w:tcPr>
          <w:p w:rsidR="00B86851" w:rsidRPr="008573C5" w:rsidRDefault="00B86851" w:rsidP="00EF5237"/>
        </w:tc>
        <w:tc>
          <w:tcPr>
            <w:tcW w:w="829" w:type="dxa"/>
          </w:tcPr>
          <w:p w:rsidR="00B86851" w:rsidRPr="008573C5" w:rsidRDefault="00B86851" w:rsidP="00EF5237"/>
        </w:tc>
      </w:tr>
      <w:tr w:rsidR="00B86851" w:rsidRPr="008573C5">
        <w:tc>
          <w:tcPr>
            <w:tcW w:w="1168" w:type="dxa"/>
          </w:tcPr>
          <w:p w:rsidR="00B86851" w:rsidRPr="008573C5" w:rsidRDefault="00B86851" w:rsidP="00EF5237">
            <w:r w:rsidRPr="008573C5">
              <w:t>6</w:t>
            </w:r>
          </w:p>
        </w:tc>
        <w:tc>
          <w:tcPr>
            <w:tcW w:w="7295" w:type="dxa"/>
          </w:tcPr>
          <w:p w:rsidR="00B86851" w:rsidRPr="008573C5" w:rsidRDefault="00B86851" w:rsidP="00EF5237">
            <w:pPr>
              <w:rPr>
                <w:i/>
              </w:rPr>
            </w:pPr>
            <w:r w:rsidRPr="008573C5">
              <w:t>Performance trend for the past five years using graphs</w:t>
            </w:r>
          </w:p>
        </w:tc>
        <w:tc>
          <w:tcPr>
            <w:tcW w:w="864" w:type="dxa"/>
          </w:tcPr>
          <w:p w:rsidR="00B86851" w:rsidRPr="008573C5" w:rsidRDefault="00B86851" w:rsidP="00EF5237"/>
        </w:tc>
        <w:tc>
          <w:tcPr>
            <w:tcW w:w="590" w:type="dxa"/>
          </w:tcPr>
          <w:p w:rsidR="00B86851" w:rsidRPr="008573C5" w:rsidRDefault="00B86851" w:rsidP="00EF5237"/>
        </w:tc>
        <w:tc>
          <w:tcPr>
            <w:tcW w:w="829" w:type="dxa"/>
          </w:tcPr>
          <w:p w:rsidR="00B86851" w:rsidRPr="008573C5" w:rsidRDefault="00B86851" w:rsidP="00EF5237"/>
        </w:tc>
      </w:tr>
      <w:tr w:rsidR="00B86851" w:rsidRPr="008573C5">
        <w:tc>
          <w:tcPr>
            <w:tcW w:w="1168" w:type="dxa"/>
          </w:tcPr>
          <w:p w:rsidR="00B86851" w:rsidRPr="008573C5" w:rsidRDefault="00B86851" w:rsidP="00EF5237">
            <w:r w:rsidRPr="008573C5">
              <w:t>7</w:t>
            </w:r>
          </w:p>
        </w:tc>
        <w:tc>
          <w:tcPr>
            <w:tcW w:w="7295" w:type="dxa"/>
          </w:tcPr>
          <w:p w:rsidR="00B86851" w:rsidRPr="008573C5" w:rsidRDefault="00B86851" w:rsidP="00EF5237">
            <w:r w:rsidRPr="008573C5">
              <w:t>Environmental liabilities and Cost</w:t>
            </w:r>
          </w:p>
        </w:tc>
        <w:tc>
          <w:tcPr>
            <w:tcW w:w="864" w:type="dxa"/>
          </w:tcPr>
          <w:p w:rsidR="00B86851" w:rsidRPr="008573C5" w:rsidRDefault="00B86851" w:rsidP="00EF5237"/>
        </w:tc>
        <w:tc>
          <w:tcPr>
            <w:tcW w:w="590" w:type="dxa"/>
          </w:tcPr>
          <w:p w:rsidR="00B86851" w:rsidRPr="008573C5" w:rsidRDefault="00B86851" w:rsidP="00EF5237"/>
        </w:tc>
        <w:tc>
          <w:tcPr>
            <w:tcW w:w="829" w:type="dxa"/>
          </w:tcPr>
          <w:p w:rsidR="00B86851" w:rsidRPr="008573C5" w:rsidRDefault="00B86851" w:rsidP="00EF5237"/>
        </w:tc>
      </w:tr>
      <w:tr w:rsidR="00B86851" w:rsidRPr="008573C5">
        <w:tc>
          <w:tcPr>
            <w:tcW w:w="1168" w:type="dxa"/>
          </w:tcPr>
          <w:p w:rsidR="00B86851" w:rsidRPr="008573C5" w:rsidRDefault="00B86851" w:rsidP="00EF5237">
            <w:r w:rsidRPr="008573C5">
              <w:t>8</w:t>
            </w:r>
          </w:p>
        </w:tc>
        <w:tc>
          <w:tcPr>
            <w:tcW w:w="7295" w:type="dxa"/>
          </w:tcPr>
          <w:p w:rsidR="00B86851" w:rsidRPr="008573C5" w:rsidRDefault="00B86851" w:rsidP="00EF5237">
            <w:r w:rsidRPr="008573C5">
              <w:t>Donations – analysis</w:t>
            </w:r>
          </w:p>
        </w:tc>
        <w:tc>
          <w:tcPr>
            <w:tcW w:w="864" w:type="dxa"/>
          </w:tcPr>
          <w:p w:rsidR="00B86851" w:rsidRPr="008573C5" w:rsidRDefault="00B86851" w:rsidP="00EF5237"/>
        </w:tc>
        <w:tc>
          <w:tcPr>
            <w:tcW w:w="590" w:type="dxa"/>
          </w:tcPr>
          <w:p w:rsidR="00B86851" w:rsidRPr="008573C5" w:rsidRDefault="00B86851" w:rsidP="00EF5237"/>
        </w:tc>
        <w:tc>
          <w:tcPr>
            <w:tcW w:w="829" w:type="dxa"/>
          </w:tcPr>
          <w:p w:rsidR="00B86851" w:rsidRPr="008573C5" w:rsidRDefault="00B86851" w:rsidP="00EF5237"/>
        </w:tc>
      </w:tr>
      <w:tr w:rsidR="00B86851" w:rsidRPr="008573C5">
        <w:tc>
          <w:tcPr>
            <w:tcW w:w="1168" w:type="dxa"/>
          </w:tcPr>
          <w:p w:rsidR="00B86851" w:rsidRPr="008573C5" w:rsidRDefault="00B86851" w:rsidP="00EF5237">
            <w:r w:rsidRPr="008573C5">
              <w:t>9</w:t>
            </w:r>
          </w:p>
        </w:tc>
        <w:tc>
          <w:tcPr>
            <w:tcW w:w="7295" w:type="dxa"/>
          </w:tcPr>
          <w:p w:rsidR="00B86851" w:rsidRPr="008573C5" w:rsidRDefault="00B86851" w:rsidP="00EF5237">
            <w:r w:rsidRPr="008573C5">
              <w:t>Risk Management issues associated with the organization</w:t>
            </w:r>
          </w:p>
        </w:tc>
        <w:tc>
          <w:tcPr>
            <w:tcW w:w="864" w:type="dxa"/>
          </w:tcPr>
          <w:p w:rsidR="00B86851" w:rsidRPr="008573C5" w:rsidRDefault="00B86851" w:rsidP="00EF5237"/>
        </w:tc>
        <w:tc>
          <w:tcPr>
            <w:tcW w:w="590" w:type="dxa"/>
          </w:tcPr>
          <w:p w:rsidR="00B86851" w:rsidRPr="008573C5" w:rsidRDefault="00B86851" w:rsidP="00EF5237"/>
        </w:tc>
        <w:tc>
          <w:tcPr>
            <w:tcW w:w="829" w:type="dxa"/>
          </w:tcPr>
          <w:p w:rsidR="00B86851" w:rsidRPr="008573C5" w:rsidRDefault="00B86851" w:rsidP="00EF5237"/>
        </w:tc>
      </w:tr>
      <w:tr w:rsidR="00B86851" w:rsidRPr="008573C5">
        <w:tc>
          <w:tcPr>
            <w:tcW w:w="1168" w:type="dxa"/>
          </w:tcPr>
          <w:p w:rsidR="00B86851" w:rsidRPr="008573C5" w:rsidRDefault="00B86851" w:rsidP="00EF5237">
            <w:r w:rsidRPr="008573C5">
              <w:t>10</w:t>
            </w:r>
          </w:p>
        </w:tc>
        <w:tc>
          <w:tcPr>
            <w:tcW w:w="7295" w:type="dxa"/>
          </w:tcPr>
          <w:p w:rsidR="00B86851" w:rsidRPr="008573C5" w:rsidRDefault="00B86851" w:rsidP="00EF5237">
            <w:r w:rsidRPr="008573C5">
              <w:t>Unclaimed dividend- analysis</w:t>
            </w:r>
          </w:p>
        </w:tc>
        <w:tc>
          <w:tcPr>
            <w:tcW w:w="864" w:type="dxa"/>
          </w:tcPr>
          <w:p w:rsidR="00B86851" w:rsidRPr="008573C5" w:rsidRDefault="00B86851" w:rsidP="00EF5237"/>
        </w:tc>
        <w:tc>
          <w:tcPr>
            <w:tcW w:w="590" w:type="dxa"/>
          </w:tcPr>
          <w:p w:rsidR="00B86851" w:rsidRPr="008573C5" w:rsidRDefault="00B86851" w:rsidP="00EF5237"/>
        </w:tc>
        <w:tc>
          <w:tcPr>
            <w:tcW w:w="829" w:type="dxa"/>
          </w:tcPr>
          <w:p w:rsidR="00B86851" w:rsidRPr="008573C5" w:rsidRDefault="00B86851" w:rsidP="00EF5237"/>
        </w:tc>
      </w:tr>
    </w:tbl>
    <w:p w:rsidR="00801037" w:rsidRPr="008573C5" w:rsidRDefault="00801037" w:rsidP="00801037"/>
    <w:p w:rsidR="00801037" w:rsidRPr="008573C5" w:rsidRDefault="00801037" w:rsidP="00801037">
      <w:pPr>
        <w:tabs>
          <w:tab w:val="left" w:pos="6211"/>
        </w:tabs>
      </w:pPr>
      <w:r w:rsidRPr="008573C5">
        <w:tab/>
      </w:r>
    </w:p>
    <w:p w:rsidR="002670B6" w:rsidRPr="008573C5" w:rsidRDefault="002670B6" w:rsidP="00B3635F"/>
    <w:p w:rsidR="00BC23C4" w:rsidRPr="008573C5" w:rsidRDefault="00BC23C4" w:rsidP="00BC23C4">
      <w:pPr>
        <w:jc w:val="center"/>
      </w:pPr>
    </w:p>
    <w:p w:rsidR="00BC23C4" w:rsidRPr="008573C5" w:rsidRDefault="00BC23C4" w:rsidP="00BC23C4">
      <w:pPr>
        <w:jc w:val="center"/>
      </w:pPr>
    </w:p>
    <w:p w:rsidR="00BC23C4" w:rsidRPr="008573C5" w:rsidRDefault="00BC23C4" w:rsidP="00BC23C4">
      <w:pPr>
        <w:jc w:val="center"/>
      </w:pPr>
    </w:p>
    <w:p w:rsidR="00BC23C4" w:rsidRPr="008573C5" w:rsidRDefault="00BC23C4" w:rsidP="00BC23C4">
      <w:pPr>
        <w:jc w:val="center"/>
      </w:pPr>
    </w:p>
    <w:p w:rsidR="00BC23C4" w:rsidRPr="008573C5" w:rsidRDefault="00BC23C4" w:rsidP="00BC23C4">
      <w:pPr>
        <w:jc w:val="center"/>
      </w:pPr>
    </w:p>
    <w:p w:rsidR="00BC23C4" w:rsidRPr="008573C5" w:rsidRDefault="00BC23C4" w:rsidP="00BC23C4">
      <w:pPr>
        <w:jc w:val="center"/>
      </w:pPr>
    </w:p>
    <w:p w:rsidR="00BC23C4" w:rsidRPr="008573C5" w:rsidRDefault="00BC23C4" w:rsidP="00BC23C4">
      <w:pPr>
        <w:jc w:val="center"/>
      </w:pPr>
    </w:p>
    <w:p w:rsidR="00BC23C4" w:rsidRPr="008573C5" w:rsidRDefault="00BC23C4" w:rsidP="00BC23C4">
      <w:pPr>
        <w:jc w:val="center"/>
      </w:pPr>
    </w:p>
    <w:p w:rsidR="00BC23C4" w:rsidRPr="008573C5" w:rsidRDefault="00BC23C4" w:rsidP="00BC23C4">
      <w:pPr>
        <w:jc w:val="center"/>
      </w:pPr>
    </w:p>
    <w:p w:rsidR="00BC23C4" w:rsidRPr="008573C5" w:rsidRDefault="00BC23C4" w:rsidP="00BC23C4">
      <w:pPr>
        <w:jc w:val="center"/>
      </w:pPr>
    </w:p>
    <w:p w:rsidR="00BC23C4" w:rsidRPr="008573C5" w:rsidRDefault="00BC23C4" w:rsidP="00BC23C4">
      <w:pPr>
        <w:jc w:val="center"/>
      </w:pPr>
    </w:p>
    <w:p w:rsidR="00BC23C4" w:rsidRPr="008573C5" w:rsidRDefault="00BC23C4" w:rsidP="00BC23C4">
      <w:pPr>
        <w:jc w:val="cente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EA7329" w:rsidRPr="008573C5" w:rsidRDefault="00EA7329" w:rsidP="00BC23C4">
      <w:pPr>
        <w:jc w:val="center"/>
        <w:rPr>
          <w:b/>
        </w:rPr>
      </w:pPr>
    </w:p>
    <w:p w:rsidR="007E0306" w:rsidRPr="008573C5" w:rsidRDefault="007E0306" w:rsidP="00BC23C4">
      <w:pPr>
        <w:jc w:val="center"/>
        <w:rPr>
          <w:b/>
        </w:rPr>
      </w:pPr>
    </w:p>
    <w:p w:rsidR="007E0306" w:rsidRPr="008573C5" w:rsidRDefault="007E0306" w:rsidP="00BC23C4">
      <w:pPr>
        <w:jc w:val="center"/>
        <w:rPr>
          <w:b/>
        </w:rPr>
      </w:pPr>
    </w:p>
    <w:p w:rsidR="00BC23C4" w:rsidRPr="005E7FBD" w:rsidRDefault="00BC23C4" w:rsidP="00BC23C4">
      <w:pPr>
        <w:jc w:val="center"/>
        <w:rPr>
          <w:b/>
          <w:sz w:val="32"/>
          <w:szCs w:val="32"/>
        </w:rPr>
      </w:pPr>
      <w:r w:rsidRPr="005E7FBD">
        <w:rPr>
          <w:b/>
          <w:sz w:val="32"/>
          <w:szCs w:val="32"/>
        </w:rPr>
        <w:t xml:space="preserve">APPENDIX </w:t>
      </w:r>
      <w:r w:rsidR="004E5D0A" w:rsidRPr="005E7FBD">
        <w:rPr>
          <w:b/>
          <w:sz w:val="32"/>
          <w:szCs w:val="32"/>
        </w:rPr>
        <w:t>VI</w:t>
      </w:r>
    </w:p>
    <w:p w:rsidR="00176987" w:rsidRPr="008573C5" w:rsidRDefault="00176987" w:rsidP="00BC23C4">
      <w:pPr>
        <w:jc w:val="center"/>
        <w:rPr>
          <w:b/>
          <w:sz w:val="28"/>
          <w:szCs w:val="28"/>
        </w:rPr>
      </w:pPr>
    </w:p>
    <w:p w:rsidR="00BC23C4" w:rsidRPr="008573C5" w:rsidRDefault="00BC23C4" w:rsidP="00BC23C4">
      <w:pPr>
        <w:jc w:val="center"/>
        <w:rPr>
          <w:b/>
          <w:sz w:val="28"/>
          <w:szCs w:val="28"/>
        </w:rPr>
      </w:pPr>
      <w:r w:rsidRPr="008573C5">
        <w:rPr>
          <w:b/>
          <w:sz w:val="28"/>
          <w:szCs w:val="28"/>
        </w:rPr>
        <w:t>N</w:t>
      </w:r>
      <w:r w:rsidR="004E5D0A" w:rsidRPr="008573C5">
        <w:rPr>
          <w:b/>
          <w:sz w:val="28"/>
          <w:szCs w:val="28"/>
        </w:rPr>
        <w:t>ormal Plots of the Dependent Variables</w:t>
      </w:r>
      <w:r w:rsidRPr="008573C5">
        <w:rPr>
          <w:b/>
          <w:sz w:val="28"/>
          <w:szCs w:val="28"/>
        </w:rPr>
        <w:t xml:space="preserve"> </w:t>
      </w:r>
    </w:p>
    <w:p w:rsidR="002670B6" w:rsidRPr="008573C5" w:rsidRDefault="002670B6" w:rsidP="00B3635F">
      <w:pPr>
        <w:rPr>
          <w:b/>
          <w:sz w:val="28"/>
          <w:szCs w:val="28"/>
        </w:rPr>
      </w:pPr>
    </w:p>
    <w:p w:rsidR="002670B6" w:rsidRPr="008573C5" w:rsidRDefault="002670B6" w:rsidP="00B3635F"/>
    <w:p w:rsidR="007E0306" w:rsidRPr="008573C5" w:rsidRDefault="007E0306" w:rsidP="00BC23C4">
      <w:pPr>
        <w:jc w:val="center"/>
      </w:pPr>
    </w:p>
    <w:p w:rsidR="007E0306" w:rsidRPr="008573C5" w:rsidRDefault="006F1BDD" w:rsidP="00BA5EB2">
      <w:pPr>
        <w:autoSpaceDE w:val="0"/>
        <w:autoSpaceDN w:val="0"/>
        <w:adjustRightInd w:val="0"/>
        <w:jc w:val="center"/>
        <w:rPr>
          <w:rFonts w:ascii="System" w:hAnsi="System" w:cs="System"/>
          <w:b/>
          <w:bCs/>
          <w:sz w:val="20"/>
          <w:szCs w:val="20"/>
        </w:rPr>
      </w:pPr>
      <w:r w:rsidRPr="008573C5">
        <w:rPr>
          <w:rFonts w:ascii="System" w:hAnsi="System" w:cs="System"/>
          <w:b/>
          <w:bCs/>
          <w:noProof/>
          <w:sz w:val="20"/>
          <w:szCs w:val="20"/>
        </w:rPr>
        <w:drawing>
          <wp:inline distT="0" distB="0" distL="0" distR="0">
            <wp:extent cx="3453130" cy="276479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srcRect/>
                    <a:stretch>
                      <a:fillRect/>
                    </a:stretch>
                  </pic:blipFill>
                  <pic:spPr bwMode="auto">
                    <a:xfrm>
                      <a:off x="0" y="0"/>
                      <a:ext cx="3453130" cy="2764790"/>
                    </a:xfrm>
                    <a:prstGeom prst="rect">
                      <a:avLst/>
                    </a:prstGeom>
                    <a:noFill/>
                    <a:ln w="9525">
                      <a:noFill/>
                      <a:miter lim="800000"/>
                      <a:headEnd/>
                      <a:tailEnd/>
                    </a:ln>
                  </pic:spPr>
                </pic:pic>
              </a:graphicData>
            </a:graphic>
          </wp:inline>
        </w:drawing>
      </w:r>
    </w:p>
    <w:p w:rsidR="007E0306" w:rsidRPr="008573C5" w:rsidRDefault="007E0306" w:rsidP="007E0306">
      <w:pPr>
        <w:autoSpaceDE w:val="0"/>
        <w:autoSpaceDN w:val="0"/>
        <w:adjustRightInd w:val="0"/>
        <w:rPr>
          <w:rFonts w:ascii="System" w:hAnsi="System" w:cs="System"/>
          <w:b/>
          <w:bCs/>
          <w:sz w:val="20"/>
          <w:szCs w:val="20"/>
        </w:rPr>
      </w:pPr>
    </w:p>
    <w:p w:rsidR="007E0306" w:rsidRPr="008573C5" w:rsidRDefault="007E0306" w:rsidP="00BC23C4">
      <w:pPr>
        <w:jc w:val="center"/>
      </w:pPr>
    </w:p>
    <w:p w:rsidR="007E0306" w:rsidRPr="008573C5" w:rsidRDefault="007E0306" w:rsidP="00BC23C4">
      <w:pPr>
        <w:jc w:val="center"/>
      </w:pPr>
    </w:p>
    <w:p w:rsidR="00D73C46" w:rsidRPr="008573C5" w:rsidRDefault="006F1BDD" w:rsidP="00BA5EB2">
      <w:pPr>
        <w:autoSpaceDE w:val="0"/>
        <w:autoSpaceDN w:val="0"/>
        <w:adjustRightInd w:val="0"/>
        <w:jc w:val="center"/>
        <w:rPr>
          <w:rFonts w:ascii="System" w:hAnsi="System" w:cs="System"/>
          <w:b/>
          <w:bCs/>
          <w:sz w:val="20"/>
          <w:szCs w:val="20"/>
        </w:rPr>
      </w:pPr>
      <w:r w:rsidRPr="008573C5">
        <w:rPr>
          <w:rFonts w:ascii="System" w:hAnsi="System" w:cs="System"/>
          <w:b/>
          <w:bCs/>
          <w:noProof/>
          <w:sz w:val="20"/>
          <w:szCs w:val="20"/>
        </w:rPr>
        <w:drawing>
          <wp:inline distT="0" distB="0" distL="0" distR="0">
            <wp:extent cx="3453130" cy="276479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srcRect/>
                    <a:stretch>
                      <a:fillRect/>
                    </a:stretch>
                  </pic:blipFill>
                  <pic:spPr bwMode="auto">
                    <a:xfrm>
                      <a:off x="0" y="0"/>
                      <a:ext cx="3453130" cy="2764790"/>
                    </a:xfrm>
                    <a:prstGeom prst="rect">
                      <a:avLst/>
                    </a:prstGeom>
                    <a:noFill/>
                    <a:ln w="9525">
                      <a:noFill/>
                      <a:miter lim="800000"/>
                      <a:headEnd/>
                      <a:tailEnd/>
                    </a:ln>
                  </pic:spPr>
                </pic:pic>
              </a:graphicData>
            </a:graphic>
          </wp:inline>
        </w:drawing>
      </w:r>
    </w:p>
    <w:p w:rsidR="00D73C46" w:rsidRPr="008573C5" w:rsidRDefault="00D73C46" w:rsidP="00D73C46">
      <w:pPr>
        <w:autoSpaceDE w:val="0"/>
        <w:autoSpaceDN w:val="0"/>
        <w:adjustRightInd w:val="0"/>
        <w:rPr>
          <w:rFonts w:ascii="System" w:hAnsi="System" w:cs="System"/>
          <w:b/>
          <w:bCs/>
          <w:sz w:val="20"/>
          <w:szCs w:val="20"/>
        </w:rPr>
      </w:pPr>
    </w:p>
    <w:p w:rsidR="00D73C46" w:rsidRPr="008573C5" w:rsidRDefault="006F1BDD" w:rsidP="00BA5EB2">
      <w:pPr>
        <w:autoSpaceDE w:val="0"/>
        <w:autoSpaceDN w:val="0"/>
        <w:adjustRightInd w:val="0"/>
        <w:jc w:val="center"/>
        <w:rPr>
          <w:rFonts w:ascii="System" w:hAnsi="System" w:cs="System"/>
          <w:b/>
          <w:bCs/>
          <w:sz w:val="20"/>
          <w:szCs w:val="20"/>
        </w:rPr>
      </w:pPr>
      <w:r w:rsidRPr="008573C5">
        <w:rPr>
          <w:rFonts w:ascii="System" w:hAnsi="System" w:cs="System"/>
          <w:b/>
          <w:bCs/>
          <w:noProof/>
          <w:sz w:val="20"/>
          <w:szCs w:val="20"/>
        </w:rPr>
        <w:drawing>
          <wp:inline distT="0" distB="0" distL="0" distR="0">
            <wp:extent cx="3453130" cy="276479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srcRect/>
                    <a:stretch>
                      <a:fillRect/>
                    </a:stretch>
                  </pic:blipFill>
                  <pic:spPr bwMode="auto">
                    <a:xfrm>
                      <a:off x="0" y="0"/>
                      <a:ext cx="3453130" cy="2764790"/>
                    </a:xfrm>
                    <a:prstGeom prst="rect">
                      <a:avLst/>
                    </a:prstGeom>
                    <a:noFill/>
                    <a:ln w="9525">
                      <a:noFill/>
                      <a:miter lim="800000"/>
                      <a:headEnd/>
                      <a:tailEnd/>
                    </a:ln>
                  </pic:spPr>
                </pic:pic>
              </a:graphicData>
            </a:graphic>
          </wp:inline>
        </w:drawing>
      </w:r>
    </w:p>
    <w:p w:rsidR="00D73C46" w:rsidRPr="008573C5" w:rsidRDefault="00D73C46" w:rsidP="00D73C46">
      <w:pPr>
        <w:autoSpaceDE w:val="0"/>
        <w:autoSpaceDN w:val="0"/>
        <w:adjustRightInd w:val="0"/>
        <w:rPr>
          <w:rFonts w:ascii="System" w:hAnsi="System" w:cs="System"/>
          <w:b/>
          <w:bCs/>
          <w:sz w:val="20"/>
          <w:szCs w:val="20"/>
        </w:rPr>
      </w:pPr>
    </w:p>
    <w:p w:rsidR="00D73C46" w:rsidRPr="008573C5" w:rsidRDefault="006F1BDD" w:rsidP="00BA5EB2">
      <w:pPr>
        <w:autoSpaceDE w:val="0"/>
        <w:autoSpaceDN w:val="0"/>
        <w:adjustRightInd w:val="0"/>
        <w:jc w:val="center"/>
        <w:rPr>
          <w:rFonts w:ascii="System" w:hAnsi="System" w:cs="System"/>
          <w:b/>
          <w:bCs/>
          <w:sz w:val="20"/>
          <w:szCs w:val="20"/>
        </w:rPr>
      </w:pPr>
      <w:r w:rsidRPr="008573C5">
        <w:rPr>
          <w:rFonts w:ascii="System" w:hAnsi="System" w:cs="System"/>
          <w:b/>
          <w:bCs/>
          <w:noProof/>
          <w:sz w:val="20"/>
          <w:szCs w:val="20"/>
        </w:rPr>
        <w:drawing>
          <wp:inline distT="0" distB="0" distL="0" distR="0">
            <wp:extent cx="3453130" cy="276479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srcRect/>
                    <a:stretch>
                      <a:fillRect/>
                    </a:stretch>
                  </pic:blipFill>
                  <pic:spPr bwMode="auto">
                    <a:xfrm>
                      <a:off x="0" y="0"/>
                      <a:ext cx="3453130" cy="2764790"/>
                    </a:xfrm>
                    <a:prstGeom prst="rect">
                      <a:avLst/>
                    </a:prstGeom>
                    <a:noFill/>
                    <a:ln w="9525">
                      <a:noFill/>
                      <a:miter lim="800000"/>
                      <a:headEnd/>
                      <a:tailEnd/>
                    </a:ln>
                  </pic:spPr>
                </pic:pic>
              </a:graphicData>
            </a:graphic>
          </wp:inline>
        </w:drawing>
      </w:r>
    </w:p>
    <w:p w:rsidR="00BA5EB2" w:rsidRPr="008573C5" w:rsidRDefault="006F1BDD" w:rsidP="00BA5EB2">
      <w:pPr>
        <w:autoSpaceDE w:val="0"/>
        <w:autoSpaceDN w:val="0"/>
        <w:adjustRightInd w:val="0"/>
        <w:jc w:val="center"/>
        <w:rPr>
          <w:rFonts w:ascii="System" w:hAnsi="System" w:cs="System"/>
          <w:b/>
          <w:bCs/>
          <w:sz w:val="20"/>
          <w:szCs w:val="20"/>
        </w:rPr>
      </w:pPr>
      <w:r w:rsidRPr="008573C5">
        <w:rPr>
          <w:rFonts w:ascii="System" w:hAnsi="System" w:cs="System"/>
          <w:b/>
          <w:bCs/>
          <w:noProof/>
          <w:sz w:val="20"/>
          <w:szCs w:val="20"/>
        </w:rPr>
        <w:drawing>
          <wp:inline distT="0" distB="0" distL="0" distR="0">
            <wp:extent cx="3453130" cy="276479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srcRect/>
                    <a:stretch>
                      <a:fillRect/>
                    </a:stretch>
                  </pic:blipFill>
                  <pic:spPr bwMode="auto">
                    <a:xfrm>
                      <a:off x="0" y="0"/>
                      <a:ext cx="3453130" cy="2764790"/>
                    </a:xfrm>
                    <a:prstGeom prst="rect">
                      <a:avLst/>
                    </a:prstGeom>
                    <a:noFill/>
                    <a:ln w="9525">
                      <a:noFill/>
                      <a:miter lim="800000"/>
                      <a:headEnd/>
                      <a:tailEnd/>
                    </a:ln>
                  </pic:spPr>
                </pic:pic>
              </a:graphicData>
            </a:graphic>
          </wp:inline>
        </w:drawing>
      </w:r>
    </w:p>
    <w:p w:rsidR="00BA5EB2" w:rsidRPr="008573C5" w:rsidRDefault="00BA5EB2" w:rsidP="00BA5EB2">
      <w:pPr>
        <w:autoSpaceDE w:val="0"/>
        <w:autoSpaceDN w:val="0"/>
        <w:adjustRightInd w:val="0"/>
        <w:rPr>
          <w:rFonts w:ascii="System" w:hAnsi="System" w:cs="System"/>
          <w:b/>
          <w:bCs/>
          <w:sz w:val="20"/>
          <w:szCs w:val="20"/>
        </w:rPr>
      </w:pPr>
    </w:p>
    <w:p w:rsidR="00D73C46" w:rsidRPr="008573C5" w:rsidRDefault="00D73C46" w:rsidP="00D73C46">
      <w:pPr>
        <w:autoSpaceDE w:val="0"/>
        <w:autoSpaceDN w:val="0"/>
        <w:adjustRightInd w:val="0"/>
        <w:rPr>
          <w:rFonts w:ascii="System" w:hAnsi="System" w:cs="System"/>
          <w:b/>
          <w:bCs/>
          <w:sz w:val="20"/>
          <w:szCs w:val="20"/>
        </w:rPr>
      </w:pPr>
    </w:p>
    <w:p w:rsidR="00BA5EB2" w:rsidRPr="008573C5" w:rsidRDefault="006F1BDD" w:rsidP="00BA5EB2">
      <w:pPr>
        <w:autoSpaceDE w:val="0"/>
        <w:autoSpaceDN w:val="0"/>
        <w:adjustRightInd w:val="0"/>
        <w:jc w:val="center"/>
        <w:rPr>
          <w:rFonts w:ascii="System" w:hAnsi="System" w:cs="System"/>
          <w:b/>
          <w:bCs/>
          <w:sz w:val="20"/>
          <w:szCs w:val="20"/>
        </w:rPr>
      </w:pPr>
      <w:r w:rsidRPr="008573C5">
        <w:rPr>
          <w:rFonts w:ascii="System" w:hAnsi="System" w:cs="System"/>
          <w:b/>
          <w:bCs/>
          <w:noProof/>
          <w:sz w:val="20"/>
          <w:szCs w:val="20"/>
        </w:rPr>
        <w:drawing>
          <wp:inline distT="0" distB="0" distL="0" distR="0">
            <wp:extent cx="3453130" cy="276479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srcRect/>
                    <a:stretch>
                      <a:fillRect/>
                    </a:stretch>
                  </pic:blipFill>
                  <pic:spPr bwMode="auto">
                    <a:xfrm>
                      <a:off x="0" y="0"/>
                      <a:ext cx="3453130" cy="2764790"/>
                    </a:xfrm>
                    <a:prstGeom prst="rect">
                      <a:avLst/>
                    </a:prstGeom>
                    <a:noFill/>
                    <a:ln w="9525">
                      <a:noFill/>
                      <a:miter lim="800000"/>
                      <a:headEnd/>
                      <a:tailEnd/>
                    </a:ln>
                  </pic:spPr>
                </pic:pic>
              </a:graphicData>
            </a:graphic>
          </wp:inline>
        </w:drawing>
      </w:r>
    </w:p>
    <w:p w:rsidR="00BA5EB2" w:rsidRPr="008573C5" w:rsidRDefault="00BA5EB2" w:rsidP="00BA5EB2">
      <w:pPr>
        <w:autoSpaceDE w:val="0"/>
        <w:autoSpaceDN w:val="0"/>
        <w:adjustRightInd w:val="0"/>
        <w:rPr>
          <w:rFonts w:ascii="System" w:hAnsi="System" w:cs="System"/>
          <w:b/>
          <w:bCs/>
          <w:sz w:val="20"/>
          <w:szCs w:val="20"/>
        </w:rPr>
      </w:pPr>
    </w:p>
    <w:p w:rsidR="007E0306" w:rsidRPr="008573C5" w:rsidRDefault="007E0306" w:rsidP="00BC23C4">
      <w:pPr>
        <w:jc w:val="center"/>
      </w:pPr>
    </w:p>
    <w:p w:rsidR="00BA5EB2" w:rsidRPr="008573C5" w:rsidRDefault="006F1BDD" w:rsidP="00BA5EB2">
      <w:pPr>
        <w:autoSpaceDE w:val="0"/>
        <w:autoSpaceDN w:val="0"/>
        <w:adjustRightInd w:val="0"/>
        <w:jc w:val="center"/>
        <w:rPr>
          <w:rFonts w:ascii="System" w:hAnsi="System" w:cs="System"/>
          <w:b/>
          <w:bCs/>
          <w:sz w:val="20"/>
          <w:szCs w:val="20"/>
        </w:rPr>
      </w:pPr>
      <w:r w:rsidRPr="008573C5">
        <w:rPr>
          <w:rFonts w:ascii="System" w:hAnsi="System" w:cs="System"/>
          <w:b/>
          <w:bCs/>
          <w:noProof/>
          <w:sz w:val="20"/>
          <w:szCs w:val="20"/>
        </w:rPr>
        <w:drawing>
          <wp:inline distT="0" distB="0" distL="0" distR="0">
            <wp:extent cx="3453130" cy="276479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srcRect/>
                    <a:stretch>
                      <a:fillRect/>
                    </a:stretch>
                  </pic:blipFill>
                  <pic:spPr bwMode="auto">
                    <a:xfrm>
                      <a:off x="0" y="0"/>
                      <a:ext cx="3453130" cy="2764790"/>
                    </a:xfrm>
                    <a:prstGeom prst="rect">
                      <a:avLst/>
                    </a:prstGeom>
                    <a:noFill/>
                    <a:ln w="9525">
                      <a:noFill/>
                      <a:miter lim="800000"/>
                      <a:headEnd/>
                      <a:tailEnd/>
                    </a:ln>
                  </pic:spPr>
                </pic:pic>
              </a:graphicData>
            </a:graphic>
          </wp:inline>
        </w:drawing>
      </w:r>
    </w:p>
    <w:p w:rsidR="00BA5EB2" w:rsidRPr="008573C5" w:rsidRDefault="00BA5EB2" w:rsidP="00BA5EB2">
      <w:pPr>
        <w:autoSpaceDE w:val="0"/>
        <w:autoSpaceDN w:val="0"/>
        <w:adjustRightInd w:val="0"/>
        <w:rPr>
          <w:rFonts w:ascii="System" w:hAnsi="System" w:cs="System"/>
          <w:b/>
          <w:bCs/>
          <w:sz w:val="20"/>
          <w:szCs w:val="20"/>
        </w:rPr>
      </w:pPr>
    </w:p>
    <w:p w:rsidR="00BA5EB2" w:rsidRPr="008573C5" w:rsidRDefault="006F1BDD" w:rsidP="00BA5EB2">
      <w:pPr>
        <w:autoSpaceDE w:val="0"/>
        <w:autoSpaceDN w:val="0"/>
        <w:adjustRightInd w:val="0"/>
        <w:jc w:val="center"/>
        <w:rPr>
          <w:rFonts w:ascii="System" w:hAnsi="System" w:cs="System"/>
          <w:b/>
          <w:bCs/>
          <w:sz w:val="20"/>
          <w:szCs w:val="20"/>
        </w:rPr>
      </w:pPr>
      <w:r w:rsidRPr="008573C5">
        <w:rPr>
          <w:rFonts w:ascii="System" w:hAnsi="System" w:cs="System"/>
          <w:b/>
          <w:bCs/>
          <w:noProof/>
          <w:sz w:val="20"/>
          <w:szCs w:val="20"/>
        </w:rPr>
        <w:drawing>
          <wp:inline distT="0" distB="0" distL="0" distR="0">
            <wp:extent cx="3453130" cy="276479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srcRect/>
                    <a:stretch>
                      <a:fillRect/>
                    </a:stretch>
                  </pic:blipFill>
                  <pic:spPr bwMode="auto">
                    <a:xfrm>
                      <a:off x="0" y="0"/>
                      <a:ext cx="3453130" cy="2764790"/>
                    </a:xfrm>
                    <a:prstGeom prst="rect">
                      <a:avLst/>
                    </a:prstGeom>
                    <a:noFill/>
                    <a:ln w="9525">
                      <a:noFill/>
                      <a:miter lim="800000"/>
                      <a:headEnd/>
                      <a:tailEnd/>
                    </a:ln>
                  </pic:spPr>
                </pic:pic>
              </a:graphicData>
            </a:graphic>
          </wp:inline>
        </w:drawing>
      </w:r>
    </w:p>
    <w:p w:rsidR="0074498F" w:rsidRPr="005E7FBD" w:rsidRDefault="00464269" w:rsidP="0074498F">
      <w:pPr>
        <w:autoSpaceDE w:val="0"/>
        <w:autoSpaceDN w:val="0"/>
        <w:adjustRightInd w:val="0"/>
        <w:jc w:val="center"/>
        <w:rPr>
          <w:b/>
          <w:bCs/>
          <w:sz w:val="32"/>
          <w:szCs w:val="32"/>
        </w:rPr>
      </w:pPr>
      <w:r w:rsidRPr="005E7FBD">
        <w:rPr>
          <w:b/>
          <w:bCs/>
          <w:sz w:val="32"/>
          <w:szCs w:val="32"/>
        </w:rPr>
        <w:t>A</w:t>
      </w:r>
      <w:r w:rsidR="0074498F" w:rsidRPr="005E7FBD">
        <w:rPr>
          <w:b/>
          <w:bCs/>
          <w:sz w:val="32"/>
          <w:szCs w:val="32"/>
        </w:rPr>
        <w:t xml:space="preserve">PPENDIX </w:t>
      </w:r>
      <w:r w:rsidRPr="005E7FBD">
        <w:rPr>
          <w:b/>
          <w:bCs/>
          <w:sz w:val="32"/>
          <w:szCs w:val="32"/>
        </w:rPr>
        <w:t>VII</w:t>
      </w:r>
    </w:p>
    <w:p w:rsidR="0074498F" w:rsidRPr="008573C5" w:rsidRDefault="0074498F" w:rsidP="0074498F">
      <w:pPr>
        <w:autoSpaceDE w:val="0"/>
        <w:autoSpaceDN w:val="0"/>
        <w:adjustRightInd w:val="0"/>
        <w:jc w:val="center"/>
        <w:rPr>
          <w:b/>
          <w:bCs/>
          <w:sz w:val="28"/>
          <w:szCs w:val="28"/>
        </w:rPr>
      </w:pPr>
    </w:p>
    <w:p w:rsidR="005310FF" w:rsidRPr="008573C5" w:rsidRDefault="00976207" w:rsidP="005310FF">
      <w:pPr>
        <w:autoSpaceDE w:val="0"/>
        <w:autoSpaceDN w:val="0"/>
        <w:adjustRightInd w:val="0"/>
        <w:jc w:val="center"/>
        <w:rPr>
          <w:b/>
          <w:sz w:val="28"/>
          <w:szCs w:val="28"/>
        </w:rPr>
      </w:pPr>
      <w:r w:rsidRPr="008573C5">
        <w:rPr>
          <w:b/>
          <w:sz w:val="28"/>
          <w:szCs w:val="28"/>
        </w:rPr>
        <w:t>A</w:t>
      </w:r>
      <w:r w:rsidR="005310FF" w:rsidRPr="008573C5">
        <w:rPr>
          <w:b/>
          <w:sz w:val="28"/>
          <w:szCs w:val="28"/>
        </w:rPr>
        <w:t>gglomeration Schedule</w:t>
      </w:r>
      <w:r w:rsidRPr="008573C5">
        <w:rPr>
          <w:b/>
          <w:sz w:val="28"/>
          <w:szCs w:val="28"/>
        </w:rPr>
        <w:t xml:space="preserve"> of other Voluntary Items</w:t>
      </w:r>
    </w:p>
    <w:p w:rsidR="005310FF" w:rsidRPr="008573C5" w:rsidRDefault="005310FF" w:rsidP="005310FF">
      <w:pPr>
        <w:autoSpaceDE w:val="0"/>
        <w:autoSpaceDN w:val="0"/>
        <w:adjustRightInd w:val="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2"/>
        <w:gridCol w:w="1195"/>
        <w:gridCol w:w="1196"/>
        <w:gridCol w:w="1590"/>
        <w:gridCol w:w="1124"/>
        <w:gridCol w:w="1124"/>
        <w:gridCol w:w="1124"/>
      </w:tblGrid>
      <w:tr w:rsidR="005310FF" w:rsidRPr="008573C5">
        <w:tc>
          <w:tcPr>
            <w:tcW w:w="1172" w:type="dxa"/>
            <w:vMerge w:val="restart"/>
          </w:tcPr>
          <w:p w:rsidR="005310FF" w:rsidRPr="008573C5" w:rsidRDefault="005310FF" w:rsidP="00E0472B">
            <w:pPr>
              <w:autoSpaceDE w:val="0"/>
              <w:autoSpaceDN w:val="0"/>
              <w:adjustRightInd w:val="0"/>
              <w:rPr>
                <w:rFonts w:eastAsia="Calibri"/>
                <w:sz w:val="20"/>
                <w:szCs w:val="20"/>
              </w:rPr>
            </w:pPr>
            <w:r w:rsidRPr="008573C5">
              <w:rPr>
                <w:rFonts w:eastAsia="Calibri"/>
                <w:sz w:val="20"/>
                <w:szCs w:val="20"/>
              </w:rPr>
              <w:t>Stage</w:t>
            </w:r>
          </w:p>
        </w:tc>
        <w:tc>
          <w:tcPr>
            <w:tcW w:w="2391" w:type="dxa"/>
            <w:gridSpan w:val="2"/>
          </w:tcPr>
          <w:p w:rsidR="005310FF" w:rsidRPr="008573C5" w:rsidRDefault="005310FF" w:rsidP="00E0472B">
            <w:pPr>
              <w:autoSpaceDE w:val="0"/>
              <w:autoSpaceDN w:val="0"/>
              <w:adjustRightInd w:val="0"/>
              <w:rPr>
                <w:rFonts w:eastAsia="Calibri"/>
                <w:sz w:val="20"/>
                <w:szCs w:val="20"/>
              </w:rPr>
            </w:pPr>
            <w:r w:rsidRPr="008573C5">
              <w:rPr>
                <w:rFonts w:eastAsia="Calibri"/>
                <w:sz w:val="20"/>
                <w:szCs w:val="20"/>
              </w:rPr>
              <w:t>Cluster Combined</w:t>
            </w:r>
          </w:p>
        </w:tc>
        <w:tc>
          <w:tcPr>
            <w:tcW w:w="1590" w:type="dxa"/>
            <w:vMerge w:val="restart"/>
          </w:tcPr>
          <w:p w:rsidR="005310FF" w:rsidRPr="008573C5" w:rsidRDefault="005310FF" w:rsidP="00E0472B">
            <w:pPr>
              <w:autoSpaceDE w:val="0"/>
              <w:autoSpaceDN w:val="0"/>
              <w:adjustRightInd w:val="0"/>
              <w:rPr>
                <w:rFonts w:eastAsia="Calibri"/>
                <w:sz w:val="20"/>
                <w:szCs w:val="20"/>
              </w:rPr>
            </w:pPr>
            <w:r w:rsidRPr="008573C5">
              <w:rPr>
                <w:rFonts w:eastAsia="Calibri"/>
                <w:sz w:val="20"/>
                <w:szCs w:val="20"/>
              </w:rPr>
              <w:t>Coefficients</w:t>
            </w:r>
          </w:p>
        </w:tc>
        <w:tc>
          <w:tcPr>
            <w:tcW w:w="2248" w:type="dxa"/>
            <w:gridSpan w:val="2"/>
          </w:tcPr>
          <w:p w:rsidR="005310FF" w:rsidRPr="008573C5" w:rsidRDefault="005310FF" w:rsidP="00E0472B">
            <w:pPr>
              <w:autoSpaceDE w:val="0"/>
              <w:autoSpaceDN w:val="0"/>
              <w:adjustRightInd w:val="0"/>
              <w:rPr>
                <w:rFonts w:eastAsia="Calibri"/>
                <w:sz w:val="20"/>
                <w:szCs w:val="20"/>
              </w:rPr>
            </w:pPr>
            <w:r w:rsidRPr="008573C5">
              <w:rPr>
                <w:rFonts w:eastAsia="Calibri"/>
                <w:sz w:val="20"/>
                <w:szCs w:val="20"/>
              </w:rPr>
              <w:t>Stage Cluster First Appears</w:t>
            </w:r>
          </w:p>
        </w:tc>
        <w:tc>
          <w:tcPr>
            <w:tcW w:w="1124" w:type="dxa"/>
            <w:vMerge w:val="restart"/>
          </w:tcPr>
          <w:p w:rsidR="005310FF" w:rsidRPr="008573C5" w:rsidRDefault="005310FF" w:rsidP="00E0472B">
            <w:pPr>
              <w:autoSpaceDE w:val="0"/>
              <w:autoSpaceDN w:val="0"/>
              <w:adjustRightInd w:val="0"/>
              <w:rPr>
                <w:rFonts w:eastAsia="Calibri"/>
                <w:sz w:val="20"/>
                <w:szCs w:val="20"/>
              </w:rPr>
            </w:pPr>
            <w:r w:rsidRPr="008573C5">
              <w:rPr>
                <w:rFonts w:eastAsia="Calibri"/>
                <w:sz w:val="20"/>
                <w:szCs w:val="20"/>
              </w:rPr>
              <w:t>Next Stage</w:t>
            </w:r>
          </w:p>
        </w:tc>
      </w:tr>
      <w:tr w:rsidR="005310FF" w:rsidRPr="008573C5">
        <w:tc>
          <w:tcPr>
            <w:tcW w:w="1172" w:type="dxa"/>
            <w:vMerge/>
          </w:tcPr>
          <w:p w:rsidR="005310FF" w:rsidRPr="008573C5" w:rsidRDefault="005310FF" w:rsidP="00E0472B">
            <w:pPr>
              <w:autoSpaceDE w:val="0"/>
              <w:autoSpaceDN w:val="0"/>
              <w:adjustRightInd w:val="0"/>
              <w:rPr>
                <w:rFonts w:eastAsia="Calibri"/>
                <w:sz w:val="20"/>
                <w:szCs w:val="20"/>
              </w:rPr>
            </w:pPr>
          </w:p>
        </w:tc>
        <w:tc>
          <w:tcPr>
            <w:tcW w:w="1195" w:type="dxa"/>
          </w:tcPr>
          <w:p w:rsidR="005310FF" w:rsidRPr="008573C5" w:rsidRDefault="005310FF" w:rsidP="00E0472B">
            <w:pPr>
              <w:autoSpaceDE w:val="0"/>
              <w:autoSpaceDN w:val="0"/>
              <w:adjustRightInd w:val="0"/>
              <w:rPr>
                <w:rFonts w:eastAsia="Calibri"/>
                <w:sz w:val="20"/>
                <w:szCs w:val="20"/>
              </w:rPr>
            </w:pPr>
            <w:r w:rsidRPr="008573C5">
              <w:rPr>
                <w:rFonts w:eastAsia="Calibri"/>
                <w:sz w:val="20"/>
                <w:szCs w:val="20"/>
              </w:rPr>
              <w:t>Cluster 1</w:t>
            </w:r>
          </w:p>
        </w:tc>
        <w:tc>
          <w:tcPr>
            <w:tcW w:w="1196" w:type="dxa"/>
          </w:tcPr>
          <w:p w:rsidR="005310FF" w:rsidRPr="008573C5" w:rsidRDefault="005310FF" w:rsidP="00E0472B">
            <w:pPr>
              <w:autoSpaceDE w:val="0"/>
              <w:autoSpaceDN w:val="0"/>
              <w:adjustRightInd w:val="0"/>
              <w:rPr>
                <w:rFonts w:eastAsia="Calibri"/>
                <w:sz w:val="20"/>
                <w:szCs w:val="20"/>
              </w:rPr>
            </w:pPr>
            <w:r w:rsidRPr="008573C5">
              <w:rPr>
                <w:rFonts w:eastAsia="Calibri"/>
                <w:sz w:val="20"/>
                <w:szCs w:val="20"/>
              </w:rPr>
              <w:t>Cluster 2</w:t>
            </w:r>
          </w:p>
        </w:tc>
        <w:tc>
          <w:tcPr>
            <w:tcW w:w="1590" w:type="dxa"/>
            <w:vMerge/>
          </w:tcPr>
          <w:p w:rsidR="005310FF" w:rsidRPr="008573C5" w:rsidRDefault="005310FF" w:rsidP="00E0472B">
            <w:pPr>
              <w:autoSpaceDE w:val="0"/>
              <w:autoSpaceDN w:val="0"/>
              <w:adjustRightInd w:val="0"/>
              <w:rPr>
                <w:rFonts w:eastAsia="Calibri"/>
                <w:sz w:val="20"/>
                <w:szCs w:val="20"/>
              </w:rPr>
            </w:pPr>
          </w:p>
        </w:tc>
        <w:tc>
          <w:tcPr>
            <w:tcW w:w="1124" w:type="dxa"/>
          </w:tcPr>
          <w:p w:rsidR="005310FF" w:rsidRPr="008573C5" w:rsidRDefault="005310FF" w:rsidP="00E0472B">
            <w:pPr>
              <w:autoSpaceDE w:val="0"/>
              <w:autoSpaceDN w:val="0"/>
              <w:adjustRightInd w:val="0"/>
              <w:rPr>
                <w:rFonts w:eastAsia="Calibri"/>
                <w:sz w:val="20"/>
                <w:szCs w:val="20"/>
              </w:rPr>
            </w:pPr>
            <w:r w:rsidRPr="008573C5">
              <w:rPr>
                <w:rFonts w:eastAsia="Calibri"/>
                <w:sz w:val="20"/>
                <w:szCs w:val="20"/>
              </w:rPr>
              <w:t>Cluster 1</w:t>
            </w:r>
          </w:p>
        </w:tc>
        <w:tc>
          <w:tcPr>
            <w:tcW w:w="1124" w:type="dxa"/>
          </w:tcPr>
          <w:p w:rsidR="005310FF" w:rsidRPr="008573C5" w:rsidRDefault="005310FF" w:rsidP="00E0472B">
            <w:pPr>
              <w:autoSpaceDE w:val="0"/>
              <w:autoSpaceDN w:val="0"/>
              <w:adjustRightInd w:val="0"/>
              <w:rPr>
                <w:rFonts w:eastAsia="Calibri"/>
                <w:sz w:val="20"/>
                <w:szCs w:val="20"/>
              </w:rPr>
            </w:pPr>
            <w:r w:rsidRPr="008573C5">
              <w:rPr>
                <w:rFonts w:eastAsia="Calibri"/>
                <w:sz w:val="20"/>
                <w:szCs w:val="20"/>
              </w:rPr>
              <w:t>Cluster 2</w:t>
            </w:r>
          </w:p>
        </w:tc>
        <w:tc>
          <w:tcPr>
            <w:tcW w:w="1124" w:type="dxa"/>
            <w:vMerge/>
          </w:tcPr>
          <w:p w:rsidR="005310FF" w:rsidRPr="008573C5" w:rsidRDefault="005310FF" w:rsidP="00E0472B">
            <w:pPr>
              <w:autoSpaceDE w:val="0"/>
              <w:autoSpaceDN w:val="0"/>
              <w:adjustRightInd w:val="0"/>
              <w:rPr>
                <w:rFonts w:eastAsia="Calibri"/>
                <w:sz w:val="20"/>
                <w:szCs w:val="20"/>
              </w:rPr>
            </w:pPr>
          </w:p>
        </w:tc>
      </w:tr>
      <w:tr w:rsidR="005310FF" w:rsidRPr="008573C5">
        <w:tc>
          <w:tcPr>
            <w:tcW w:w="1172" w:type="dxa"/>
          </w:tcPr>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2</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3</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4</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5</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6</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7</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8</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9</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11</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12</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13</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14</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15</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16</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17</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18</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19</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20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21</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22</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23</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24</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25</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26</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27</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28</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29</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30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31</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32</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33</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34</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35</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36</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37</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38</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39</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40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41</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42</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43</w:t>
            </w:r>
          </w:p>
          <w:p w:rsidR="005310FF" w:rsidRPr="008573C5" w:rsidRDefault="00792DAE" w:rsidP="00E0472B">
            <w:pPr>
              <w:autoSpaceDE w:val="0"/>
              <w:autoSpaceDN w:val="0"/>
              <w:adjustRightInd w:val="0"/>
              <w:rPr>
                <w:rFonts w:eastAsia="Calibri"/>
                <w:sz w:val="20"/>
                <w:szCs w:val="20"/>
              </w:rPr>
            </w:pPr>
            <w:r w:rsidRPr="008573C5">
              <w:rPr>
                <w:rFonts w:eastAsia="Calibri"/>
                <w:sz w:val="20"/>
                <w:szCs w:val="20"/>
              </w:rPr>
              <w:t>44</w:t>
            </w:r>
          </w:p>
        </w:tc>
        <w:tc>
          <w:tcPr>
            <w:tcW w:w="1195" w:type="dxa"/>
          </w:tcPr>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77</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70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66</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17</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78</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56</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74</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5</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40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69</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58</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68</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64</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50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38</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37</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45</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49</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48</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18</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6</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27</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21</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26</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16</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6</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19</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9</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55</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6</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44</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32</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33</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16</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57</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7</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15</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27</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5</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30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3</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37</w:t>
            </w:r>
          </w:p>
          <w:p w:rsidR="005310FF" w:rsidRPr="008573C5" w:rsidRDefault="00792DAE" w:rsidP="00E0472B">
            <w:pPr>
              <w:autoSpaceDE w:val="0"/>
              <w:autoSpaceDN w:val="0"/>
              <w:adjustRightInd w:val="0"/>
              <w:rPr>
                <w:rFonts w:eastAsia="Calibri"/>
                <w:sz w:val="20"/>
                <w:szCs w:val="20"/>
              </w:rPr>
            </w:pPr>
            <w:r w:rsidRPr="008573C5">
              <w:rPr>
                <w:rFonts w:eastAsia="Calibri"/>
                <w:sz w:val="20"/>
                <w:szCs w:val="20"/>
              </w:rPr>
              <w:t>26</w:t>
            </w:r>
          </w:p>
        </w:tc>
        <w:tc>
          <w:tcPr>
            <w:tcW w:w="1196" w:type="dxa"/>
          </w:tcPr>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89</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88</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87</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81</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79</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78</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76</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75</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74</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72</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71</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70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67</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65</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63</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59</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54</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53</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51</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50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45</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43</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42</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34</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25</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21</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84</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82</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80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77</w:t>
            </w:r>
            <w:r w:rsidRPr="008573C5">
              <w:rPr>
                <w:rFonts w:eastAsia="Calibri"/>
                <w:sz w:val="20"/>
                <w:szCs w:val="20"/>
              </w:rPr>
              <w:cr/>
            </w:r>
            <w:r w:rsidRPr="008573C5">
              <w:rPr>
                <w:rFonts w:ascii="Calibri" w:eastAsia="Calibri" w:hAnsi="Calibri"/>
                <w:sz w:val="20"/>
                <w:szCs w:val="20"/>
              </w:rPr>
              <w:t xml:space="preserve"> </w:t>
            </w:r>
            <w:r w:rsidRPr="008573C5">
              <w:rPr>
                <w:rFonts w:eastAsia="Calibri"/>
                <w:sz w:val="20"/>
                <w:szCs w:val="20"/>
              </w:rPr>
              <w:t>73</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69</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68</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66</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62</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61</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60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58</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56</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49</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48</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46</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39</w:t>
            </w:r>
          </w:p>
          <w:p w:rsidR="005310FF" w:rsidRPr="008573C5" w:rsidRDefault="00792DAE" w:rsidP="00E0472B">
            <w:pPr>
              <w:autoSpaceDE w:val="0"/>
              <w:autoSpaceDN w:val="0"/>
              <w:adjustRightInd w:val="0"/>
              <w:rPr>
                <w:rFonts w:eastAsia="Calibri"/>
                <w:sz w:val="20"/>
                <w:szCs w:val="20"/>
              </w:rPr>
            </w:pPr>
            <w:r w:rsidRPr="008573C5">
              <w:rPr>
                <w:rFonts w:eastAsia="Calibri"/>
                <w:sz w:val="20"/>
                <w:szCs w:val="20"/>
              </w:rPr>
              <w:t>29</w:t>
            </w:r>
            <w:r w:rsidRPr="008573C5">
              <w:rPr>
                <w:rFonts w:eastAsia="Calibri"/>
                <w:sz w:val="20"/>
                <w:szCs w:val="20"/>
              </w:rPr>
              <w:cr/>
            </w:r>
          </w:p>
          <w:p w:rsidR="00792DAE" w:rsidRPr="008573C5" w:rsidRDefault="00792DAE" w:rsidP="00E0472B">
            <w:pPr>
              <w:autoSpaceDE w:val="0"/>
              <w:autoSpaceDN w:val="0"/>
              <w:adjustRightInd w:val="0"/>
              <w:rPr>
                <w:rFonts w:eastAsia="Calibri"/>
                <w:sz w:val="20"/>
                <w:szCs w:val="20"/>
              </w:rPr>
            </w:pPr>
          </w:p>
        </w:tc>
        <w:tc>
          <w:tcPr>
            <w:tcW w:w="1590" w:type="dxa"/>
          </w:tcPr>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1.000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1.000</w:t>
            </w:r>
          </w:p>
          <w:p w:rsidR="00BE030A" w:rsidRPr="008573C5" w:rsidRDefault="00792DAE" w:rsidP="00E0472B">
            <w:pPr>
              <w:autoSpaceDE w:val="0"/>
              <w:autoSpaceDN w:val="0"/>
              <w:adjustRightInd w:val="0"/>
              <w:rPr>
                <w:rFonts w:eastAsia="Calibri"/>
                <w:sz w:val="20"/>
                <w:szCs w:val="20"/>
              </w:rPr>
            </w:pPr>
            <w:r w:rsidRPr="008573C5">
              <w:rPr>
                <w:rFonts w:eastAsia="Calibri"/>
                <w:sz w:val="20"/>
                <w:szCs w:val="20"/>
              </w:rPr>
              <w:t>1.000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1.000</w:t>
            </w:r>
          </w:p>
          <w:p w:rsidR="005310FF" w:rsidRPr="008573C5" w:rsidRDefault="00BE030A" w:rsidP="00E0472B">
            <w:pPr>
              <w:autoSpaceDE w:val="0"/>
              <w:autoSpaceDN w:val="0"/>
              <w:adjustRightInd w:val="0"/>
              <w:rPr>
                <w:rFonts w:eastAsia="Calibri"/>
                <w:sz w:val="20"/>
                <w:szCs w:val="20"/>
              </w:rPr>
            </w:pPr>
            <w:r w:rsidRPr="008573C5">
              <w:rPr>
                <w:rFonts w:eastAsia="Calibri"/>
                <w:sz w:val="20"/>
                <w:szCs w:val="20"/>
              </w:rPr>
              <w:t>1.000</w:t>
            </w:r>
          </w:p>
        </w:tc>
        <w:tc>
          <w:tcPr>
            <w:tcW w:w="1124" w:type="dxa"/>
          </w:tcPr>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21</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792DAE" w:rsidP="00E0472B">
            <w:pPr>
              <w:autoSpaceDE w:val="0"/>
              <w:autoSpaceDN w:val="0"/>
              <w:adjustRightInd w:val="0"/>
              <w:rPr>
                <w:rFonts w:eastAsia="Calibri"/>
                <w:sz w:val="20"/>
                <w:szCs w:val="20"/>
              </w:rPr>
            </w:pPr>
            <w:r w:rsidRPr="008573C5">
              <w:rPr>
                <w:rFonts w:eastAsia="Calibri"/>
                <w:sz w:val="20"/>
                <w:szCs w:val="20"/>
              </w:rPr>
              <w:t>26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25</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22</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16</w:t>
            </w:r>
          </w:p>
          <w:p w:rsidR="005310FF" w:rsidRPr="008573C5" w:rsidRDefault="00BE030A" w:rsidP="00E0472B">
            <w:pPr>
              <w:autoSpaceDE w:val="0"/>
              <w:autoSpaceDN w:val="0"/>
              <w:adjustRightInd w:val="0"/>
              <w:rPr>
                <w:rFonts w:eastAsia="Calibri"/>
                <w:sz w:val="20"/>
                <w:szCs w:val="20"/>
              </w:rPr>
            </w:pPr>
            <w:r w:rsidRPr="008573C5">
              <w:rPr>
                <w:rFonts w:eastAsia="Calibri"/>
                <w:sz w:val="20"/>
                <w:szCs w:val="20"/>
              </w:rPr>
              <w:t>24</w:t>
            </w:r>
          </w:p>
        </w:tc>
        <w:tc>
          <w:tcPr>
            <w:tcW w:w="1124" w:type="dxa"/>
          </w:tcPr>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5</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7</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2</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14</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17</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23</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792DAE" w:rsidRPr="008573C5" w:rsidRDefault="00792DAE"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792DAE" w:rsidP="00E0472B">
            <w:pPr>
              <w:autoSpaceDE w:val="0"/>
              <w:autoSpaceDN w:val="0"/>
              <w:adjustRightInd w:val="0"/>
              <w:rPr>
                <w:rFonts w:eastAsia="Calibri"/>
                <w:sz w:val="20"/>
                <w:szCs w:val="20"/>
              </w:rPr>
            </w:pPr>
            <w:r w:rsidRPr="008573C5">
              <w:rPr>
                <w:rFonts w:eastAsia="Calibri"/>
                <w:sz w:val="20"/>
                <w:szCs w:val="20"/>
              </w:rPr>
              <w:t>1</w:t>
            </w:r>
            <w:r w:rsidRPr="008573C5">
              <w:rPr>
                <w:rFonts w:eastAsia="Calibri"/>
                <w:sz w:val="20"/>
                <w:szCs w:val="20"/>
              </w:rPr>
              <w:cr/>
            </w:r>
            <w:r w:rsidR="00BE030A"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12</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11</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19</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tc>
        <w:tc>
          <w:tcPr>
            <w:tcW w:w="1124" w:type="dxa"/>
          </w:tcPr>
          <w:p w:rsidR="00792DAE" w:rsidRPr="008573C5" w:rsidRDefault="00792DAE" w:rsidP="00792DAE">
            <w:pPr>
              <w:rPr>
                <w:rFonts w:eastAsia="Calibri"/>
                <w:sz w:val="20"/>
                <w:szCs w:val="20"/>
              </w:rPr>
            </w:pPr>
            <w:r w:rsidRPr="008573C5">
              <w:rPr>
                <w:rFonts w:eastAsia="Calibri"/>
                <w:sz w:val="20"/>
                <w:szCs w:val="20"/>
              </w:rPr>
              <w:t>30</w:t>
            </w:r>
          </w:p>
          <w:p w:rsidR="00792DAE" w:rsidRPr="008573C5" w:rsidRDefault="00792DAE" w:rsidP="00792DAE">
            <w:pPr>
              <w:rPr>
                <w:rFonts w:eastAsia="Calibri"/>
                <w:sz w:val="20"/>
                <w:szCs w:val="20"/>
              </w:rPr>
            </w:pPr>
            <w:r w:rsidRPr="008573C5">
              <w:rPr>
                <w:rFonts w:eastAsia="Calibri"/>
                <w:sz w:val="20"/>
                <w:szCs w:val="20"/>
              </w:rPr>
              <w:t>12</w:t>
            </w:r>
          </w:p>
          <w:p w:rsidR="00792DAE" w:rsidRPr="008573C5" w:rsidRDefault="00792DAE" w:rsidP="00792DAE">
            <w:pPr>
              <w:rPr>
                <w:rFonts w:eastAsia="Calibri"/>
                <w:sz w:val="20"/>
                <w:szCs w:val="20"/>
              </w:rPr>
            </w:pPr>
            <w:r w:rsidRPr="008573C5">
              <w:rPr>
                <w:rFonts w:eastAsia="Calibri"/>
                <w:sz w:val="20"/>
                <w:szCs w:val="20"/>
              </w:rPr>
              <w:t>34</w:t>
            </w:r>
          </w:p>
          <w:p w:rsidR="00792DAE" w:rsidRPr="008573C5" w:rsidRDefault="00792DAE" w:rsidP="00792DAE">
            <w:pPr>
              <w:rPr>
                <w:rFonts w:eastAsia="Calibri"/>
                <w:sz w:val="20"/>
                <w:szCs w:val="20"/>
              </w:rPr>
            </w:pPr>
            <w:r w:rsidRPr="008573C5">
              <w:rPr>
                <w:rFonts w:eastAsia="Calibri"/>
                <w:sz w:val="20"/>
                <w:szCs w:val="20"/>
              </w:rPr>
              <w:t>68</w:t>
            </w:r>
          </w:p>
          <w:p w:rsidR="00792DAE" w:rsidRPr="008573C5" w:rsidRDefault="00792DAE" w:rsidP="00792DAE">
            <w:pPr>
              <w:rPr>
                <w:rFonts w:eastAsia="Calibri"/>
                <w:sz w:val="20"/>
                <w:szCs w:val="20"/>
              </w:rPr>
            </w:pPr>
            <w:r w:rsidRPr="008573C5">
              <w:rPr>
                <w:rFonts w:eastAsia="Calibri"/>
                <w:sz w:val="20"/>
                <w:szCs w:val="20"/>
              </w:rPr>
              <w:t>6</w:t>
            </w:r>
          </w:p>
          <w:p w:rsidR="00792DAE" w:rsidRPr="008573C5" w:rsidRDefault="00792DAE" w:rsidP="00792DAE">
            <w:pPr>
              <w:rPr>
                <w:rFonts w:eastAsia="Calibri"/>
                <w:sz w:val="20"/>
                <w:szCs w:val="20"/>
              </w:rPr>
            </w:pPr>
            <w:r w:rsidRPr="008573C5">
              <w:rPr>
                <w:rFonts w:eastAsia="Calibri"/>
                <w:sz w:val="20"/>
                <w:szCs w:val="20"/>
              </w:rPr>
              <w:t>39</w:t>
            </w:r>
          </w:p>
          <w:p w:rsidR="00792DAE" w:rsidRPr="008573C5" w:rsidRDefault="00792DAE" w:rsidP="00792DAE">
            <w:pPr>
              <w:rPr>
                <w:rFonts w:eastAsia="Calibri"/>
                <w:sz w:val="20"/>
                <w:szCs w:val="20"/>
              </w:rPr>
            </w:pPr>
            <w:r w:rsidRPr="008573C5">
              <w:rPr>
                <w:rFonts w:eastAsia="Calibri"/>
                <w:sz w:val="20"/>
                <w:szCs w:val="20"/>
              </w:rPr>
              <w:t>9</w:t>
            </w:r>
          </w:p>
          <w:p w:rsidR="00792DAE" w:rsidRPr="008573C5" w:rsidRDefault="00792DAE" w:rsidP="00792DAE">
            <w:pPr>
              <w:rPr>
                <w:rFonts w:eastAsia="Calibri"/>
                <w:sz w:val="20"/>
                <w:szCs w:val="20"/>
              </w:rPr>
            </w:pPr>
            <w:r w:rsidRPr="008573C5">
              <w:rPr>
                <w:rFonts w:eastAsia="Calibri"/>
                <w:sz w:val="20"/>
                <w:szCs w:val="20"/>
              </w:rPr>
              <w:t>40</w:t>
            </w:r>
          </w:p>
          <w:p w:rsidR="00792DAE" w:rsidRPr="008573C5" w:rsidRDefault="00792DAE" w:rsidP="00792DAE">
            <w:pPr>
              <w:rPr>
                <w:rFonts w:eastAsia="Calibri"/>
                <w:sz w:val="20"/>
                <w:szCs w:val="20"/>
              </w:rPr>
            </w:pPr>
            <w:r w:rsidRPr="008573C5">
              <w:rPr>
                <w:rFonts w:eastAsia="Calibri"/>
                <w:sz w:val="20"/>
                <w:szCs w:val="20"/>
              </w:rPr>
              <w:t>54</w:t>
            </w:r>
          </w:p>
          <w:p w:rsidR="00792DAE" w:rsidRPr="008573C5" w:rsidRDefault="00792DAE" w:rsidP="00792DAE">
            <w:pPr>
              <w:rPr>
                <w:rFonts w:eastAsia="Calibri"/>
                <w:sz w:val="20"/>
                <w:szCs w:val="20"/>
              </w:rPr>
            </w:pPr>
            <w:r w:rsidRPr="008573C5">
              <w:rPr>
                <w:rFonts w:eastAsia="Calibri"/>
                <w:sz w:val="20"/>
                <w:szCs w:val="20"/>
              </w:rPr>
              <w:t>32</w:t>
            </w:r>
          </w:p>
          <w:p w:rsidR="00792DAE" w:rsidRPr="008573C5" w:rsidRDefault="00792DAE" w:rsidP="00792DAE">
            <w:pPr>
              <w:rPr>
                <w:rFonts w:eastAsia="Calibri"/>
                <w:sz w:val="20"/>
                <w:szCs w:val="20"/>
              </w:rPr>
            </w:pPr>
            <w:r w:rsidRPr="008573C5">
              <w:rPr>
                <w:rFonts w:eastAsia="Calibri"/>
                <w:sz w:val="20"/>
                <w:szCs w:val="20"/>
              </w:rPr>
              <w:t>38</w:t>
            </w:r>
          </w:p>
          <w:p w:rsidR="00792DAE" w:rsidRPr="008573C5" w:rsidRDefault="00792DAE" w:rsidP="00792DAE">
            <w:pPr>
              <w:rPr>
                <w:rFonts w:eastAsia="Calibri"/>
                <w:sz w:val="20"/>
                <w:szCs w:val="20"/>
              </w:rPr>
            </w:pPr>
            <w:r w:rsidRPr="008573C5">
              <w:rPr>
                <w:rFonts w:eastAsia="Calibri"/>
                <w:sz w:val="20"/>
                <w:szCs w:val="20"/>
              </w:rPr>
              <w:t>33</w:t>
            </w:r>
          </w:p>
          <w:p w:rsidR="00792DAE" w:rsidRPr="008573C5" w:rsidRDefault="00792DAE" w:rsidP="00792DAE">
            <w:pPr>
              <w:rPr>
                <w:rFonts w:eastAsia="Calibri"/>
                <w:sz w:val="20"/>
                <w:szCs w:val="20"/>
              </w:rPr>
            </w:pPr>
            <w:r w:rsidRPr="008573C5">
              <w:rPr>
                <w:rFonts w:eastAsia="Calibri"/>
                <w:sz w:val="20"/>
                <w:szCs w:val="20"/>
              </w:rPr>
              <w:t>53</w:t>
            </w:r>
          </w:p>
          <w:p w:rsidR="00792DAE" w:rsidRPr="008573C5" w:rsidRDefault="00792DAE" w:rsidP="00792DAE">
            <w:pPr>
              <w:rPr>
                <w:rFonts w:eastAsia="Calibri"/>
                <w:sz w:val="20"/>
                <w:szCs w:val="20"/>
              </w:rPr>
            </w:pPr>
            <w:r w:rsidRPr="008573C5">
              <w:rPr>
                <w:rFonts w:eastAsia="Calibri"/>
                <w:sz w:val="20"/>
                <w:szCs w:val="20"/>
              </w:rPr>
              <w:t>20</w:t>
            </w:r>
          </w:p>
          <w:p w:rsidR="00792DAE" w:rsidRPr="008573C5" w:rsidRDefault="00792DAE" w:rsidP="00792DAE">
            <w:pPr>
              <w:rPr>
                <w:rFonts w:eastAsia="Calibri"/>
                <w:sz w:val="20"/>
                <w:szCs w:val="20"/>
              </w:rPr>
            </w:pPr>
            <w:r w:rsidRPr="008573C5">
              <w:rPr>
                <w:rFonts w:eastAsia="Calibri"/>
                <w:sz w:val="20"/>
                <w:szCs w:val="20"/>
              </w:rPr>
              <w:t>54</w:t>
            </w:r>
          </w:p>
          <w:p w:rsidR="00792DAE" w:rsidRPr="008573C5" w:rsidRDefault="00792DAE" w:rsidP="00792DAE">
            <w:pPr>
              <w:rPr>
                <w:rFonts w:eastAsia="Calibri"/>
                <w:sz w:val="20"/>
                <w:szCs w:val="20"/>
              </w:rPr>
            </w:pPr>
            <w:r w:rsidRPr="008573C5">
              <w:rPr>
                <w:rFonts w:eastAsia="Calibri"/>
                <w:sz w:val="20"/>
                <w:szCs w:val="20"/>
              </w:rPr>
              <w:t>43</w:t>
            </w:r>
          </w:p>
          <w:p w:rsidR="00792DAE" w:rsidRPr="008573C5" w:rsidRDefault="00792DAE" w:rsidP="00792DAE">
            <w:pPr>
              <w:rPr>
                <w:rFonts w:eastAsia="Calibri"/>
                <w:sz w:val="20"/>
                <w:szCs w:val="20"/>
              </w:rPr>
            </w:pPr>
            <w:r w:rsidRPr="008573C5">
              <w:rPr>
                <w:rFonts w:eastAsia="Calibri"/>
                <w:sz w:val="20"/>
                <w:szCs w:val="20"/>
              </w:rPr>
              <w:t>21</w:t>
            </w:r>
          </w:p>
          <w:p w:rsidR="00792DAE" w:rsidRPr="008573C5" w:rsidRDefault="00792DAE" w:rsidP="00792DAE">
            <w:pPr>
              <w:rPr>
                <w:rFonts w:eastAsia="Calibri"/>
                <w:sz w:val="20"/>
                <w:szCs w:val="20"/>
              </w:rPr>
            </w:pPr>
            <w:r w:rsidRPr="008573C5">
              <w:rPr>
                <w:rFonts w:eastAsia="Calibri"/>
                <w:sz w:val="20"/>
                <w:szCs w:val="20"/>
              </w:rPr>
              <w:t>40</w:t>
            </w:r>
          </w:p>
          <w:p w:rsidR="00792DAE" w:rsidRPr="008573C5" w:rsidRDefault="00792DAE" w:rsidP="00792DAE">
            <w:pPr>
              <w:rPr>
                <w:rFonts w:eastAsia="Calibri"/>
                <w:sz w:val="20"/>
                <w:szCs w:val="20"/>
              </w:rPr>
            </w:pPr>
            <w:r w:rsidRPr="008573C5">
              <w:rPr>
                <w:rFonts w:eastAsia="Calibri"/>
                <w:sz w:val="20"/>
                <w:szCs w:val="20"/>
              </w:rPr>
              <w:t>41</w:t>
            </w:r>
          </w:p>
          <w:p w:rsidR="00792DAE" w:rsidRPr="008573C5" w:rsidRDefault="00792DAE" w:rsidP="00792DAE">
            <w:pPr>
              <w:rPr>
                <w:rFonts w:eastAsia="Calibri"/>
                <w:sz w:val="20"/>
                <w:szCs w:val="20"/>
              </w:rPr>
            </w:pPr>
            <w:r w:rsidRPr="008573C5">
              <w:rPr>
                <w:rFonts w:eastAsia="Calibri"/>
                <w:sz w:val="20"/>
                <w:szCs w:val="20"/>
              </w:rPr>
              <w:t>45</w:t>
            </w:r>
          </w:p>
          <w:p w:rsidR="00792DAE" w:rsidRPr="008573C5" w:rsidRDefault="00792DAE" w:rsidP="00792DAE">
            <w:pPr>
              <w:rPr>
                <w:rFonts w:eastAsia="Calibri"/>
                <w:sz w:val="20"/>
                <w:szCs w:val="20"/>
              </w:rPr>
            </w:pPr>
            <w:r w:rsidRPr="008573C5">
              <w:rPr>
                <w:rFonts w:eastAsia="Calibri"/>
                <w:sz w:val="20"/>
                <w:szCs w:val="20"/>
              </w:rPr>
              <w:t>26</w:t>
            </w:r>
          </w:p>
          <w:p w:rsidR="00792DAE" w:rsidRPr="008573C5" w:rsidRDefault="00792DAE" w:rsidP="00792DAE">
            <w:pPr>
              <w:rPr>
                <w:rFonts w:eastAsia="Calibri"/>
                <w:sz w:val="20"/>
                <w:szCs w:val="20"/>
              </w:rPr>
            </w:pPr>
            <w:r w:rsidRPr="008573C5">
              <w:rPr>
                <w:rFonts w:eastAsia="Calibri"/>
                <w:sz w:val="20"/>
                <w:szCs w:val="20"/>
              </w:rPr>
              <w:t>39</w:t>
            </w:r>
          </w:p>
          <w:p w:rsidR="00792DAE" w:rsidRPr="008573C5" w:rsidRDefault="00792DAE" w:rsidP="00792DAE">
            <w:pPr>
              <w:rPr>
                <w:rFonts w:eastAsia="Calibri"/>
                <w:sz w:val="20"/>
                <w:szCs w:val="20"/>
              </w:rPr>
            </w:pPr>
            <w:r w:rsidRPr="008573C5">
              <w:rPr>
                <w:rFonts w:eastAsia="Calibri"/>
                <w:sz w:val="20"/>
                <w:szCs w:val="20"/>
              </w:rPr>
              <w:t>26</w:t>
            </w:r>
          </w:p>
          <w:p w:rsidR="00792DAE" w:rsidRPr="008573C5" w:rsidRDefault="00792DAE" w:rsidP="00792DAE">
            <w:pPr>
              <w:rPr>
                <w:rFonts w:eastAsia="Calibri"/>
                <w:sz w:val="20"/>
                <w:szCs w:val="20"/>
              </w:rPr>
            </w:pPr>
            <w:r w:rsidRPr="008573C5">
              <w:rPr>
                <w:rFonts w:eastAsia="Calibri"/>
                <w:sz w:val="20"/>
                <w:szCs w:val="20"/>
              </w:rPr>
              <w:t>44</w:t>
            </w:r>
          </w:p>
          <w:p w:rsidR="00792DAE" w:rsidRPr="008573C5" w:rsidRDefault="00792DAE" w:rsidP="00792DAE">
            <w:pPr>
              <w:rPr>
                <w:rFonts w:eastAsia="Calibri"/>
                <w:sz w:val="20"/>
                <w:szCs w:val="20"/>
              </w:rPr>
            </w:pPr>
            <w:r w:rsidRPr="008573C5">
              <w:rPr>
                <w:rFonts w:eastAsia="Calibri"/>
                <w:sz w:val="20"/>
                <w:szCs w:val="20"/>
              </w:rPr>
              <w:t>35</w:t>
            </w:r>
          </w:p>
          <w:p w:rsidR="00792DAE" w:rsidRPr="008573C5" w:rsidRDefault="00792DAE" w:rsidP="00792DAE">
            <w:pPr>
              <w:rPr>
                <w:rFonts w:eastAsia="Calibri"/>
                <w:sz w:val="20"/>
                <w:szCs w:val="20"/>
              </w:rPr>
            </w:pPr>
            <w:r w:rsidRPr="008573C5">
              <w:rPr>
                <w:rFonts w:eastAsia="Calibri"/>
                <w:sz w:val="20"/>
                <w:szCs w:val="20"/>
              </w:rPr>
              <w:t>30</w:t>
            </w:r>
          </w:p>
          <w:p w:rsidR="00792DAE" w:rsidRPr="008573C5" w:rsidRDefault="00792DAE" w:rsidP="00792DAE">
            <w:pPr>
              <w:rPr>
                <w:rFonts w:eastAsia="Calibri"/>
                <w:sz w:val="20"/>
                <w:szCs w:val="20"/>
              </w:rPr>
            </w:pPr>
            <w:r w:rsidRPr="008573C5">
              <w:rPr>
                <w:rFonts w:eastAsia="Calibri"/>
                <w:sz w:val="20"/>
                <w:szCs w:val="20"/>
              </w:rPr>
              <w:t>60</w:t>
            </w:r>
          </w:p>
          <w:p w:rsidR="00792DAE" w:rsidRPr="008573C5" w:rsidRDefault="00792DAE" w:rsidP="00792DAE">
            <w:pPr>
              <w:rPr>
                <w:rFonts w:eastAsia="Calibri"/>
                <w:sz w:val="20"/>
                <w:szCs w:val="20"/>
              </w:rPr>
            </w:pPr>
            <w:r w:rsidRPr="008573C5">
              <w:rPr>
                <w:rFonts w:eastAsia="Calibri"/>
                <w:sz w:val="20"/>
                <w:szCs w:val="20"/>
              </w:rPr>
              <w:t>61</w:t>
            </w:r>
          </w:p>
          <w:p w:rsidR="00792DAE" w:rsidRPr="008573C5" w:rsidRDefault="00792DAE" w:rsidP="00792DAE">
            <w:pPr>
              <w:rPr>
                <w:rFonts w:eastAsia="Calibri"/>
                <w:sz w:val="20"/>
                <w:szCs w:val="20"/>
              </w:rPr>
            </w:pPr>
            <w:r w:rsidRPr="008573C5">
              <w:rPr>
                <w:rFonts w:eastAsia="Calibri"/>
                <w:sz w:val="20"/>
                <w:szCs w:val="20"/>
              </w:rPr>
              <w:t>70</w:t>
            </w:r>
          </w:p>
          <w:p w:rsidR="00BE030A" w:rsidRPr="008573C5" w:rsidRDefault="00792DAE" w:rsidP="00792DAE">
            <w:pPr>
              <w:rPr>
                <w:rFonts w:eastAsia="Calibri"/>
                <w:sz w:val="20"/>
                <w:szCs w:val="20"/>
              </w:rPr>
            </w:pPr>
            <w:r w:rsidRPr="008573C5">
              <w:rPr>
                <w:rFonts w:eastAsia="Calibri"/>
                <w:sz w:val="20"/>
                <w:szCs w:val="20"/>
              </w:rPr>
              <w:t>46</w:t>
            </w:r>
          </w:p>
          <w:p w:rsidR="00BE030A" w:rsidRPr="008573C5" w:rsidRDefault="00BE030A" w:rsidP="00BE030A">
            <w:pPr>
              <w:rPr>
                <w:rFonts w:eastAsia="Calibri"/>
                <w:sz w:val="20"/>
                <w:szCs w:val="20"/>
              </w:rPr>
            </w:pPr>
            <w:r w:rsidRPr="008573C5">
              <w:rPr>
                <w:rFonts w:eastAsia="Calibri"/>
                <w:sz w:val="20"/>
                <w:szCs w:val="20"/>
              </w:rPr>
              <w:t>63</w:t>
            </w:r>
          </w:p>
          <w:p w:rsidR="00BE030A" w:rsidRPr="008573C5" w:rsidRDefault="00BE030A" w:rsidP="00BE030A">
            <w:pPr>
              <w:rPr>
                <w:rFonts w:eastAsia="Calibri"/>
                <w:sz w:val="20"/>
                <w:szCs w:val="20"/>
              </w:rPr>
            </w:pPr>
            <w:r w:rsidRPr="008573C5">
              <w:rPr>
                <w:rFonts w:eastAsia="Calibri"/>
                <w:sz w:val="20"/>
                <w:szCs w:val="20"/>
              </w:rPr>
              <w:t>48</w:t>
            </w:r>
          </w:p>
          <w:p w:rsidR="00BE030A" w:rsidRPr="008573C5" w:rsidRDefault="00BE030A" w:rsidP="00BE030A">
            <w:pPr>
              <w:rPr>
                <w:rFonts w:eastAsia="Calibri"/>
                <w:sz w:val="20"/>
                <w:szCs w:val="20"/>
              </w:rPr>
            </w:pPr>
            <w:r w:rsidRPr="008573C5">
              <w:rPr>
                <w:rFonts w:eastAsia="Calibri"/>
                <w:sz w:val="20"/>
                <w:szCs w:val="20"/>
              </w:rPr>
              <w:t>51</w:t>
            </w:r>
          </w:p>
          <w:p w:rsidR="00BE030A" w:rsidRPr="008573C5" w:rsidRDefault="00BE030A" w:rsidP="00BE030A">
            <w:pPr>
              <w:rPr>
                <w:rFonts w:eastAsia="Calibri"/>
                <w:sz w:val="20"/>
                <w:szCs w:val="20"/>
              </w:rPr>
            </w:pPr>
            <w:r w:rsidRPr="008573C5">
              <w:rPr>
                <w:rFonts w:eastAsia="Calibri"/>
                <w:sz w:val="20"/>
                <w:szCs w:val="20"/>
              </w:rPr>
              <w:t>57</w:t>
            </w:r>
          </w:p>
          <w:p w:rsidR="00BE030A" w:rsidRPr="008573C5" w:rsidRDefault="00BE030A" w:rsidP="00BE030A">
            <w:pPr>
              <w:rPr>
                <w:rFonts w:eastAsia="Calibri"/>
                <w:sz w:val="20"/>
                <w:szCs w:val="20"/>
              </w:rPr>
            </w:pPr>
            <w:r w:rsidRPr="008573C5">
              <w:rPr>
                <w:rFonts w:eastAsia="Calibri"/>
                <w:sz w:val="20"/>
                <w:szCs w:val="20"/>
              </w:rPr>
              <w:t>68</w:t>
            </w:r>
          </w:p>
          <w:p w:rsidR="00BE030A" w:rsidRPr="008573C5" w:rsidRDefault="00BE030A" w:rsidP="00BE030A">
            <w:pPr>
              <w:rPr>
                <w:rFonts w:eastAsia="Calibri"/>
                <w:sz w:val="20"/>
                <w:szCs w:val="20"/>
              </w:rPr>
            </w:pPr>
            <w:r w:rsidRPr="008573C5">
              <w:rPr>
                <w:rFonts w:eastAsia="Calibri"/>
                <w:sz w:val="20"/>
                <w:szCs w:val="20"/>
              </w:rPr>
              <w:t>51</w:t>
            </w:r>
          </w:p>
          <w:p w:rsidR="00BE030A" w:rsidRPr="008573C5" w:rsidRDefault="00BE030A" w:rsidP="00BE030A">
            <w:pPr>
              <w:rPr>
                <w:rFonts w:eastAsia="Calibri"/>
                <w:sz w:val="20"/>
                <w:szCs w:val="20"/>
              </w:rPr>
            </w:pPr>
            <w:r w:rsidRPr="008573C5">
              <w:rPr>
                <w:rFonts w:eastAsia="Calibri"/>
                <w:sz w:val="20"/>
                <w:szCs w:val="20"/>
              </w:rPr>
              <w:t>65</w:t>
            </w:r>
          </w:p>
          <w:p w:rsidR="00BE030A" w:rsidRPr="008573C5" w:rsidRDefault="00BE030A" w:rsidP="00BE030A">
            <w:pPr>
              <w:rPr>
                <w:rFonts w:eastAsia="Calibri"/>
                <w:sz w:val="20"/>
                <w:szCs w:val="20"/>
              </w:rPr>
            </w:pPr>
            <w:r w:rsidRPr="008573C5">
              <w:rPr>
                <w:rFonts w:eastAsia="Calibri"/>
                <w:sz w:val="20"/>
                <w:szCs w:val="20"/>
              </w:rPr>
              <w:t>58</w:t>
            </w:r>
          </w:p>
          <w:p w:rsidR="00BE030A" w:rsidRPr="008573C5" w:rsidRDefault="00BE030A" w:rsidP="00BE030A">
            <w:pPr>
              <w:rPr>
                <w:rFonts w:eastAsia="Calibri"/>
                <w:sz w:val="20"/>
                <w:szCs w:val="20"/>
              </w:rPr>
            </w:pPr>
            <w:r w:rsidRPr="008573C5">
              <w:rPr>
                <w:rFonts w:eastAsia="Calibri"/>
                <w:sz w:val="20"/>
                <w:szCs w:val="20"/>
              </w:rPr>
              <w:t>48</w:t>
            </w:r>
          </w:p>
          <w:p w:rsidR="00BE030A" w:rsidRPr="008573C5" w:rsidRDefault="00BE030A" w:rsidP="00BE030A">
            <w:pPr>
              <w:rPr>
                <w:rFonts w:eastAsia="Calibri"/>
                <w:sz w:val="20"/>
                <w:szCs w:val="20"/>
              </w:rPr>
            </w:pPr>
            <w:r w:rsidRPr="008573C5">
              <w:rPr>
                <w:rFonts w:eastAsia="Calibri"/>
                <w:sz w:val="20"/>
                <w:szCs w:val="20"/>
              </w:rPr>
              <w:t>66</w:t>
            </w:r>
          </w:p>
          <w:p w:rsidR="00BE030A" w:rsidRPr="008573C5" w:rsidRDefault="00BE030A" w:rsidP="00BE030A">
            <w:pPr>
              <w:rPr>
                <w:rFonts w:eastAsia="Calibri"/>
                <w:sz w:val="20"/>
                <w:szCs w:val="20"/>
              </w:rPr>
            </w:pPr>
            <w:r w:rsidRPr="008573C5">
              <w:rPr>
                <w:rFonts w:eastAsia="Calibri"/>
                <w:sz w:val="20"/>
                <w:szCs w:val="20"/>
              </w:rPr>
              <w:t>50</w:t>
            </w:r>
          </w:p>
          <w:p w:rsidR="00BE030A" w:rsidRPr="008573C5" w:rsidRDefault="00BE030A" w:rsidP="00BE030A">
            <w:pPr>
              <w:rPr>
                <w:rFonts w:eastAsia="Calibri"/>
                <w:sz w:val="20"/>
                <w:szCs w:val="20"/>
              </w:rPr>
            </w:pPr>
            <w:r w:rsidRPr="008573C5">
              <w:rPr>
                <w:rFonts w:eastAsia="Calibri"/>
                <w:sz w:val="20"/>
                <w:szCs w:val="20"/>
              </w:rPr>
              <w:t>59</w:t>
            </w:r>
          </w:p>
          <w:p w:rsidR="00BE030A" w:rsidRPr="008573C5" w:rsidRDefault="00BE030A" w:rsidP="00BE030A">
            <w:pPr>
              <w:rPr>
                <w:rFonts w:eastAsia="Calibri"/>
                <w:sz w:val="20"/>
                <w:szCs w:val="20"/>
              </w:rPr>
            </w:pPr>
            <w:r w:rsidRPr="008573C5">
              <w:rPr>
                <w:rFonts w:eastAsia="Calibri"/>
                <w:sz w:val="20"/>
                <w:szCs w:val="20"/>
              </w:rPr>
              <w:t>55</w:t>
            </w:r>
          </w:p>
          <w:p w:rsidR="005310FF" w:rsidRPr="008573C5" w:rsidRDefault="00BE030A" w:rsidP="00BE030A">
            <w:pPr>
              <w:rPr>
                <w:rFonts w:eastAsia="Calibri"/>
                <w:sz w:val="20"/>
                <w:szCs w:val="20"/>
              </w:rPr>
            </w:pPr>
            <w:r w:rsidRPr="008573C5">
              <w:rPr>
                <w:rFonts w:eastAsia="Calibri"/>
                <w:sz w:val="20"/>
                <w:szCs w:val="20"/>
              </w:rPr>
              <w:t>47</w:t>
            </w:r>
          </w:p>
        </w:tc>
      </w:tr>
    </w:tbl>
    <w:p w:rsidR="005310FF" w:rsidRPr="008573C5" w:rsidRDefault="005310FF" w:rsidP="005310FF">
      <w:pPr>
        <w:autoSpaceDE w:val="0"/>
        <w:autoSpaceDN w:val="0"/>
        <w:adjustRightInd w:val="0"/>
        <w:jc w:val="center"/>
      </w:pPr>
    </w:p>
    <w:p w:rsidR="00514CD8" w:rsidRPr="008573C5" w:rsidRDefault="00514CD8" w:rsidP="00976207">
      <w:pPr>
        <w:autoSpaceDE w:val="0"/>
        <w:autoSpaceDN w:val="0"/>
        <w:adjustRightInd w:val="0"/>
        <w:jc w:val="center"/>
        <w:rPr>
          <w:b/>
          <w:bCs/>
        </w:rPr>
      </w:pPr>
    </w:p>
    <w:p w:rsidR="00514CD8" w:rsidRPr="008573C5" w:rsidRDefault="00514CD8" w:rsidP="00976207">
      <w:pPr>
        <w:autoSpaceDE w:val="0"/>
        <w:autoSpaceDN w:val="0"/>
        <w:adjustRightInd w:val="0"/>
        <w:jc w:val="center"/>
        <w:rPr>
          <w:b/>
          <w:bCs/>
        </w:rPr>
      </w:pPr>
    </w:p>
    <w:p w:rsidR="00514CD8" w:rsidRPr="008573C5" w:rsidRDefault="00514CD8" w:rsidP="00976207">
      <w:pPr>
        <w:autoSpaceDE w:val="0"/>
        <w:autoSpaceDN w:val="0"/>
        <w:adjustRightInd w:val="0"/>
        <w:jc w:val="center"/>
        <w:rPr>
          <w:b/>
          <w:bCs/>
        </w:rPr>
      </w:pPr>
    </w:p>
    <w:p w:rsidR="00514CD8" w:rsidRPr="008573C5" w:rsidRDefault="00514CD8" w:rsidP="00976207">
      <w:pPr>
        <w:autoSpaceDE w:val="0"/>
        <w:autoSpaceDN w:val="0"/>
        <w:adjustRightInd w:val="0"/>
        <w:jc w:val="center"/>
        <w:rPr>
          <w:b/>
          <w:bCs/>
        </w:rPr>
      </w:pPr>
    </w:p>
    <w:p w:rsidR="00514CD8" w:rsidRPr="008573C5" w:rsidRDefault="00514CD8" w:rsidP="00976207">
      <w:pPr>
        <w:autoSpaceDE w:val="0"/>
        <w:autoSpaceDN w:val="0"/>
        <w:adjustRightInd w:val="0"/>
        <w:jc w:val="center"/>
        <w:rPr>
          <w:b/>
          <w:bCs/>
        </w:rPr>
      </w:pPr>
    </w:p>
    <w:p w:rsidR="005310FF" w:rsidRPr="008573C5" w:rsidRDefault="005310FF" w:rsidP="005310FF">
      <w:pPr>
        <w:autoSpaceDE w:val="0"/>
        <w:autoSpaceDN w:val="0"/>
        <w:adjustRightInd w:val="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2"/>
        <w:gridCol w:w="1195"/>
        <w:gridCol w:w="1196"/>
        <w:gridCol w:w="1590"/>
        <w:gridCol w:w="1124"/>
        <w:gridCol w:w="1124"/>
        <w:gridCol w:w="1124"/>
      </w:tblGrid>
      <w:tr w:rsidR="005310FF" w:rsidRPr="008573C5">
        <w:tc>
          <w:tcPr>
            <w:tcW w:w="1172" w:type="dxa"/>
            <w:vMerge w:val="restart"/>
          </w:tcPr>
          <w:p w:rsidR="005310FF" w:rsidRPr="008573C5" w:rsidRDefault="005310FF" w:rsidP="00E0472B">
            <w:pPr>
              <w:autoSpaceDE w:val="0"/>
              <w:autoSpaceDN w:val="0"/>
              <w:adjustRightInd w:val="0"/>
              <w:rPr>
                <w:rFonts w:eastAsia="Calibri"/>
                <w:sz w:val="20"/>
                <w:szCs w:val="20"/>
              </w:rPr>
            </w:pPr>
            <w:r w:rsidRPr="008573C5">
              <w:rPr>
                <w:rFonts w:eastAsia="Calibri"/>
                <w:sz w:val="20"/>
                <w:szCs w:val="20"/>
              </w:rPr>
              <w:t>Stage</w:t>
            </w:r>
          </w:p>
        </w:tc>
        <w:tc>
          <w:tcPr>
            <w:tcW w:w="2391" w:type="dxa"/>
            <w:gridSpan w:val="2"/>
          </w:tcPr>
          <w:p w:rsidR="005310FF" w:rsidRPr="008573C5" w:rsidRDefault="005310FF" w:rsidP="00E0472B">
            <w:pPr>
              <w:autoSpaceDE w:val="0"/>
              <w:autoSpaceDN w:val="0"/>
              <w:adjustRightInd w:val="0"/>
              <w:rPr>
                <w:rFonts w:eastAsia="Calibri"/>
                <w:sz w:val="20"/>
                <w:szCs w:val="20"/>
              </w:rPr>
            </w:pPr>
            <w:r w:rsidRPr="008573C5">
              <w:rPr>
                <w:rFonts w:eastAsia="Calibri"/>
                <w:sz w:val="20"/>
                <w:szCs w:val="20"/>
              </w:rPr>
              <w:t>Cluster Combined</w:t>
            </w:r>
          </w:p>
        </w:tc>
        <w:tc>
          <w:tcPr>
            <w:tcW w:w="1590" w:type="dxa"/>
            <w:vMerge w:val="restart"/>
          </w:tcPr>
          <w:p w:rsidR="005310FF" w:rsidRPr="008573C5" w:rsidRDefault="005310FF" w:rsidP="00E0472B">
            <w:pPr>
              <w:autoSpaceDE w:val="0"/>
              <w:autoSpaceDN w:val="0"/>
              <w:adjustRightInd w:val="0"/>
              <w:rPr>
                <w:rFonts w:eastAsia="Calibri"/>
                <w:sz w:val="20"/>
                <w:szCs w:val="20"/>
              </w:rPr>
            </w:pPr>
            <w:r w:rsidRPr="008573C5">
              <w:rPr>
                <w:rFonts w:eastAsia="Calibri"/>
                <w:sz w:val="20"/>
                <w:szCs w:val="20"/>
              </w:rPr>
              <w:t>Coefficients</w:t>
            </w:r>
          </w:p>
        </w:tc>
        <w:tc>
          <w:tcPr>
            <w:tcW w:w="2248" w:type="dxa"/>
            <w:gridSpan w:val="2"/>
          </w:tcPr>
          <w:p w:rsidR="005310FF" w:rsidRPr="008573C5" w:rsidRDefault="005310FF" w:rsidP="00E0472B">
            <w:pPr>
              <w:autoSpaceDE w:val="0"/>
              <w:autoSpaceDN w:val="0"/>
              <w:adjustRightInd w:val="0"/>
              <w:rPr>
                <w:rFonts w:eastAsia="Calibri"/>
                <w:sz w:val="20"/>
                <w:szCs w:val="20"/>
              </w:rPr>
            </w:pPr>
            <w:r w:rsidRPr="008573C5">
              <w:rPr>
                <w:rFonts w:eastAsia="Calibri"/>
                <w:sz w:val="20"/>
                <w:szCs w:val="20"/>
              </w:rPr>
              <w:t>Stage Cluster First Appears</w:t>
            </w:r>
          </w:p>
        </w:tc>
        <w:tc>
          <w:tcPr>
            <w:tcW w:w="1124" w:type="dxa"/>
            <w:vMerge w:val="restart"/>
          </w:tcPr>
          <w:p w:rsidR="005310FF" w:rsidRPr="008573C5" w:rsidRDefault="005310FF" w:rsidP="00E0472B">
            <w:pPr>
              <w:autoSpaceDE w:val="0"/>
              <w:autoSpaceDN w:val="0"/>
              <w:adjustRightInd w:val="0"/>
              <w:rPr>
                <w:rFonts w:eastAsia="Calibri"/>
                <w:sz w:val="20"/>
                <w:szCs w:val="20"/>
              </w:rPr>
            </w:pPr>
            <w:r w:rsidRPr="008573C5">
              <w:rPr>
                <w:rFonts w:eastAsia="Calibri"/>
                <w:sz w:val="20"/>
                <w:szCs w:val="20"/>
              </w:rPr>
              <w:t>Next Stage</w:t>
            </w:r>
          </w:p>
        </w:tc>
      </w:tr>
      <w:tr w:rsidR="005310FF" w:rsidRPr="008573C5">
        <w:trPr>
          <w:trHeight w:val="368"/>
        </w:trPr>
        <w:tc>
          <w:tcPr>
            <w:tcW w:w="1172" w:type="dxa"/>
            <w:vMerge/>
          </w:tcPr>
          <w:p w:rsidR="005310FF" w:rsidRPr="008573C5" w:rsidRDefault="005310FF" w:rsidP="00E0472B">
            <w:pPr>
              <w:autoSpaceDE w:val="0"/>
              <w:autoSpaceDN w:val="0"/>
              <w:adjustRightInd w:val="0"/>
              <w:rPr>
                <w:rFonts w:eastAsia="Calibri"/>
                <w:sz w:val="20"/>
                <w:szCs w:val="20"/>
              </w:rPr>
            </w:pPr>
          </w:p>
        </w:tc>
        <w:tc>
          <w:tcPr>
            <w:tcW w:w="1195" w:type="dxa"/>
          </w:tcPr>
          <w:p w:rsidR="005310FF" w:rsidRPr="008573C5" w:rsidRDefault="005310FF" w:rsidP="00E0472B">
            <w:pPr>
              <w:autoSpaceDE w:val="0"/>
              <w:autoSpaceDN w:val="0"/>
              <w:adjustRightInd w:val="0"/>
              <w:rPr>
                <w:rFonts w:eastAsia="Calibri"/>
                <w:sz w:val="20"/>
                <w:szCs w:val="20"/>
              </w:rPr>
            </w:pPr>
            <w:r w:rsidRPr="008573C5">
              <w:rPr>
                <w:rFonts w:eastAsia="Calibri"/>
                <w:sz w:val="20"/>
                <w:szCs w:val="20"/>
              </w:rPr>
              <w:t>Cluster 1</w:t>
            </w:r>
          </w:p>
        </w:tc>
        <w:tc>
          <w:tcPr>
            <w:tcW w:w="1196" w:type="dxa"/>
          </w:tcPr>
          <w:p w:rsidR="005310FF" w:rsidRPr="008573C5" w:rsidRDefault="005310FF" w:rsidP="00E0472B">
            <w:pPr>
              <w:autoSpaceDE w:val="0"/>
              <w:autoSpaceDN w:val="0"/>
              <w:adjustRightInd w:val="0"/>
              <w:rPr>
                <w:rFonts w:eastAsia="Calibri"/>
                <w:sz w:val="20"/>
                <w:szCs w:val="20"/>
              </w:rPr>
            </w:pPr>
            <w:r w:rsidRPr="008573C5">
              <w:rPr>
                <w:rFonts w:eastAsia="Calibri"/>
                <w:sz w:val="20"/>
                <w:szCs w:val="20"/>
              </w:rPr>
              <w:t>Cluster 2</w:t>
            </w:r>
          </w:p>
        </w:tc>
        <w:tc>
          <w:tcPr>
            <w:tcW w:w="1590" w:type="dxa"/>
            <w:vMerge/>
          </w:tcPr>
          <w:p w:rsidR="005310FF" w:rsidRPr="008573C5" w:rsidRDefault="005310FF" w:rsidP="00E0472B">
            <w:pPr>
              <w:autoSpaceDE w:val="0"/>
              <w:autoSpaceDN w:val="0"/>
              <w:adjustRightInd w:val="0"/>
              <w:rPr>
                <w:rFonts w:eastAsia="Calibri"/>
                <w:sz w:val="20"/>
                <w:szCs w:val="20"/>
              </w:rPr>
            </w:pPr>
          </w:p>
        </w:tc>
        <w:tc>
          <w:tcPr>
            <w:tcW w:w="1124" w:type="dxa"/>
          </w:tcPr>
          <w:p w:rsidR="005310FF" w:rsidRPr="008573C5" w:rsidRDefault="005310FF" w:rsidP="00E0472B">
            <w:pPr>
              <w:autoSpaceDE w:val="0"/>
              <w:autoSpaceDN w:val="0"/>
              <w:adjustRightInd w:val="0"/>
              <w:rPr>
                <w:rFonts w:eastAsia="Calibri"/>
                <w:sz w:val="20"/>
                <w:szCs w:val="20"/>
              </w:rPr>
            </w:pPr>
            <w:r w:rsidRPr="008573C5">
              <w:rPr>
                <w:rFonts w:eastAsia="Calibri"/>
                <w:sz w:val="20"/>
                <w:szCs w:val="20"/>
              </w:rPr>
              <w:t>Cluster 1</w:t>
            </w:r>
          </w:p>
        </w:tc>
        <w:tc>
          <w:tcPr>
            <w:tcW w:w="1124" w:type="dxa"/>
          </w:tcPr>
          <w:p w:rsidR="005310FF" w:rsidRPr="008573C5" w:rsidRDefault="005310FF" w:rsidP="00E0472B">
            <w:pPr>
              <w:autoSpaceDE w:val="0"/>
              <w:autoSpaceDN w:val="0"/>
              <w:adjustRightInd w:val="0"/>
              <w:rPr>
                <w:rFonts w:eastAsia="Calibri"/>
                <w:sz w:val="20"/>
                <w:szCs w:val="20"/>
              </w:rPr>
            </w:pPr>
            <w:r w:rsidRPr="008573C5">
              <w:rPr>
                <w:rFonts w:eastAsia="Calibri"/>
                <w:sz w:val="20"/>
                <w:szCs w:val="20"/>
              </w:rPr>
              <w:t>Cluster 2</w:t>
            </w:r>
          </w:p>
        </w:tc>
        <w:tc>
          <w:tcPr>
            <w:tcW w:w="1124" w:type="dxa"/>
            <w:vMerge/>
          </w:tcPr>
          <w:p w:rsidR="005310FF" w:rsidRPr="008573C5" w:rsidRDefault="005310FF" w:rsidP="00E0472B">
            <w:pPr>
              <w:autoSpaceDE w:val="0"/>
              <w:autoSpaceDN w:val="0"/>
              <w:adjustRightInd w:val="0"/>
              <w:rPr>
                <w:rFonts w:eastAsia="Calibri"/>
                <w:sz w:val="20"/>
                <w:szCs w:val="20"/>
              </w:rPr>
            </w:pPr>
          </w:p>
        </w:tc>
      </w:tr>
      <w:tr w:rsidR="00BE030A" w:rsidRPr="008573C5">
        <w:tc>
          <w:tcPr>
            <w:tcW w:w="1172" w:type="dxa"/>
          </w:tcPr>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45</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49</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51</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52</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54</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55</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59</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61</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62</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64</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65</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69</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71</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72</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74</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75</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79</w:t>
            </w:r>
          </w:p>
          <w:p w:rsidR="007279BC" w:rsidRPr="008573C5" w:rsidRDefault="00BE030A" w:rsidP="00E0472B">
            <w:pPr>
              <w:autoSpaceDE w:val="0"/>
              <w:autoSpaceDN w:val="0"/>
              <w:adjustRightInd w:val="0"/>
              <w:rPr>
                <w:rFonts w:eastAsia="Calibri"/>
                <w:sz w:val="20"/>
                <w:szCs w:val="20"/>
              </w:rPr>
            </w:pPr>
            <w:r w:rsidRPr="008573C5">
              <w:rPr>
                <w:rFonts w:eastAsia="Calibri"/>
                <w:sz w:val="20"/>
                <w:szCs w:val="20"/>
              </w:rPr>
              <w:t>80</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81</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82</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83</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84</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85</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86</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87</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88</w:t>
            </w:r>
          </w:p>
          <w:p w:rsidR="00BE030A" w:rsidRPr="008573C5" w:rsidRDefault="007279BC" w:rsidP="00E0472B">
            <w:pPr>
              <w:autoSpaceDE w:val="0"/>
              <w:autoSpaceDN w:val="0"/>
              <w:adjustRightInd w:val="0"/>
              <w:rPr>
                <w:rFonts w:eastAsia="Calibri"/>
                <w:sz w:val="20"/>
                <w:szCs w:val="20"/>
              </w:rPr>
            </w:pPr>
            <w:r w:rsidRPr="008573C5">
              <w:rPr>
                <w:rFonts w:eastAsia="Calibri"/>
                <w:sz w:val="20"/>
                <w:szCs w:val="20"/>
              </w:rPr>
              <w:t>89</w:t>
            </w:r>
          </w:p>
        </w:tc>
        <w:tc>
          <w:tcPr>
            <w:tcW w:w="1195" w:type="dxa"/>
          </w:tcPr>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24</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64</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24</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15</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19</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55</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11</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14</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12</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11</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15</w:t>
            </w:r>
          </w:p>
          <w:p w:rsidR="007279BC" w:rsidRPr="008573C5" w:rsidRDefault="00BE030A" w:rsidP="00E0472B">
            <w:pPr>
              <w:autoSpaceDE w:val="0"/>
              <w:autoSpaceDN w:val="0"/>
              <w:adjustRightInd w:val="0"/>
              <w:rPr>
                <w:rFonts w:eastAsia="Calibri"/>
                <w:sz w:val="20"/>
                <w:szCs w:val="20"/>
              </w:rPr>
            </w:pPr>
            <w:r w:rsidRPr="008573C5">
              <w:rPr>
                <w:rFonts w:eastAsia="Calibri"/>
                <w:sz w:val="20"/>
                <w:szCs w:val="20"/>
              </w:rPr>
              <w:t>1</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7</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2</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7</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7</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2</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1</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4</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1</w:t>
            </w:r>
          </w:p>
          <w:p w:rsidR="00BE030A" w:rsidRPr="008573C5" w:rsidRDefault="007279BC" w:rsidP="00E0472B">
            <w:pPr>
              <w:autoSpaceDE w:val="0"/>
              <w:autoSpaceDN w:val="0"/>
              <w:adjustRightInd w:val="0"/>
              <w:rPr>
                <w:rFonts w:eastAsia="Calibri"/>
                <w:sz w:val="20"/>
                <w:szCs w:val="20"/>
              </w:rPr>
            </w:pPr>
            <w:r w:rsidRPr="008573C5">
              <w:rPr>
                <w:rFonts w:eastAsia="Calibri"/>
                <w:sz w:val="20"/>
                <w:szCs w:val="20"/>
              </w:rPr>
              <w:t>1</w:t>
            </w:r>
          </w:p>
        </w:tc>
        <w:tc>
          <w:tcPr>
            <w:tcW w:w="1196" w:type="dxa"/>
          </w:tcPr>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32</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52</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83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41</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35</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85</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9</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44</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24</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19</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64</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31</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90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22</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55</w:t>
            </w:r>
          </w:p>
          <w:p w:rsidR="007279BC" w:rsidRPr="008573C5" w:rsidRDefault="00BE030A" w:rsidP="00E0472B">
            <w:pPr>
              <w:autoSpaceDE w:val="0"/>
              <w:autoSpaceDN w:val="0"/>
              <w:adjustRightInd w:val="0"/>
              <w:rPr>
                <w:rFonts w:eastAsia="Calibri"/>
                <w:sz w:val="20"/>
                <w:szCs w:val="20"/>
              </w:rPr>
            </w:pPr>
            <w:r w:rsidRPr="008573C5">
              <w:rPr>
                <w:rFonts w:eastAsia="Calibri"/>
                <w:sz w:val="20"/>
                <w:szCs w:val="20"/>
              </w:rPr>
              <w:t>6</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15</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86</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16</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14</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11</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7</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12</w:t>
            </w:r>
          </w:p>
          <w:p w:rsidR="007279BC" w:rsidRPr="008573C5" w:rsidRDefault="007279BC" w:rsidP="00E0472B">
            <w:pPr>
              <w:autoSpaceDE w:val="0"/>
              <w:autoSpaceDN w:val="0"/>
              <w:adjustRightInd w:val="0"/>
              <w:rPr>
                <w:rFonts w:eastAsia="Calibri"/>
                <w:sz w:val="20"/>
                <w:szCs w:val="20"/>
              </w:rPr>
            </w:pPr>
            <w:r w:rsidRPr="008573C5">
              <w:rPr>
                <w:rFonts w:eastAsia="Calibri"/>
                <w:sz w:val="20"/>
                <w:szCs w:val="20"/>
              </w:rPr>
              <w:t>4</w:t>
            </w:r>
          </w:p>
          <w:p w:rsidR="00BE030A" w:rsidRPr="008573C5" w:rsidRDefault="007279BC" w:rsidP="00E0472B">
            <w:pPr>
              <w:autoSpaceDE w:val="0"/>
              <w:autoSpaceDN w:val="0"/>
              <w:adjustRightInd w:val="0"/>
              <w:rPr>
                <w:rFonts w:eastAsia="Calibri"/>
                <w:sz w:val="20"/>
                <w:szCs w:val="20"/>
              </w:rPr>
            </w:pPr>
            <w:r w:rsidRPr="008573C5">
              <w:rPr>
                <w:rFonts w:eastAsia="Calibri"/>
                <w:sz w:val="20"/>
                <w:szCs w:val="20"/>
              </w:rPr>
              <w:t>2</w:t>
            </w:r>
          </w:p>
        </w:tc>
        <w:tc>
          <w:tcPr>
            <w:tcW w:w="1590" w:type="dxa"/>
          </w:tcPr>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1.286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1.333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1.467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1.500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1.667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1.750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1.875</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2.083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2.250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2.333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2.333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2.500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2.500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2.500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2.520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2.625</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2.810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2.833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2.833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3.750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3.833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4.100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4.424</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5.000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5.020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5.188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5.371</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5.850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6.232</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7.286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7.883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8.948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9.167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9.713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11.500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12.244</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15.608</w:t>
            </w:r>
          </w:p>
        </w:tc>
        <w:tc>
          <w:tcPr>
            <w:tcW w:w="1124" w:type="dxa"/>
          </w:tcPr>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44</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39</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15</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45</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34</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42</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52</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59</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35</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29</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61</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65</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64</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71</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58</w:t>
            </w:r>
          </w:p>
          <w:p w:rsidR="00BE030A" w:rsidRPr="008573C5" w:rsidRDefault="00BE030A" w:rsidP="00E0472B">
            <w:pPr>
              <w:autoSpaceDE w:val="0"/>
              <w:autoSpaceDN w:val="0"/>
              <w:adjustRightInd w:val="0"/>
              <w:rPr>
                <w:rFonts w:ascii="Calibri" w:eastAsia="Calibri" w:hAnsi="Calibri"/>
                <w:sz w:val="20"/>
                <w:szCs w:val="20"/>
              </w:rPr>
            </w:pPr>
            <w:r w:rsidRPr="008573C5">
              <w:rPr>
                <w:rFonts w:eastAsia="Calibri"/>
                <w:sz w:val="20"/>
                <w:szCs w:val="20"/>
              </w:rPr>
              <w:t>69</w:t>
            </w:r>
            <w:r w:rsidRPr="008573C5">
              <w:rPr>
                <w:rFonts w:eastAsia="Calibri"/>
                <w:sz w:val="20"/>
                <w:szCs w:val="20"/>
              </w:rPr>
              <w:cr/>
              <w:t>76</w:t>
            </w:r>
            <w:r w:rsidRPr="008573C5">
              <w:rPr>
                <w:rFonts w:ascii="Calibri" w:eastAsia="Calibri" w:hAnsi="Calibri"/>
                <w:sz w:val="20"/>
                <w:szCs w:val="20"/>
              </w:rPr>
              <w:t xml:space="preserve"> </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81</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83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82</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80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86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88</w:t>
            </w:r>
            <w:r w:rsidRPr="008573C5">
              <w:rPr>
                <w:rFonts w:eastAsia="Calibri"/>
                <w:sz w:val="20"/>
                <w:szCs w:val="20"/>
              </w:rPr>
              <w:cr/>
            </w:r>
          </w:p>
          <w:p w:rsidR="00BE030A" w:rsidRPr="008573C5" w:rsidRDefault="00BE030A" w:rsidP="00E0472B">
            <w:pPr>
              <w:autoSpaceDE w:val="0"/>
              <w:autoSpaceDN w:val="0"/>
              <w:adjustRightInd w:val="0"/>
              <w:rPr>
                <w:rFonts w:eastAsia="Calibri"/>
                <w:sz w:val="20"/>
                <w:szCs w:val="20"/>
              </w:rPr>
            </w:pPr>
          </w:p>
        </w:tc>
        <w:tc>
          <w:tcPr>
            <w:tcW w:w="1124" w:type="dxa"/>
          </w:tcPr>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32</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41</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9</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28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49</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31</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55</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4</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66</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53</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51</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72</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62</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54</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79</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0</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68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74</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78</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84</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75</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87</w:t>
            </w:r>
          </w:p>
          <w:p w:rsidR="00BE030A" w:rsidRPr="008573C5" w:rsidRDefault="00BE030A" w:rsidP="00E0472B">
            <w:pPr>
              <w:autoSpaceDE w:val="0"/>
              <w:autoSpaceDN w:val="0"/>
              <w:adjustRightInd w:val="0"/>
              <w:rPr>
                <w:rFonts w:eastAsia="Calibri"/>
                <w:sz w:val="20"/>
                <w:szCs w:val="20"/>
              </w:rPr>
            </w:pPr>
            <w:r w:rsidRPr="008573C5">
              <w:rPr>
                <w:rFonts w:eastAsia="Calibri"/>
                <w:sz w:val="20"/>
                <w:szCs w:val="20"/>
              </w:rPr>
              <w:t>85</w:t>
            </w:r>
          </w:p>
        </w:tc>
        <w:tc>
          <w:tcPr>
            <w:tcW w:w="1124" w:type="dxa"/>
          </w:tcPr>
          <w:p w:rsidR="00BE030A" w:rsidRPr="008573C5" w:rsidRDefault="00BE030A" w:rsidP="00BE030A">
            <w:pPr>
              <w:rPr>
                <w:rFonts w:eastAsia="Calibri"/>
                <w:sz w:val="20"/>
                <w:szCs w:val="20"/>
              </w:rPr>
            </w:pPr>
            <w:r w:rsidRPr="008573C5">
              <w:rPr>
                <w:rFonts w:eastAsia="Calibri"/>
                <w:sz w:val="20"/>
                <w:szCs w:val="20"/>
              </w:rPr>
              <w:t>56</w:t>
            </w:r>
          </w:p>
          <w:p w:rsidR="00BE030A" w:rsidRPr="008573C5" w:rsidRDefault="00BE030A" w:rsidP="00BE030A">
            <w:pPr>
              <w:rPr>
                <w:rFonts w:eastAsia="Calibri"/>
                <w:sz w:val="20"/>
                <w:szCs w:val="20"/>
              </w:rPr>
            </w:pPr>
            <w:r w:rsidRPr="008573C5">
              <w:rPr>
                <w:rFonts w:eastAsia="Calibri"/>
                <w:sz w:val="20"/>
                <w:szCs w:val="20"/>
              </w:rPr>
              <w:t>52</w:t>
            </w:r>
          </w:p>
          <w:p w:rsidR="00BE030A" w:rsidRPr="008573C5" w:rsidRDefault="00BE030A" w:rsidP="00BE030A">
            <w:pPr>
              <w:rPr>
                <w:rFonts w:eastAsia="Calibri"/>
                <w:sz w:val="20"/>
                <w:szCs w:val="20"/>
              </w:rPr>
            </w:pPr>
            <w:r w:rsidRPr="008573C5">
              <w:rPr>
                <w:rFonts w:eastAsia="Calibri"/>
                <w:sz w:val="20"/>
                <w:szCs w:val="20"/>
              </w:rPr>
              <w:t>49</w:t>
            </w:r>
          </w:p>
          <w:p w:rsidR="00BE030A" w:rsidRPr="008573C5" w:rsidRDefault="00BE030A" w:rsidP="00BE030A">
            <w:pPr>
              <w:rPr>
                <w:rFonts w:eastAsia="Calibri"/>
                <w:sz w:val="20"/>
                <w:szCs w:val="20"/>
              </w:rPr>
            </w:pPr>
            <w:r w:rsidRPr="008573C5">
              <w:rPr>
                <w:rFonts w:eastAsia="Calibri"/>
                <w:sz w:val="20"/>
                <w:szCs w:val="20"/>
              </w:rPr>
              <w:t>63</w:t>
            </w:r>
          </w:p>
          <w:p w:rsidR="00BE030A" w:rsidRPr="008573C5" w:rsidRDefault="00BE030A" w:rsidP="00BE030A">
            <w:pPr>
              <w:rPr>
                <w:rFonts w:eastAsia="Calibri"/>
                <w:sz w:val="20"/>
                <w:szCs w:val="20"/>
              </w:rPr>
            </w:pPr>
            <w:r w:rsidRPr="008573C5">
              <w:rPr>
                <w:rFonts w:eastAsia="Calibri"/>
                <w:sz w:val="20"/>
                <w:szCs w:val="20"/>
              </w:rPr>
              <w:t>62</w:t>
            </w:r>
          </w:p>
          <w:p w:rsidR="00BE030A" w:rsidRPr="008573C5" w:rsidRDefault="00BE030A" w:rsidP="00BE030A">
            <w:pPr>
              <w:rPr>
                <w:rFonts w:eastAsia="Calibri"/>
                <w:sz w:val="20"/>
                <w:szCs w:val="20"/>
              </w:rPr>
            </w:pPr>
            <w:r w:rsidRPr="008573C5">
              <w:rPr>
                <w:rFonts w:eastAsia="Calibri"/>
                <w:sz w:val="20"/>
                <w:szCs w:val="20"/>
              </w:rPr>
              <w:t>55</w:t>
            </w:r>
          </w:p>
          <w:p w:rsidR="00BE030A" w:rsidRPr="008573C5" w:rsidRDefault="00BE030A" w:rsidP="00BE030A">
            <w:pPr>
              <w:rPr>
                <w:rFonts w:eastAsia="Calibri"/>
                <w:sz w:val="20"/>
                <w:szCs w:val="20"/>
              </w:rPr>
            </w:pPr>
            <w:r w:rsidRPr="008573C5">
              <w:rPr>
                <w:rFonts w:eastAsia="Calibri"/>
                <w:sz w:val="20"/>
                <w:szCs w:val="20"/>
              </w:rPr>
              <w:t>71</w:t>
            </w:r>
          </w:p>
          <w:p w:rsidR="00BE030A" w:rsidRPr="008573C5" w:rsidRDefault="00BE030A" w:rsidP="00BE030A">
            <w:pPr>
              <w:rPr>
                <w:rFonts w:eastAsia="Calibri"/>
                <w:sz w:val="20"/>
                <w:szCs w:val="20"/>
              </w:rPr>
            </w:pPr>
            <w:r w:rsidRPr="008573C5">
              <w:rPr>
                <w:rFonts w:eastAsia="Calibri"/>
                <w:sz w:val="20"/>
                <w:szCs w:val="20"/>
              </w:rPr>
              <w:t>64</w:t>
            </w:r>
          </w:p>
          <w:p w:rsidR="00BE030A" w:rsidRPr="008573C5" w:rsidRDefault="00BE030A" w:rsidP="00BE030A">
            <w:pPr>
              <w:rPr>
                <w:rFonts w:eastAsia="Calibri"/>
                <w:sz w:val="20"/>
                <w:szCs w:val="20"/>
              </w:rPr>
            </w:pPr>
            <w:r w:rsidRPr="008573C5">
              <w:rPr>
                <w:rFonts w:eastAsia="Calibri"/>
                <w:sz w:val="20"/>
                <w:szCs w:val="20"/>
              </w:rPr>
              <w:t>70</w:t>
            </w:r>
          </w:p>
          <w:p w:rsidR="00BE030A" w:rsidRPr="008573C5" w:rsidRDefault="00BE030A" w:rsidP="00BE030A">
            <w:pPr>
              <w:rPr>
                <w:rFonts w:eastAsia="Calibri"/>
                <w:sz w:val="20"/>
                <w:szCs w:val="20"/>
              </w:rPr>
            </w:pPr>
            <w:r w:rsidRPr="008573C5">
              <w:rPr>
                <w:rFonts w:eastAsia="Calibri"/>
                <w:sz w:val="20"/>
                <w:szCs w:val="20"/>
              </w:rPr>
              <w:t>78</w:t>
            </w:r>
          </w:p>
          <w:p w:rsidR="00BE030A" w:rsidRPr="008573C5" w:rsidRDefault="00BE030A" w:rsidP="00BE030A">
            <w:pPr>
              <w:rPr>
                <w:rFonts w:eastAsia="Calibri"/>
                <w:sz w:val="20"/>
                <w:szCs w:val="20"/>
              </w:rPr>
            </w:pPr>
            <w:r w:rsidRPr="008573C5">
              <w:rPr>
                <w:rFonts w:eastAsia="Calibri"/>
                <w:sz w:val="20"/>
                <w:szCs w:val="20"/>
              </w:rPr>
              <w:t>64</w:t>
            </w:r>
          </w:p>
          <w:p w:rsidR="00BE030A" w:rsidRPr="008573C5" w:rsidRDefault="00BE030A" w:rsidP="00BE030A">
            <w:pPr>
              <w:rPr>
                <w:rFonts w:eastAsia="Calibri"/>
                <w:sz w:val="20"/>
                <w:szCs w:val="20"/>
              </w:rPr>
            </w:pPr>
            <w:r w:rsidRPr="008573C5">
              <w:rPr>
                <w:rFonts w:eastAsia="Calibri"/>
                <w:sz w:val="20"/>
                <w:szCs w:val="20"/>
              </w:rPr>
              <w:t>62</w:t>
            </w:r>
          </w:p>
          <w:p w:rsidR="00BE030A" w:rsidRPr="008573C5" w:rsidRDefault="00BE030A" w:rsidP="00BE030A">
            <w:pPr>
              <w:rPr>
                <w:rFonts w:eastAsia="Calibri"/>
                <w:sz w:val="20"/>
                <w:szCs w:val="20"/>
              </w:rPr>
            </w:pPr>
            <w:r w:rsidRPr="008573C5">
              <w:rPr>
                <w:rFonts w:eastAsia="Calibri"/>
                <w:sz w:val="20"/>
                <w:szCs w:val="20"/>
              </w:rPr>
              <w:t>69</w:t>
            </w:r>
          </w:p>
          <w:p w:rsidR="00BE030A" w:rsidRPr="008573C5" w:rsidRDefault="00BE030A" w:rsidP="00BE030A">
            <w:pPr>
              <w:rPr>
                <w:rFonts w:eastAsia="Calibri"/>
                <w:sz w:val="20"/>
                <w:szCs w:val="20"/>
              </w:rPr>
            </w:pPr>
            <w:r w:rsidRPr="008573C5">
              <w:rPr>
                <w:rFonts w:eastAsia="Calibri"/>
                <w:sz w:val="20"/>
                <w:szCs w:val="20"/>
              </w:rPr>
              <w:t>79</w:t>
            </w:r>
          </w:p>
          <w:p w:rsidR="00BE030A" w:rsidRPr="008573C5" w:rsidRDefault="00BE030A" w:rsidP="00BE030A">
            <w:pPr>
              <w:rPr>
                <w:rFonts w:eastAsia="Calibri"/>
                <w:sz w:val="20"/>
                <w:szCs w:val="20"/>
              </w:rPr>
            </w:pPr>
            <w:r w:rsidRPr="008573C5">
              <w:rPr>
                <w:rFonts w:eastAsia="Calibri"/>
                <w:sz w:val="20"/>
                <w:szCs w:val="20"/>
              </w:rPr>
              <w:t>66</w:t>
            </w:r>
          </w:p>
          <w:p w:rsidR="00BE030A" w:rsidRPr="008573C5" w:rsidRDefault="00BE030A" w:rsidP="00BE030A">
            <w:pPr>
              <w:rPr>
                <w:rFonts w:eastAsia="Calibri"/>
                <w:sz w:val="20"/>
                <w:szCs w:val="20"/>
              </w:rPr>
            </w:pPr>
            <w:r w:rsidRPr="008573C5">
              <w:rPr>
                <w:rFonts w:eastAsia="Calibri"/>
                <w:sz w:val="20"/>
                <w:szCs w:val="20"/>
              </w:rPr>
              <w:t>65</w:t>
            </w:r>
          </w:p>
          <w:p w:rsidR="00BE030A" w:rsidRPr="008573C5" w:rsidRDefault="00BE030A" w:rsidP="00BE030A">
            <w:pPr>
              <w:rPr>
                <w:rFonts w:eastAsia="Calibri"/>
                <w:sz w:val="20"/>
                <w:szCs w:val="20"/>
              </w:rPr>
            </w:pPr>
            <w:r w:rsidRPr="008573C5">
              <w:rPr>
                <w:rFonts w:eastAsia="Calibri"/>
                <w:sz w:val="20"/>
                <w:szCs w:val="20"/>
              </w:rPr>
              <w:t>73</w:t>
            </w:r>
          </w:p>
          <w:p w:rsidR="00BE030A" w:rsidRPr="008573C5" w:rsidRDefault="00BE030A" w:rsidP="00BE030A">
            <w:pPr>
              <w:rPr>
                <w:rFonts w:eastAsia="Calibri"/>
                <w:sz w:val="20"/>
                <w:szCs w:val="20"/>
              </w:rPr>
            </w:pPr>
            <w:r w:rsidRPr="008573C5">
              <w:rPr>
                <w:rFonts w:eastAsia="Calibri"/>
                <w:sz w:val="20"/>
                <w:szCs w:val="20"/>
              </w:rPr>
              <w:t>76</w:t>
            </w:r>
          </w:p>
          <w:p w:rsidR="00BE030A" w:rsidRPr="008573C5" w:rsidRDefault="00BE030A" w:rsidP="00BE030A">
            <w:pPr>
              <w:rPr>
                <w:rFonts w:eastAsia="Calibri"/>
                <w:sz w:val="20"/>
                <w:szCs w:val="20"/>
              </w:rPr>
            </w:pPr>
            <w:r w:rsidRPr="008573C5">
              <w:rPr>
                <w:rFonts w:eastAsia="Calibri"/>
                <w:sz w:val="20"/>
                <w:szCs w:val="20"/>
              </w:rPr>
              <w:t>72</w:t>
            </w:r>
          </w:p>
          <w:p w:rsidR="00BE030A" w:rsidRPr="008573C5" w:rsidRDefault="00BE030A" w:rsidP="00BE030A">
            <w:pPr>
              <w:rPr>
                <w:rFonts w:eastAsia="Calibri"/>
                <w:sz w:val="20"/>
                <w:szCs w:val="20"/>
              </w:rPr>
            </w:pPr>
            <w:r w:rsidRPr="008573C5">
              <w:rPr>
                <w:rFonts w:eastAsia="Calibri"/>
                <w:sz w:val="20"/>
                <w:szCs w:val="20"/>
              </w:rPr>
              <w:t>77</w:t>
            </w:r>
          </w:p>
          <w:p w:rsidR="00BE030A" w:rsidRPr="008573C5" w:rsidRDefault="00BE030A" w:rsidP="00BE030A">
            <w:pPr>
              <w:rPr>
                <w:rFonts w:eastAsia="Calibri"/>
                <w:sz w:val="20"/>
                <w:szCs w:val="20"/>
              </w:rPr>
            </w:pPr>
            <w:r w:rsidRPr="008573C5">
              <w:rPr>
                <w:rFonts w:eastAsia="Calibri"/>
                <w:sz w:val="20"/>
                <w:szCs w:val="20"/>
              </w:rPr>
              <w:t>76</w:t>
            </w:r>
          </w:p>
          <w:p w:rsidR="00BE030A" w:rsidRPr="008573C5" w:rsidRDefault="00BE030A" w:rsidP="00BE030A">
            <w:pPr>
              <w:rPr>
                <w:rFonts w:eastAsia="Calibri"/>
                <w:sz w:val="20"/>
                <w:szCs w:val="20"/>
              </w:rPr>
            </w:pPr>
            <w:r w:rsidRPr="008573C5">
              <w:rPr>
                <w:rFonts w:eastAsia="Calibri"/>
                <w:sz w:val="20"/>
                <w:szCs w:val="20"/>
              </w:rPr>
              <w:t>69</w:t>
            </w:r>
          </w:p>
          <w:p w:rsidR="00BE030A" w:rsidRPr="008573C5" w:rsidRDefault="00BE030A" w:rsidP="00BE030A">
            <w:pPr>
              <w:rPr>
                <w:rFonts w:eastAsia="Calibri"/>
                <w:sz w:val="20"/>
                <w:szCs w:val="20"/>
              </w:rPr>
            </w:pPr>
            <w:r w:rsidRPr="008573C5">
              <w:rPr>
                <w:rFonts w:eastAsia="Calibri"/>
                <w:sz w:val="20"/>
                <w:szCs w:val="20"/>
              </w:rPr>
              <w:t>77</w:t>
            </w:r>
          </w:p>
          <w:p w:rsidR="00BE030A" w:rsidRPr="008573C5" w:rsidRDefault="00BE030A" w:rsidP="00BE030A">
            <w:pPr>
              <w:rPr>
                <w:rFonts w:eastAsia="Calibri"/>
                <w:sz w:val="20"/>
                <w:szCs w:val="20"/>
              </w:rPr>
            </w:pPr>
            <w:r w:rsidRPr="008573C5">
              <w:rPr>
                <w:rFonts w:eastAsia="Calibri"/>
                <w:sz w:val="20"/>
                <w:szCs w:val="20"/>
              </w:rPr>
              <w:t>83</w:t>
            </w:r>
          </w:p>
          <w:p w:rsidR="00BE030A" w:rsidRPr="008573C5" w:rsidRDefault="00BE030A" w:rsidP="00BE030A">
            <w:pPr>
              <w:rPr>
                <w:rFonts w:eastAsia="Calibri"/>
                <w:sz w:val="20"/>
                <w:szCs w:val="20"/>
              </w:rPr>
            </w:pPr>
            <w:r w:rsidRPr="008573C5">
              <w:rPr>
                <w:rFonts w:eastAsia="Calibri"/>
                <w:sz w:val="20"/>
                <w:szCs w:val="20"/>
              </w:rPr>
              <w:t>80</w:t>
            </w:r>
          </w:p>
          <w:p w:rsidR="00BE030A" w:rsidRPr="008573C5" w:rsidRDefault="00BE030A" w:rsidP="00BE030A">
            <w:pPr>
              <w:rPr>
                <w:rFonts w:eastAsia="Calibri"/>
                <w:sz w:val="20"/>
                <w:szCs w:val="20"/>
              </w:rPr>
            </w:pPr>
            <w:r w:rsidRPr="008573C5">
              <w:rPr>
                <w:rFonts w:eastAsia="Calibri"/>
                <w:sz w:val="20"/>
                <w:szCs w:val="20"/>
              </w:rPr>
              <w:t>79</w:t>
            </w:r>
          </w:p>
          <w:p w:rsidR="00BE030A" w:rsidRPr="008573C5" w:rsidRDefault="00BE030A" w:rsidP="00BE030A">
            <w:pPr>
              <w:rPr>
                <w:rFonts w:eastAsia="Calibri"/>
                <w:sz w:val="20"/>
                <w:szCs w:val="20"/>
              </w:rPr>
            </w:pPr>
            <w:r w:rsidRPr="008573C5">
              <w:rPr>
                <w:rFonts w:eastAsia="Calibri"/>
                <w:sz w:val="20"/>
                <w:szCs w:val="20"/>
              </w:rPr>
              <w:t>78</w:t>
            </w:r>
          </w:p>
          <w:p w:rsidR="00BE030A" w:rsidRPr="008573C5" w:rsidRDefault="00BE030A" w:rsidP="00BE030A">
            <w:pPr>
              <w:rPr>
                <w:rFonts w:eastAsia="Calibri"/>
                <w:sz w:val="20"/>
                <w:szCs w:val="20"/>
              </w:rPr>
            </w:pPr>
            <w:r w:rsidRPr="008573C5">
              <w:rPr>
                <w:rFonts w:eastAsia="Calibri"/>
                <w:sz w:val="20"/>
                <w:szCs w:val="20"/>
              </w:rPr>
              <w:t>73</w:t>
            </w:r>
          </w:p>
          <w:p w:rsidR="00BE030A" w:rsidRPr="008573C5" w:rsidRDefault="00BE030A" w:rsidP="00BE030A">
            <w:pPr>
              <w:rPr>
                <w:rFonts w:eastAsia="Calibri"/>
                <w:sz w:val="20"/>
                <w:szCs w:val="20"/>
              </w:rPr>
            </w:pPr>
            <w:r w:rsidRPr="008573C5">
              <w:rPr>
                <w:rFonts w:eastAsia="Calibri"/>
                <w:sz w:val="20"/>
                <w:szCs w:val="20"/>
              </w:rPr>
              <w:t>82</w:t>
            </w:r>
          </w:p>
          <w:p w:rsidR="00BE030A" w:rsidRPr="008573C5" w:rsidRDefault="00BE030A" w:rsidP="00BE030A">
            <w:pPr>
              <w:rPr>
                <w:rFonts w:eastAsia="Calibri"/>
                <w:sz w:val="20"/>
                <w:szCs w:val="20"/>
              </w:rPr>
            </w:pPr>
            <w:r w:rsidRPr="008573C5">
              <w:rPr>
                <w:rFonts w:eastAsia="Calibri"/>
                <w:sz w:val="20"/>
                <w:szCs w:val="20"/>
              </w:rPr>
              <w:t>84</w:t>
            </w:r>
          </w:p>
          <w:p w:rsidR="00BE030A" w:rsidRPr="008573C5" w:rsidRDefault="00BE030A" w:rsidP="00BE030A">
            <w:pPr>
              <w:rPr>
                <w:rFonts w:eastAsia="Calibri"/>
                <w:sz w:val="20"/>
                <w:szCs w:val="20"/>
              </w:rPr>
            </w:pPr>
            <w:r w:rsidRPr="008573C5">
              <w:rPr>
                <w:rFonts w:eastAsia="Calibri"/>
                <w:sz w:val="20"/>
                <w:szCs w:val="20"/>
              </w:rPr>
              <w:t>87</w:t>
            </w:r>
          </w:p>
          <w:p w:rsidR="00BE030A" w:rsidRPr="008573C5" w:rsidRDefault="00BE030A" w:rsidP="00BE030A">
            <w:pPr>
              <w:rPr>
                <w:rFonts w:eastAsia="Calibri"/>
                <w:sz w:val="20"/>
                <w:szCs w:val="20"/>
              </w:rPr>
            </w:pPr>
            <w:r w:rsidRPr="008573C5">
              <w:rPr>
                <w:rFonts w:eastAsia="Calibri"/>
                <w:sz w:val="20"/>
                <w:szCs w:val="20"/>
              </w:rPr>
              <w:t>81</w:t>
            </w:r>
          </w:p>
          <w:p w:rsidR="00BE030A" w:rsidRPr="008573C5" w:rsidRDefault="00BE030A" w:rsidP="00BE030A">
            <w:pPr>
              <w:rPr>
                <w:rFonts w:eastAsia="Calibri"/>
                <w:sz w:val="20"/>
                <w:szCs w:val="20"/>
              </w:rPr>
            </w:pPr>
            <w:r w:rsidRPr="008573C5">
              <w:rPr>
                <w:rFonts w:eastAsia="Calibri"/>
                <w:sz w:val="20"/>
                <w:szCs w:val="20"/>
              </w:rPr>
              <w:t>80</w:t>
            </w:r>
          </w:p>
          <w:p w:rsidR="00BE030A" w:rsidRPr="008573C5" w:rsidRDefault="00BE030A" w:rsidP="00BE030A">
            <w:pPr>
              <w:rPr>
                <w:rFonts w:eastAsia="Calibri"/>
                <w:sz w:val="20"/>
                <w:szCs w:val="20"/>
              </w:rPr>
            </w:pPr>
            <w:r w:rsidRPr="008573C5">
              <w:rPr>
                <w:rFonts w:eastAsia="Calibri"/>
                <w:sz w:val="20"/>
                <w:szCs w:val="20"/>
              </w:rPr>
              <w:t>85</w:t>
            </w:r>
          </w:p>
          <w:p w:rsidR="00BE030A" w:rsidRPr="008573C5" w:rsidRDefault="00BE030A" w:rsidP="00BE030A">
            <w:pPr>
              <w:rPr>
                <w:rFonts w:eastAsia="Calibri"/>
                <w:sz w:val="20"/>
                <w:szCs w:val="20"/>
              </w:rPr>
            </w:pPr>
            <w:r w:rsidRPr="008573C5">
              <w:rPr>
                <w:rFonts w:eastAsia="Calibri"/>
                <w:sz w:val="20"/>
                <w:szCs w:val="20"/>
              </w:rPr>
              <w:t>81</w:t>
            </w:r>
          </w:p>
          <w:p w:rsidR="00BE030A" w:rsidRPr="008573C5" w:rsidRDefault="00BE030A" w:rsidP="00BE030A">
            <w:pPr>
              <w:rPr>
                <w:rFonts w:eastAsia="Calibri"/>
                <w:sz w:val="20"/>
                <w:szCs w:val="20"/>
              </w:rPr>
            </w:pPr>
            <w:r w:rsidRPr="008573C5">
              <w:rPr>
                <w:rFonts w:eastAsia="Calibri"/>
                <w:sz w:val="20"/>
                <w:szCs w:val="20"/>
              </w:rPr>
              <w:t>86</w:t>
            </w:r>
            <w:r w:rsidRPr="008573C5">
              <w:rPr>
                <w:rFonts w:eastAsia="Calibri"/>
                <w:sz w:val="20"/>
                <w:szCs w:val="20"/>
              </w:rPr>
              <w:cr/>
              <w:t>83</w:t>
            </w:r>
          </w:p>
          <w:p w:rsidR="00BE030A" w:rsidRPr="008573C5" w:rsidRDefault="00BE030A" w:rsidP="00BE030A">
            <w:pPr>
              <w:rPr>
                <w:rFonts w:eastAsia="Calibri"/>
                <w:sz w:val="20"/>
                <w:szCs w:val="20"/>
              </w:rPr>
            </w:pPr>
            <w:r w:rsidRPr="008573C5">
              <w:rPr>
                <w:rFonts w:eastAsia="Calibri"/>
                <w:sz w:val="20"/>
                <w:szCs w:val="20"/>
              </w:rPr>
              <w:t>85</w:t>
            </w:r>
          </w:p>
          <w:p w:rsidR="00BE030A" w:rsidRPr="008573C5" w:rsidRDefault="00BE030A" w:rsidP="00BE030A">
            <w:pPr>
              <w:rPr>
                <w:rFonts w:eastAsia="Calibri"/>
                <w:sz w:val="20"/>
                <w:szCs w:val="20"/>
              </w:rPr>
            </w:pPr>
            <w:r w:rsidRPr="008573C5">
              <w:rPr>
                <w:rFonts w:eastAsia="Calibri"/>
                <w:sz w:val="20"/>
                <w:szCs w:val="20"/>
              </w:rPr>
              <w:t>84</w:t>
            </w:r>
          </w:p>
          <w:p w:rsidR="00BE030A" w:rsidRPr="008573C5" w:rsidRDefault="00BE030A" w:rsidP="00BE030A">
            <w:pPr>
              <w:rPr>
                <w:rFonts w:eastAsia="Calibri"/>
                <w:sz w:val="20"/>
                <w:szCs w:val="20"/>
              </w:rPr>
            </w:pPr>
            <w:r w:rsidRPr="008573C5">
              <w:rPr>
                <w:rFonts w:eastAsia="Calibri"/>
                <w:sz w:val="20"/>
                <w:szCs w:val="20"/>
              </w:rPr>
              <w:t>86</w:t>
            </w:r>
          </w:p>
          <w:p w:rsidR="00BE030A" w:rsidRPr="008573C5" w:rsidRDefault="00BE030A" w:rsidP="00BE030A">
            <w:pPr>
              <w:rPr>
                <w:rFonts w:eastAsia="Calibri"/>
                <w:sz w:val="20"/>
                <w:szCs w:val="20"/>
              </w:rPr>
            </w:pPr>
            <w:r w:rsidRPr="008573C5">
              <w:rPr>
                <w:rFonts w:eastAsia="Calibri"/>
                <w:sz w:val="20"/>
                <w:szCs w:val="20"/>
              </w:rPr>
              <w:t>89</w:t>
            </w:r>
          </w:p>
          <w:p w:rsidR="00BE030A" w:rsidRPr="008573C5" w:rsidRDefault="00BE030A" w:rsidP="00BE030A">
            <w:pPr>
              <w:rPr>
                <w:rFonts w:eastAsia="Calibri"/>
                <w:sz w:val="20"/>
                <w:szCs w:val="20"/>
              </w:rPr>
            </w:pPr>
            <w:r w:rsidRPr="008573C5">
              <w:rPr>
                <w:rFonts w:eastAsia="Calibri"/>
                <w:sz w:val="20"/>
                <w:szCs w:val="20"/>
              </w:rPr>
              <w:t>88</w:t>
            </w:r>
          </w:p>
          <w:p w:rsidR="00BE030A" w:rsidRPr="008573C5" w:rsidRDefault="00BE030A" w:rsidP="00BE030A">
            <w:pPr>
              <w:rPr>
                <w:rFonts w:eastAsia="Calibri"/>
                <w:sz w:val="20"/>
                <w:szCs w:val="20"/>
              </w:rPr>
            </w:pPr>
            <w:r w:rsidRPr="008573C5">
              <w:rPr>
                <w:rFonts w:eastAsia="Calibri"/>
                <w:sz w:val="20"/>
                <w:szCs w:val="20"/>
              </w:rPr>
              <w:t>88</w:t>
            </w:r>
          </w:p>
          <w:p w:rsidR="00BE030A" w:rsidRPr="008573C5" w:rsidRDefault="00BE030A" w:rsidP="00BE030A">
            <w:pPr>
              <w:rPr>
                <w:rFonts w:eastAsia="Calibri"/>
                <w:sz w:val="20"/>
                <w:szCs w:val="20"/>
              </w:rPr>
            </w:pPr>
            <w:r w:rsidRPr="008573C5">
              <w:rPr>
                <w:rFonts w:eastAsia="Calibri"/>
                <w:sz w:val="20"/>
                <w:szCs w:val="20"/>
              </w:rPr>
              <w:t>89</w:t>
            </w:r>
          </w:p>
          <w:p w:rsidR="00BE030A" w:rsidRPr="008573C5" w:rsidRDefault="00BE030A" w:rsidP="00BE030A">
            <w:pPr>
              <w:rPr>
                <w:rFonts w:eastAsia="Calibri"/>
                <w:sz w:val="20"/>
                <w:szCs w:val="20"/>
              </w:rPr>
            </w:pPr>
            <w:r w:rsidRPr="008573C5">
              <w:rPr>
                <w:rFonts w:eastAsia="Calibri"/>
                <w:sz w:val="20"/>
                <w:szCs w:val="20"/>
              </w:rPr>
              <w:t>0</w:t>
            </w:r>
          </w:p>
        </w:tc>
      </w:tr>
    </w:tbl>
    <w:p w:rsidR="005310FF" w:rsidRPr="008573C5" w:rsidRDefault="005310FF" w:rsidP="0074498F">
      <w:pPr>
        <w:autoSpaceDE w:val="0"/>
        <w:autoSpaceDN w:val="0"/>
        <w:adjustRightInd w:val="0"/>
        <w:jc w:val="center"/>
      </w:pPr>
    </w:p>
    <w:p w:rsidR="00514CD8" w:rsidRPr="008573C5" w:rsidRDefault="00514CD8" w:rsidP="005A087A">
      <w:pPr>
        <w:jc w:val="center"/>
        <w:rPr>
          <w:b/>
        </w:rPr>
      </w:pPr>
    </w:p>
    <w:p w:rsidR="00786010" w:rsidRPr="008573C5" w:rsidRDefault="00786010" w:rsidP="005A087A">
      <w:pPr>
        <w:jc w:val="center"/>
        <w:rPr>
          <w:b/>
        </w:rPr>
      </w:pPr>
    </w:p>
    <w:p w:rsidR="00786010" w:rsidRPr="008573C5" w:rsidRDefault="00786010" w:rsidP="005A087A">
      <w:pPr>
        <w:jc w:val="center"/>
        <w:rPr>
          <w:b/>
        </w:rPr>
      </w:pPr>
    </w:p>
    <w:p w:rsidR="00786010" w:rsidRPr="008573C5" w:rsidRDefault="00786010" w:rsidP="005A087A">
      <w:pPr>
        <w:jc w:val="center"/>
        <w:rPr>
          <w:b/>
        </w:rPr>
      </w:pPr>
    </w:p>
    <w:p w:rsidR="00BF0F79" w:rsidRPr="005E7FBD" w:rsidRDefault="00514CD8" w:rsidP="005A087A">
      <w:pPr>
        <w:jc w:val="center"/>
        <w:rPr>
          <w:b/>
          <w:sz w:val="32"/>
          <w:szCs w:val="32"/>
        </w:rPr>
      </w:pPr>
      <w:r w:rsidRPr="005E7FBD">
        <w:rPr>
          <w:b/>
          <w:sz w:val="32"/>
          <w:szCs w:val="32"/>
        </w:rPr>
        <w:t>A</w:t>
      </w:r>
      <w:r w:rsidR="005A087A" w:rsidRPr="005E7FBD">
        <w:rPr>
          <w:b/>
          <w:sz w:val="32"/>
          <w:szCs w:val="32"/>
        </w:rPr>
        <w:t xml:space="preserve">PPENDIX </w:t>
      </w:r>
      <w:r w:rsidR="00464269" w:rsidRPr="005E7FBD">
        <w:rPr>
          <w:b/>
          <w:sz w:val="32"/>
          <w:szCs w:val="32"/>
        </w:rPr>
        <w:t>VIII</w:t>
      </w:r>
    </w:p>
    <w:p w:rsidR="005A087A" w:rsidRPr="008573C5" w:rsidRDefault="005A087A" w:rsidP="005A087A">
      <w:pPr>
        <w:jc w:val="center"/>
        <w:rPr>
          <w:b/>
          <w:bCs/>
          <w:sz w:val="28"/>
          <w:szCs w:val="28"/>
        </w:rPr>
      </w:pPr>
    </w:p>
    <w:p w:rsidR="00BF0F79" w:rsidRPr="008573C5" w:rsidRDefault="00BF0F79" w:rsidP="00237868">
      <w:pPr>
        <w:autoSpaceDE w:val="0"/>
        <w:autoSpaceDN w:val="0"/>
        <w:adjustRightInd w:val="0"/>
        <w:jc w:val="center"/>
        <w:rPr>
          <w:b/>
          <w:bCs/>
          <w:sz w:val="28"/>
          <w:szCs w:val="28"/>
        </w:rPr>
      </w:pPr>
      <w:r w:rsidRPr="008573C5">
        <w:rPr>
          <w:b/>
          <w:bCs/>
          <w:sz w:val="28"/>
          <w:szCs w:val="28"/>
        </w:rPr>
        <w:t>Distribution of Voluntary Cluster into Groups</w:t>
      </w:r>
    </w:p>
    <w:p w:rsidR="005A087A" w:rsidRPr="008573C5" w:rsidRDefault="005A087A" w:rsidP="00237868">
      <w:pPr>
        <w:autoSpaceDE w:val="0"/>
        <w:autoSpaceDN w:val="0"/>
        <w:adjustRightInd w:val="0"/>
        <w:jc w:val="center"/>
        <w:rPr>
          <w:rFonts w:ascii="System" w:hAnsi="System" w:cs="System"/>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0"/>
        <w:gridCol w:w="1863"/>
        <w:gridCol w:w="1477"/>
        <w:gridCol w:w="1639"/>
        <w:gridCol w:w="1676"/>
      </w:tblGrid>
      <w:tr w:rsidR="00BF0F79" w:rsidRPr="008573C5">
        <w:tc>
          <w:tcPr>
            <w:tcW w:w="1870" w:type="dxa"/>
          </w:tcPr>
          <w:p w:rsidR="00BF0F79" w:rsidRPr="008573C5" w:rsidRDefault="00BF0F79" w:rsidP="00E0472B">
            <w:pPr>
              <w:spacing w:before="100" w:beforeAutospacing="1" w:after="100" w:afterAutospacing="1"/>
              <w:rPr>
                <w:rFonts w:ascii="Calibri" w:eastAsia="Calibri" w:hAnsi="Calibri"/>
                <w:b/>
                <w:sz w:val="20"/>
                <w:szCs w:val="20"/>
              </w:rPr>
            </w:pPr>
            <w:r w:rsidRPr="008573C5">
              <w:rPr>
                <w:rFonts w:ascii="Calibri" w:eastAsia="Calibri" w:hAnsi="Calibri"/>
                <w:b/>
                <w:sz w:val="20"/>
                <w:szCs w:val="20"/>
              </w:rPr>
              <w:t>Group 1</w:t>
            </w:r>
          </w:p>
        </w:tc>
        <w:tc>
          <w:tcPr>
            <w:tcW w:w="1863" w:type="dxa"/>
          </w:tcPr>
          <w:p w:rsidR="00BF0F79" w:rsidRPr="008573C5" w:rsidRDefault="00BF0F79" w:rsidP="00E0472B">
            <w:pPr>
              <w:spacing w:before="100" w:beforeAutospacing="1" w:after="100" w:afterAutospacing="1"/>
              <w:rPr>
                <w:rFonts w:ascii="Calibri" w:eastAsia="Calibri" w:hAnsi="Calibri"/>
                <w:b/>
                <w:sz w:val="20"/>
                <w:szCs w:val="20"/>
              </w:rPr>
            </w:pPr>
            <w:r w:rsidRPr="008573C5">
              <w:rPr>
                <w:rFonts w:ascii="Calibri" w:eastAsia="Calibri" w:hAnsi="Calibri"/>
                <w:b/>
                <w:sz w:val="20"/>
                <w:szCs w:val="20"/>
              </w:rPr>
              <w:t>Group 2</w:t>
            </w:r>
          </w:p>
        </w:tc>
        <w:tc>
          <w:tcPr>
            <w:tcW w:w="1477" w:type="dxa"/>
          </w:tcPr>
          <w:p w:rsidR="00BF0F79" w:rsidRPr="008573C5" w:rsidRDefault="00BF0F79" w:rsidP="00E0472B">
            <w:pPr>
              <w:spacing w:before="100" w:beforeAutospacing="1" w:after="100" w:afterAutospacing="1"/>
              <w:rPr>
                <w:rFonts w:ascii="Calibri" w:eastAsia="Calibri" w:hAnsi="Calibri"/>
                <w:b/>
                <w:sz w:val="20"/>
                <w:szCs w:val="20"/>
              </w:rPr>
            </w:pPr>
            <w:r w:rsidRPr="008573C5">
              <w:rPr>
                <w:rFonts w:ascii="Calibri" w:eastAsia="Calibri" w:hAnsi="Calibri"/>
                <w:b/>
                <w:sz w:val="20"/>
                <w:szCs w:val="20"/>
              </w:rPr>
              <w:t>Group 3</w:t>
            </w:r>
          </w:p>
        </w:tc>
        <w:tc>
          <w:tcPr>
            <w:tcW w:w="1639" w:type="dxa"/>
          </w:tcPr>
          <w:p w:rsidR="00BF0F79" w:rsidRPr="008573C5" w:rsidRDefault="00BF0F79" w:rsidP="00E0472B">
            <w:pPr>
              <w:spacing w:before="100" w:beforeAutospacing="1" w:after="100" w:afterAutospacing="1"/>
              <w:rPr>
                <w:rFonts w:ascii="Calibri" w:eastAsia="Calibri" w:hAnsi="Calibri"/>
                <w:b/>
                <w:sz w:val="20"/>
                <w:szCs w:val="20"/>
              </w:rPr>
            </w:pPr>
            <w:r w:rsidRPr="008573C5">
              <w:rPr>
                <w:rFonts w:ascii="Calibri" w:eastAsia="Calibri" w:hAnsi="Calibri"/>
                <w:b/>
                <w:sz w:val="20"/>
                <w:szCs w:val="20"/>
              </w:rPr>
              <w:t>Group 4</w:t>
            </w:r>
          </w:p>
        </w:tc>
        <w:tc>
          <w:tcPr>
            <w:tcW w:w="1676" w:type="dxa"/>
          </w:tcPr>
          <w:p w:rsidR="00BF0F79" w:rsidRPr="008573C5" w:rsidRDefault="00BF0F79" w:rsidP="00E0472B">
            <w:pPr>
              <w:spacing w:before="100" w:beforeAutospacing="1" w:after="100" w:afterAutospacing="1"/>
              <w:rPr>
                <w:rFonts w:ascii="Calibri" w:eastAsia="Calibri" w:hAnsi="Calibri"/>
                <w:b/>
                <w:sz w:val="20"/>
                <w:szCs w:val="20"/>
              </w:rPr>
            </w:pPr>
            <w:r w:rsidRPr="008573C5">
              <w:rPr>
                <w:rFonts w:ascii="Calibri" w:eastAsia="Calibri" w:hAnsi="Calibri"/>
                <w:b/>
                <w:sz w:val="20"/>
                <w:szCs w:val="20"/>
              </w:rPr>
              <w:t>Group 5</w:t>
            </w:r>
          </w:p>
        </w:tc>
      </w:tr>
      <w:tr w:rsidR="00BF0F79" w:rsidRPr="008573C5">
        <w:trPr>
          <w:trHeight w:val="8360"/>
        </w:trPr>
        <w:tc>
          <w:tcPr>
            <w:tcW w:w="1870" w:type="dxa"/>
          </w:tcPr>
          <w:p w:rsidR="00237868"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Nampak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7up Bottling Co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Beta Glass Company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CAP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Cappa and D'alberto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Dangote Flour Mills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Flour Mills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GlaxoSmithKline Consumer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Guniness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Livestock Feeds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May&amp;Baker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Morison Industries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Neimeth International Pharm</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NEM Insurance Company (Nig.)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Nestle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Nigerian Aviation Handling Company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Nigerian Bottling Company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Nigerian Breweries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Nigerian Enamel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P Z industries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Presco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RT Briscoe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Total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UAC of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UACN Property Development  Co.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Unilever Nigeria</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Union Bank of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United Bank of Africa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United Nigerian Textiles  Plc.</w:t>
            </w:r>
          </w:p>
        </w:tc>
        <w:tc>
          <w:tcPr>
            <w:tcW w:w="1863" w:type="dxa"/>
          </w:tcPr>
          <w:p w:rsidR="00BF0F79" w:rsidRPr="008573C5" w:rsidRDefault="00BF0F79" w:rsidP="000B12D4">
            <w:pPr>
              <w:spacing w:before="100" w:beforeAutospacing="1" w:after="100" w:afterAutospacing="1"/>
              <w:rPr>
                <w:rFonts w:ascii="Calibri" w:eastAsia="Calibri" w:hAnsi="Calibri"/>
                <w:sz w:val="20"/>
                <w:szCs w:val="20"/>
              </w:rPr>
            </w:pPr>
            <w:r w:rsidRPr="008573C5">
              <w:rPr>
                <w:rFonts w:ascii="Calibri" w:eastAsia="Calibri" w:hAnsi="Calibri"/>
                <w:sz w:val="20"/>
                <w:szCs w:val="20"/>
              </w:rPr>
              <w:t>A.G. Leventis (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Access Bank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Afribank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Ashaka Cement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Cement Co. of Northern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Chellarams.</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Chevron Oil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ConOil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Cornerstone Insurance Co.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DN Meyer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Ecobank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Ecobank Transnational Incorporated</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Ekocorp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First Aluminium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GTBank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IBTC Charterd Bank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Ikeja Hotels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Intercontinental Bank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John Holt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Law Union and Rock Insurance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Mobil Oil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Mutual Benefits Assurance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Niger Insurance Company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Oando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Oceanic Bank International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PlatinumHabib Bank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SKPE Bank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Sterling Bank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Vono Products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WAPCO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WAPIC insurance Plc.</w:t>
            </w:r>
          </w:p>
        </w:tc>
        <w:tc>
          <w:tcPr>
            <w:tcW w:w="1477" w:type="dxa"/>
          </w:tcPr>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Dunlop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First Bank of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Zenith Bank Plc.</w:t>
            </w:r>
          </w:p>
        </w:tc>
        <w:tc>
          <w:tcPr>
            <w:tcW w:w="1639" w:type="dxa"/>
          </w:tcPr>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Afprint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AIICO Insurance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Avon Crowncaps  and Containers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BOC Gases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Fidelity Bank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Greif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Lasaco Assurance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Prestige Assurance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SCOA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Standard Alliance Insurance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Tripple Gee and Company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UTC Nigeria Plc</w:t>
            </w:r>
          </w:p>
        </w:tc>
        <w:tc>
          <w:tcPr>
            <w:tcW w:w="1676" w:type="dxa"/>
          </w:tcPr>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Academy Press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African Petroleum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Aluminium Extrusion Industries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Costain (WA)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Diamond Bank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Eterna Oil and Gas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Japaul Oil and Maritime Services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Linterlinked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Nigerian Wire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Okomu Oil Palm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Poly Products Nigeria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Starco Insurance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Thomas Wyatt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Trans-Nationwide Express Plc.</w:t>
            </w:r>
          </w:p>
          <w:p w:rsidR="00BF0F79" w:rsidRPr="008573C5" w:rsidRDefault="00BF0F79" w:rsidP="00E0472B">
            <w:pPr>
              <w:spacing w:before="100" w:beforeAutospacing="1" w:after="100" w:afterAutospacing="1"/>
              <w:rPr>
                <w:rFonts w:ascii="Calibri" w:eastAsia="Calibri" w:hAnsi="Calibri"/>
                <w:sz w:val="20"/>
                <w:szCs w:val="20"/>
              </w:rPr>
            </w:pPr>
            <w:r w:rsidRPr="008573C5">
              <w:rPr>
                <w:rFonts w:ascii="Calibri" w:eastAsia="Calibri" w:hAnsi="Calibri"/>
                <w:sz w:val="20"/>
                <w:szCs w:val="20"/>
              </w:rPr>
              <w:t>Union Homes Savings and Loan Plc</w:t>
            </w:r>
          </w:p>
        </w:tc>
      </w:tr>
    </w:tbl>
    <w:p w:rsidR="0074498F" w:rsidRPr="008573C5" w:rsidRDefault="0074498F" w:rsidP="00E5091F">
      <w:pPr>
        <w:autoSpaceDE w:val="0"/>
        <w:autoSpaceDN w:val="0"/>
        <w:adjustRightInd w:val="0"/>
        <w:rPr>
          <w:rFonts w:ascii="System" w:hAnsi="System" w:cs="System"/>
          <w:b/>
          <w:bCs/>
          <w:sz w:val="20"/>
          <w:szCs w:val="20"/>
        </w:rPr>
      </w:pPr>
    </w:p>
    <w:p w:rsidR="0074498F" w:rsidRPr="008573C5" w:rsidRDefault="0074498F" w:rsidP="00E5091F">
      <w:pPr>
        <w:autoSpaceDE w:val="0"/>
        <w:autoSpaceDN w:val="0"/>
        <w:adjustRightInd w:val="0"/>
        <w:rPr>
          <w:rFonts w:ascii="System" w:hAnsi="System" w:cs="System"/>
          <w:b/>
          <w:bCs/>
          <w:sz w:val="20"/>
          <w:szCs w:val="20"/>
        </w:rPr>
      </w:pPr>
    </w:p>
    <w:p w:rsidR="0074498F" w:rsidRPr="008573C5" w:rsidRDefault="0074498F" w:rsidP="00E5091F">
      <w:pPr>
        <w:autoSpaceDE w:val="0"/>
        <w:autoSpaceDN w:val="0"/>
        <w:adjustRightInd w:val="0"/>
        <w:rPr>
          <w:rFonts w:ascii="System" w:hAnsi="System" w:cs="System"/>
          <w:b/>
          <w:bCs/>
          <w:sz w:val="20"/>
          <w:szCs w:val="20"/>
        </w:rPr>
      </w:pPr>
    </w:p>
    <w:p w:rsidR="0074498F" w:rsidRPr="008573C5" w:rsidRDefault="0074498F" w:rsidP="00E5091F">
      <w:pPr>
        <w:autoSpaceDE w:val="0"/>
        <w:autoSpaceDN w:val="0"/>
        <w:adjustRightInd w:val="0"/>
        <w:rPr>
          <w:rFonts w:ascii="System" w:hAnsi="System" w:cs="System"/>
          <w:b/>
          <w:bCs/>
          <w:sz w:val="20"/>
          <w:szCs w:val="20"/>
        </w:rPr>
      </w:pPr>
    </w:p>
    <w:sectPr w:rsidR="0074498F" w:rsidRPr="008573C5" w:rsidSect="004E6C9D">
      <w:footerReference w:type="even" r:id="rId44"/>
      <w:footerReference w:type="default" r:id="rId45"/>
      <w:footerReference w:type="first" r:id="rId46"/>
      <w:pgSz w:w="11909" w:h="16834" w:code="9"/>
      <w:pgMar w:top="1440" w:right="1440" w:bottom="1440" w:left="216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FAE" w:rsidRDefault="00CB6FAE">
      <w:r>
        <w:separator/>
      </w:r>
    </w:p>
  </w:endnote>
  <w:endnote w:type="continuationSeparator" w:id="1">
    <w:p w:rsidR="00CB6FAE" w:rsidRDefault="00CB6F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PFODKE+TimesNewRoman">
    <w:altName w:val="Times New Roman"/>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FONFN+TimesNewRoman,BoldItalic">
    <w:altName w:val="Times New Roman"/>
    <w:panose1 w:val="00000000000000000000"/>
    <w:charset w:val="00"/>
    <w:family w:val="roman"/>
    <w:notTrueType/>
    <w:pitch w:val="default"/>
    <w:sig w:usb0="00000003" w:usb1="00000000" w:usb2="00000000" w:usb3="00000000" w:csb0="00000001" w:csb1="00000000"/>
  </w:font>
  <w:font w:name="PFOEEG+TimesNewRoman,Italic">
    <w:altName w:val="Times New Roman"/>
    <w:panose1 w:val="00000000000000000000"/>
    <w:charset w:val="00"/>
    <w:family w:val="roman"/>
    <w:notTrueType/>
    <w:pitch w:val="default"/>
    <w:sig w:usb0="00000003" w:usb1="00000000" w:usb2="00000000" w:usb3="00000000" w:csb0="00000001" w:csb1="00000000"/>
  </w:font>
  <w:font w:name="PFODHA+TimesNewRoman,Bold">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imesTen-Roman">
    <w:panose1 w:val="00000000000000000000"/>
    <w:charset w:val="00"/>
    <w:family w:val="auto"/>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TimesNewRomanPS-ItalicMT-Identi">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TT17231a59.B">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AE" w:rsidRDefault="006E22C9" w:rsidP="006840BC">
    <w:pPr>
      <w:pStyle w:val="Footer"/>
      <w:framePr w:wrap="around" w:vAnchor="text" w:hAnchor="margin" w:xAlign="right" w:y="1"/>
      <w:rPr>
        <w:rStyle w:val="PageNumber"/>
      </w:rPr>
    </w:pPr>
    <w:r>
      <w:rPr>
        <w:rStyle w:val="PageNumber"/>
      </w:rPr>
      <w:fldChar w:fldCharType="begin"/>
    </w:r>
    <w:r w:rsidR="00CB6FAE">
      <w:rPr>
        <w:rStyle w:val="PageNumber"/>
      </w:rPr>
      <w:instrText xml:space="preserve">PAGE  </w:instrText>
    </w:r>
    <w:r>
      <w:rPr>
        <w:rStyle w:val="PageNumber"/>
      </w:rPr>
      <w:fldChar w:fldCharType="end"/>
    </w:r>
  </w:p>
  <w:p w:rsidR="00CB6FAE" w:rsidRDefault="00CB6FAE" w:rsidP="00B179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AE" w:rsidRDefault="006E22C9" w:rsidP="006840BC">
    <w:pPr>
      <w:pStyle w:val="Footer"/>
      <w:framePr w:wrap="around" w:vAnchor="text" w:hAnchor="margin" w:xAlign="right" w:y="1"/>
      <w:rPr>
        <w:rStyle w:val="PageNumber"/>
      </w:rPr>
    </w:pPr>
    <w:r>
      <w:rPr>
        <w:rStyle w:val="PageNumber"/>
      </w:rPr>
      <w:fldChar w:fldCharType="begin"/>
    </w:r>
    <w:r w:rsidR="00CB6FAE">
      <w:rPr>
        <w:rStyle w:val="PageNumber"/>
      </w:rPr>
      <w:instrText xml:space="preserve">PAGE  </w:instrText>
    </w:r>
    <w:r>
      <w:rPr>
        <w:rStyle w:val="PageNumber"/>
      </w:rPr>
      <w:fldChar w:fldCharType="separate"/>
    </w:r>
    <w:r w:rsidR="006410F8">
      <w:rPr>
        <w:rStyle w:val="PageNumber"/>
        <w:noProof/>
      </w:rPr>
      <w:t>139</w:t>
    </w:r>
    <w:r>
      <w:rPr>
        <w:rStyle w:val="PageNumber"/>
      </w:rPr>
      <w:fldChar w:fldCharType="end"/>
    </w:r>
  </w:p>
  <w:p w:rsidR="00CB6FAE" w:rsidRDefault="00CB6FAE" w:rsidP="00B179B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5864"/>
      <w:docPartObj>
        <w:docPartGallery w:val="Page Numbers (Bottom of Page)"/>
        <w:docPartUnique/>
      </w:docPartObj>
    </w:sdtPr>
    <w:sdtContent>
      <w:p w:rsidR="00CB6FAE" w:rsidRDefault="006E22C9">
        <w:pPr>
          <w:pStyle w:val="Footer"/>
          <w:jc w:val="center"/>
        </w:pPr>
        <w:fldSimple w:instr=" PAGE   \* MERGEFORMAT ">
          <w:r w:rsidR="006410F8">
            <w:rPr>
              <w:noProof/>
            </w:rPr>
            <w:t>1</w:t>
          </w:r>
        </w:fldSimple>
      </w:p>
    </w:sdtContent>
  </w:sdt>
  <w:p w:rsidR="00CB6FAE" w:rsidRDefault="00CB6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FAE" w:rsidRDefault="00CB6FAE">
      <w:r>
        <w:separator/>
      </w:r>
    </w:p>
  </w:footnote>
  <w:footnote w:type="continuationSeparator" w:id="1">
    <w:p w:rsidR="00CB6FAE" w:rsidRDefault="00CB6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8071C8B"/>
    <w:multiLevelType w:val="hybridMultilevel"/>
    <w:tmpl w:val="7D2A2C7E"/>
    <w:lvl w:ilvl="0" w:tplc="511AD048">
      <w:start w:val="1"/>
      <w:numFmt w:val="bullet"/>
      <w:lvlText w:val="–"/>
      <w:lvlJc w:val="left"/>
      <w:pPr>
        <w:tabs>
          <w:tab w:val="num" w:pos="720"/>
        </w:tabs>
        <w:ind w:left="720" w:hanging="360"/>
      </w:pPr>
      <w:rPr>
        <w:rFonts w:ascii="Arial" w:hAnsi="Arial" w:hint="default"/>
      </w:rPr>
    </w:lvl>
    <w:lvl w:ilvl="1" w:tplc="F00EE830">
      <w:start w:val="1"/>
      <w:numFmt w:val="bullet"/>
      <w:lvlText w:val="–"/>
      <w:lvlJc w:val="left"/>
      <w:pPr>
        <w:tabs>
          <w:tab w:val="num" w:pos="1440"/>
        </w:tabs>
        <w:ind w:left="1440" w:hanging="360"/>
      </w:pPr>
      <w:rPr>
        <w:rFonts w:ascii="Arial" w:hAnsi="Arial" w:hint="default"/>
      </w:rPr>
    </w:lvl>
    <w:lvl w:ilvl="2" w:tplc="339438CA" w:tentative="1">
      <w:start w:val="1"/>
      <w:numFmt w:val="bullet"/>
      <w:lvlText w:val="–"/>
      <w:lvlJc w:val="left"/>
      <w:pPr>
        <w:tabs>
          <w:tab w:val="num" w:pos="2160"/>
        </w:tabs>
        <w:ind w:left="2160" w:hanging="360"/>
      </w:pPr>
      <w:rPr>
        <w:rFonts w:ascii="Arial" w:hAnsi="Arial" w:hint="default"/>
      </w:rPr>
    </w:lvl>
    <w:lvl w:ilvl="3" w:tplc="25102F78" w:tentative="1">
      <w:start w:val="1"/>
      <w:numFmt w:val="bullet"/>
      <w:lvlText w:val="–"/>
      <w:lvlJc w:val="left"/>
      <w:pPr>
        <w:tabs>
          <w:tab w:val="num" w:pos="2880"/>
        </w:tabs>
        <w:ind w:left="2880" w:hanging="360"/>
      </w:pPr>
      <w:rPr>
        <w:rFonts w:ascii="Arial" w:hAnsi="Arial" w:hint="default"/>
      </w:rPr>
    </w:lvl>
    <w:lvl w:ilvl="4" w:tplc="60E21300" w:tentative="1">
      <w:start w:val="1"/>
      <w:numFmt w:val="bullet"/>
      <w:lvlText w:val="–"/>
      <w:lvlJc w:val="left"/>
      <w:pPr>
        <w:tabs>
          <w:tab w:val="num" w:pos="3600"/>
        </w:tabs>
        <w:ind w:left="3600" w:hanging="360"/>
      </w:pPr>
      <w:rPr>
        <w:rFonts w:ascii="Arial" w:hAnsi="Arial" w:hint="default"/>
      </w:rPr>
    </w:lvl>
    <w:lvl w:ilvl="5" w:tplc="4F445BD8" w:tentative="1">
      <w:start w:val="1"/>
      <w:numFmt w:val="bullet"/>
      <w:lvlText w:val="–"/>
      <w:lvlJc w:val="left"/>
      <w:pPr>
        <w:tabs>
          <w:tab w:val="num" w:pos="4320"/>
        </w:tabs>
        <w:ind w:left="4320" w:hanging="360"/>
      </w:pPr>
      <w:rPr>
        <w:rFonts w:ascii="Arial" w:hAnsi="Arial" w:hint="default"/>
      </w:rPr>
    </w:lvl>
    <w:lvl w:ilvl="6" w:tplc="C13472FA" w:tentative="1">
      <w:start w:val="1"/>
      <w:numFmt w:val="bullet"/>
      <w:lvlText w:val="–"/>
      <w:lvlJc w:val="left"/>
      <w:pPr>
        <w:tabs>
          <w:tab w:val="num" w:pos="5040"/>
        </w:tabs>
        <w:ind w:left="5040" w:hanging="360"/>
      </w:pPr>
      <w:rPr>
        <w:rFonts w:ascii="Arial" w:hAnsi="Arial" w:hint="default"/>
      </w:rPr>
    </w:lvl>
    <w:lvl w:ilvl="7" w:tplc="46EE940C" w:tentative="1">
      <w:start w:val="1"/>
      <w:numFmt w:val="bullet"/>
      <w:lvlText w:val="–"/>
      <w:lvlJc w:val="left"/>
      <w:pPr>
        <w:tabs>
          <w:tab w:val="num" w:pos="5760"/>
        </w:tabs>
        <w:ind w:left="5760" w:hanging="360"/>
      </w:pPr>
      <w:rPr>
        <w:rFonts w:ascii="Arial" w:hAnsi="Arial" w:hint="default"/>
      </w:rPr>
    </w:lvl>
    <w:lvl w:ilvl="8" w:tplc="21401C4A" w:tentative="1">
      <w:start w:val="1"/>
      <w:numFmt w:val="bullet"/>
      <w:lvlText w:val="–"/>
      <w:lvlJc w:val="left"/>
      <w:pPr>
        <w:tabs>
          <w:tab w:val="num" w:pos="6480"/>
        </w:tabs>
        <w:ind w:left="6480" w:hanging="360"/>
      </w:pPr>
      <w:rPr>
        <w:rFonts w:ascii="Arial" w:hAnsi="Arial" w:hint="default"/>
      </w:rPr>
    </w:lvl>
  </w:abstractNum>
  <w:abstractNum w:abstractNumId="1">
    <w:nsid w:val="08560258"/>
    <w:multiLevelType w:val="hybridMultilevel"/>
    <w:tmpl w:val="E65AB662"/>
    <w:lvl w:ilvl="0" w:tplc="57222CBE">
      <w:start w:val="1"/>
      <w:numFmt w:val="lowerRoman"/>
      <w:lvlText w:val="%1."/>
      <w:lvlJc w:val="left"/>
      <w:pPr>
        <w:tabs>
          <w:tab w:val="num" w:pos="1020"/>
        </w:tabs>
        <w:ind w:left="10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0C0E32A8"/>
    <w:multiLevelType w:val="hybridMultilevel"/>
    <w:tmpl w:val="735AD4E0"/>
    <w:lvl w:ilvl="0" w:tplc="7152B1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C810CE"/>
    <w:multiLevelType w:val="hybridMultilevel"/>
    <w:tmpl w:val="1DA47B7A"/>
    <w:lvl w:ilvl="0" w:tplc="F7E4AFF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6960AD"/>
    <w:multiLevelType w:val="hybridMultilevel"/>
    <w:tmpl w:val="20CCAEB2"/>
    <w:lvl w:ilvl="0" w:tplc="372E3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F38FD"/>
    <w:multiLevelType w:val="hybridMultilevel"/>
    <w:tmpl w:val="63F4E084"/>
    <w:lvl w:ilvl="0" w:tplc="44E80E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3EB"/>
    <w:multiLevelType w:val="hybridMultilevel"/>
    <w:tmpl w:val="C28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664F0"/>
    <w:multiLevelType w:val="hybridMultilevel"/>
    <w:tmpl w:val="AC664E7C"/>
    <w:lvl w:ilvl="0" w:tplc="5BECCEEA">
      <w:start w:val="1"/>
      <w:numFmt w:val="lowerRoman"/>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09D5D2D"/>
    <w:multiLevelType w:val="hybridMultilevel"/>
    <w:tmpl w:val="96E2D764"/>
    <w:lvl w:ilvl="0" w:tplc="D67275E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9C6B21"/>
    <w:multiLevelType w:val="hybridMultilevel"/>
    <w:tmpl w:val="BAC8373A"/>
    <w:lvl w:ilvl="0" w:tplc="5C023CD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394A44"/>
    <w:multiLevelType w:val="multilevel"/>
    <w:tmpl w:val="1332C20E"/>
    <w:lvl w:ilvl="0">
      <w:start w:val="1"/>
      <w:numFmt w:val="decimal"/>
      <w:lvlText w:val="%1"/>
      <w:lvlJc w:val="left"/>
      <w:pPr>
        <w:tabs>
          <w:tab w:val="num" w:pos="720"/>
        </w:tabs>
        <w:ind w:left="720" w:hanging="360"/>
      </w:pPr>
      <w:rPr>
        <w:rFonts w:ascii="Verdana" w:eastAsia="Times New Roman" w:hAnsi="Verdana" w:cs="Angsana New"/>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B4EB8"/>
    <w:multiLevelType w:val="hybridMultilevel"/>
    <w:tmpl w:val="31725204"/>
    <w:lvl w:ilvl="0" w:tplc="148CA6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B3650D"/>
    <w:multiLevelType w:val="hybridMultilevel"/>
    <w:tmpl w:val="07246008"/>
    <w:lvl w:ilvl="0" w:tplc="42E84F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FD5C3F"/>
    <w:multiLevelType w:val="multilevel"/>
    <w:tmpl w:val="CF383D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2D6434"/>
    <w:multiLevelType w:val="hybridMultilevel"/>
    <w:tmpl w:val="DC9A78FA"/>
    <w:lvl w:ilvl="0" w:tplc="7DC43680">
      <w:start w:val="1"/>
      <w:numFmt w:val="bullet"/>
      <w:lvlText w:val="•"/>
      <w:lvlJc w:val="left"/>
      <w:pPr>
        <w:tabs>
          <w:tab w:val="num" w:pos="720"/>
        </w:tabs>
        <w:ind w:left="720" w:hanging="360"/>
      </w:pPr>
      <w:rPr>
        <w:rFonts w:ascii="Arial" w:hAnsi="Arial" w:hint="default"/>
      </w:rPr>
    </w:lvl>
    <w:lvl w:ilvl="1" w:tplc="297A9F2E" w:tentative="1">
      <w:start w:val="1"/>
      <w:numFmt w:val="bullet"/>
      <w:lvlText w:val="•"/>
      <w:lvlJc w:val="left"/>
      <w:pPr>
        <w:tabs>
          <w:tab w:val="num" w:pos="1440"/>
        </w:tabs>
        <w:ind w:left="1440" w:hanging="360"/>
      </w:pPr>
      <w:rPr>
        <w:rFonts w:ascii="Arial" w:hAnsi="Arial" w:hint="default"/>
      </w:rPr>
    </w:lvl>
    <w:lvl w:ilvl="2" w:tplc="27E859C4">
      <w:start w:val="1"/>
      <w:numFmt w:val="decimal"/>
      <w:lvlText w:val="%3."/>
      <w:lvlJc w:val="left"/>
      <w:pPr>
        <w:tabs>
          <w:tab w:val="num" w:pos="2160"/>
        </w:tabs>
        <w:ind w:left="2160" w:hanging="360"/>
      </w:pPr>
    </w:lvl>
    <w:lvl w:ilvl="3" w:tplc="3E4C49E2" w:tentative="1">
      <w:start w:val="1"/>
      <w:numFmt w:val="bullet"/>
      <w:lvlText w:val="•"/>
      <w:lvlJc w:val="left"/>
      <w:pPr>
        <w:tabs>
          <w:tab w:val="num" w:pos="2880"/>
        </w:tabs>
        <w:ind w:left="2880" w:hanging="360"/>
      </w:pPr>
      <w:rPr>
        <w:rFonts w:ascii="Arial" w:hAnsi="Arial" w:hint="default"/>
      </w:rPr>
    </w:lvl>
    <w:lvl w:ilvl="4" w:tplc="F834ACE6" w:tentative="1">
      <w:start w:val="1"/>
      <w:numFmt w:val="bullet"/>
      <w:lvlText w:val="•"/>
      <w:lvlJc w:val="left"/>
      <w:pPr>
        <w:tabs>
          <w:tab w:val="num" w:pos="3600"/>
        </w:tabs>
        <w:ind w:left="3600" w:hanging="360"/>
      </w:pPr>
      <w:rPr>
        <w:rFonts w:ascii="Arial" w:hAnsi="Arial" w:hint="default"/>
      </w:rPr>
    </w:lvl>
    <w:lvl w:ilvl="5" w:tplc="5E044396" w:tentative="1">
      <w:start w:val="1"/>
      <w:numFmt w:val="bullet"/>
      <w:lvlText w:val="•"/>
      <w:lvlJc w:val="left"/>
      <w:pPr>
        <w:tabs>
          <w:tab w:val="num" w:pos="4320"/>
        </w:tabs>
        <w:ind w:left="4320" w:hanging="360"/>
      </w:pPr>
      <w:rPr>
        <w:rFonts w:ascii="Arial" w:hAnsi="Arial" w:hint="default"/>
      </w:rPr>
    </w:lvl>
    <w:lvl w:ilvl="6" w:tplc="667ACE8E" w:tentative="1">
      <w:start w:val="1"/>
      <w:numFmt w:val="bullet"/>
      <w:lvlText w:val="•"/>
      <w:lvlJc w:val="left"/>
      <w:pPr>
        <w:tabs>
          <w:tab w:val="num" w:pos="5040"/>
        </w:tabs>
        <w:ind w:left="5040" w:hanging="360"/>
      </w:pPr>
      <w:rPr>
        <w:rFonts w:ascii="Arial" w:hAnsi="Arial" w:hint="default"/>
      </w:rPr>
    </w:lvl>
    <w:lvl w:ilvl="7" w:tplc="D32E3A36" w:tentative="1">
      <w:start w:val="1"/>
      <w:numFmt w:val="bullet"/>
      <w:lvlText w:val="•"/>
      <w:lvlJc w:val="left"/>
      <w:pPr>
        <w:tabs>
          <w:tab w:val="num" w:pos="5760"/>
        </w:tabs>
        <w:ind w:left="5760" w:hanging="360"/>
      </w:pPr>
      <w:rPr>
        <w:rFonts w:ascii="Arial" w:hAnsi="Arial" w:hint="default"/>
      </w:rPr>
    </w:lvl>
    <w:lvl w:ilvl="8" w:tplc="A3C07766" w:tentative="1">
      <w:start w:val="1"/>
      <w:numFmt w:val="bullet"/>
      <w:lvlText w:val="•"/>
      <w:lvlJc w:val="left"/>
      <w:pPr>
        <w:tabs>
          <w:tab w:val="num" w:pos="6480"/>
        </w:tabs>
        <w:ind w:left="6480" w:hanging="360"/>
      </w:pPr>
      <w:rPr>
        <w:rFonts w:ascii="Arial" w:hAnsi="Arial" w:hint="default"/>
      </w:rPr>
    </w:lvl>
  </w:abstractNum>
  <w:abstractNum w:abstractNumId="15">
    <w:nsid w:val="3ED36A5D"/>
    <w:multiLevelType w:val="hybridMultilevel"/>
    <w:tmpl w:val="BF14F0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67E6F"/>
    <w:multiLevelType w:val="hybridMultilevel"/>
    <w:tmpl w:val="2D708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E5AEB"/>
    <w:multiLevelType w:val="hybridMultilevel"/>
    <w:tmpl w:val="E3F83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621465"/>
    <w:multiLevelType w:val="hybridMultilevel"/>
    <w:tmpl w:val="F1107672"/>
    <w:lvl w:ilvl="0" w:tplc="CE4A64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94242"/>
    <w:multiLevelType w:val="hybridMultilevel"/>
    <w:tmpl w:val="B0E02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20C8E"/>
    <w:multiLevelType w:val="hybridMultilevel"/>
    <w:tmpl w:val="1BBEC72E"/>
    <w:lvl w:ilvl="0" w:tplc="A3B012B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D13602"/>
    <w:multiLevelType w:val="hybridMultilevel"/>
    <w:tmpl w:val="B90C8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A021F"/>
    <w:multiLevelType w:val="hybridMultilevel"/>
    <w:tmpl w:val="FAB81E3A"/>
    <w:lvl w:ilvl="0" w:tplc="E5CEBD88">
      <w:start w:val="1"/>
      <w:numFmt w:val="lowerLetter"/>
      <w:lvlText w:val="%1."/>
      <w:lvlJc w:val="left"/>
      <w:pPr>
        <w:ind w:left="1080" w:hanging="72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1A3301"/>
    <w:multiLevelType w:val="hybridMultilevel"/>
    <w:tmpl w:val="1778AA70"/>
    <w:lvl w:ilvl="0" w:tplc="527A74B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ED3A8A"/>
    <w:multiLevelType w:val="hybridMultilevel"/>
    <w:tmpl w:val="F9C0053C"/>
    <w:lvl w:ilvl="0" w:tplc="39DAD6F4">
      <w:start w:val="1"/>
      <w:numFmt w:val="bullet"/>
      <w:lvlText w:val="•"/>
      <w:lvlJc w:val="left"/>
      <w:pPr>
        <w:tabs>
          <w:tab w:val="num" w:pos="720"/>
        </w:tabs>
        <w:ind w:left="720" w:hanging="360"/>
      </w:pPr>
      <w:rPr>
        <w:rFonts w:ascii="Arial" w:hAnsi="Arial" w:hint="default"/>
      </w:rPr>
    </w:lvl>
    <w:lvl w:ilvl="1" w:tplc="DA0CC030" w:tentative="1">
      <w:start w:val="1"/>
      <w:numFmt w:val="bullet"/>
      <w:lvlText w:val="•"/>
      <w:lvlJc w:val="left"/>
      <w:pPr>
        <w:tabs>
          <w:tab w:val="num" w:pos="1440"/>
        </w:tabs>
        <w:ind w:left="1440" w:hanging="360"/>
      </w:pPr>
      <w:rPr>
        <w:rFonts w:ascii="Arial" w:hAnsi="Arial" w:hint="default"/>
      </w:rPr>
    </w:lvl>
    <w:lvl w:ilvl="2" w:tplc="96F478F4" w:tentative="1">
      <w:start w:val="1"/>
      <w:numFmt w:val="bullet"/>
      <w:lvlText w:val="•"/>
      <w:lvlJc w:val="left"/>
      <w:pPr>
        <w:tabs>
          <w:tab w:val="num" w:pos="2160"/>
        </w:tabs>
        <w:ind w:left="2160" w:hanging="360"/>
      </w:pPr>
      <w:rPr>
        <w:rFonts w:ascii="Arial" w:hAnsi="Arial" w:hint="default"/>
      </w:rPr>
    </w:lvl>
    <w:lvl w:ilvl="3" w:tplc="8690C64C" w:tentative="1">
      <w:start w:val="1"/>
      <w:numFmt w:val="bullet"/>
      <w:lvlText w:val="•"/>
      <w:lvlJc w:val="left"/>
      <w:pPr>
        <w:tabs>
          <w:tab w:val="num" w:pos="2880"/>
        </w:tabs>
        <w:ind w:left="2880" w:hanging="360"/>
      </w:pPr>
      <w:rPr>
        <w:rFonts w:ascii="Arial" w:hAnsi="Arial" w:hint="default"/>
      </w:rPr>
    </w:lvl>
    <w:lvl w:ilvl="4" w:tplc="0B1A210E" w:tentative="1">
      <w:start w:val="1"/>
      <w:numFmt w:val="bullet"/>
      <w:lvlText w:val="•"/>
      <w:lvlJc w:val="left"/>
      <w:pPr>
        <w:tabs>
          <w:tab w:val="num" w:pos="3600"/>
        </w:tabs>
        <w:ind w:left="3600" w:hanging="360"/>
      </w:pPr>
      <w:rPr>
        <w:rFonts w:ascii="Arial" w:hAnsi="Arial" w:hint="default"/>
      </w:rPr>
    </w:lvl>
    <w:lvl w:ilvl="5" w:tplc="80223358" w:tentative="1">
      <w:start w:val="1"/>
      <w:numFmt w:val="bullet"/>
      <w:lvlText w:val="•"/>
      <w:lvlJc w:val="left"/>
      <w:pPr>
        <w:tabs>
          <w:tab w:val="num" w:pos="4320"/>
        </w:tabs>
        <w:ind w:left="4320" w:hanging="360"/>
      </w:pPr>
      <w:rPr>
        <w:rFonts w:ascii="Arial" w:hAnsi="Arial" w:hint="default"/>
      </w:rPr>
    </w:lvl>
    <w:lvl w:ilvl="6" w:tplc="35FA2EB0" w:tentative="1">
      <w:start w:val="1"/>
      <w:numFmt w:val="bullet"/>
      <w:lvlText w:val="•"/>
      <w:lvlJc w:val="left"/>
      <w:pPr>
        <w:tabs>
          <w:tab w:val="num" w:pos="5040"/>
        </w:tabs>
        <w:ind w:left="5040" w:hanging="360"/>
      </w:pPr>
      <w:rPr>
        <w:rFonts w:ascii="Arial" w:hAnsi="Arial" w:hint="default"/>
      </w:rPr>
    </w:lvl>
    <w:lvl w:ilvl="7" w:tplc="7F40438E" w:tentative="1">
      <w:start w:val="1"/>
      <w:numFmt w:val="bullet"/>
      <w:lvlText w:val="•"/>
      <w:lvlJc w:val="left"/>
      <w:pPr>
        <w:tabs>
          <w:tab w:val="num" w:pos="5760"/>
        </w:tabs>
        <w:ind w:left="5760" w:hanging="360"/>
      </w:pPr>
      <w:rPr>
        <w:rFonts w:ascii="Arial" w:hAnsi="Arial" w:hint="default"/>
      </w:rPr>
    </w:lvl>
    <w:lvl w:ilvl="8" w:tplc="28720D52" w:tentative="1">
      <w:start w:val="1"/>
      <w:numFmt w:val="bullet"/>
      <w:lvlText w:val="•"/>
      <w:lvlJc w:val="left"/>
      <w:pPr>
        <w:tabs>
          <w:tab w:val="num" w:pos="6480"/>
        </w:tabs>
        <w:ind w:left="6480" w:hanging="360"/>
      </w:pPr>
      <w:rPr>
        <w:rFonts w:ascii="Arial" w:hAnsi="Arial" w:hint="default"/>
      </w:rPr>
    </w:lvl>
  </w:abstractNum>
  <w:abstractNum w:abstractNumId="25">
    <w:nsid w:val="521D6FA7"/>
    <w:multiLevelType w:val="hybridMultilevel"/>
    <w:tmpl w:val="60CAA5F8"/>
    <w:lvl w:ilvl="0" w:tplc="A9F6B036">
      <w:start w:val="2"/>
      <w:numFmt w:val="decimal"/>
      <w:lvlText w:val="%1."/>
      <w:lvlJc w:val="left"/>
      <w:pPr>
        <w:tabs>
          <w:tab w:val="num" w:pos="720"/>
        </w:tabs>
        <w:ind w:left="720" w:hanging="360"/>
      </w:pPr>
    </w:lvl>
    <w:lvl w:ilvl="1" w:tplc="8884D590" w:tentative="1">
      <w:start w:val="1"/>
      <w:numFmt w:val="decimal"/>
      <w:lvlText w:val="%2."/>
      <w:lvlJc w:val="left"/>
      <w:pPr>
        <w:tabs>
          <w:tab w:val="num" w:pos="1440"/>
        </w:tabs>
        <w:ind w:left="1440" w:hanging="360"/>
      </w:pPr>
    </w:lvl>
    <w:lvl w:ilvl="2" w:tplc="A2564464">
      <w:start w:val="1"/>
      <w:numFmt w:val="decimal"/>
      <w:lvlText w:val="%3."/>
      <w:lvlJc w:val="left"/>
      <w:pPr>
        <w:tabs>
          <w:tab w:val="num" w:pos="2160"/>
        </w:tabs>
        <w:ind w:left="2160" w:hanging="360"/>
      </w:pPr>
    </w:lvl>
    <w:lvl w:ilvl="3" w:tplc="11B21C5C" w:tentative="1">
      <w:start w:val="1"/>
      <w:numFmt w:val="decimal"/>
      <w:lvlText w:val="%4."/>
      <w:lvlJc w:val="left"/>
      <w:pPr>
        <w:tabs>
          <w:tab w:val="num" w:pos="2880"/>
        </w:tabs>
        <w:ind w:left="2880" w:hanging="360"/>
      </w:pPr>
    </w:lvl>
    <w:lvl w:ilvl="4" w:tplc="49A21F30" w:tentative="1">
      <w:start w:val="1"/>
      <w:numFmt w:val="decimal"/>
      <w:lvlText w:val="%5."/>
      <w:lvlJc w:val="left"/>
      <w:pPr>
        <w:tabs>
          <w:tab w:val="num" w:pos="3600"/>
        </w:tabs>
        <w:ind w:left="3600" w:hanging="360"/>
      </w:pPr>
    </w:lvl>
    <w:lvl w:ilvl="5" w:tplc="C4F2EEC8" w:tentative="1">
      <w:start w:val="1"/>
      <w:numFmt w:val="decimal"/>
      <w:lvlText w:val="%6."/>
      <w:lvlJc w:val="left"/>
      <w:pPr>
        <w:tabs>
          <w:tab w:val="num" w:pos="4320"/>
        </w:tabs>
        <w:ind w:left="4320" w:hanging="360"/>
      </w:pPr>
    </w:lvl>
    <w:lvl w:ilvl="6" w:tplc="11707220" w:tentative="1">
      <w:start w:val="1"/>
      <w:numFmt w:val="decimal"/>
      <w:lvlText w:val="%7."/>
      <w:lvlJc w:val="left"/>
      <w:pPr>
        <w:tabs>
          <w:tab w:val="num" w:pos="5040"/>
        </w:tabs>
        <w:ind w:left="5040" w:hanging="360"/>
      </w:pPr>
    </w:lvl>
    <w:lvl w:ilvl="7" w:tplc="98940C7C" w:tentative="1">
      <w:start w:val="1"/>
      <w:numFmt w:val="decimal"/>
      <w:lvlText w:val="%8."/>
      <w:lvlJc w:val="left"/>
      <w:pPr>
        <w:tabs>
          <w:tab w:val="num" w:pos="5760"/>
        </w:tabs>
        <w:ind w:left="5760" w:hanging="360"/>
      </w:pPr>
    </w:lvl>
    <w:lvl w:ilvl="8" w:tplc="61DCA9E6" w:tentative="1">
      <w:start w:val="1"/>
      <w:numFmt w:val="decimal"/>
      <w:lvlText w:val="%9."/>
      <w:lvlJc w:val="left"/>
      <w:pPr>
        <w:tabs>
          <w:tab w:val="num" w:pos="6480"/>
        </w:tabs>
        <w:ind w:left="6480" w:hanging="360"/>
      </w:pPr>
    </w:lvl>
  </w:abstractNum>
  <w:abstractNum w:abstractNumId="26">
    <w:nsid w:val="54E521C9"/>
    <w:multiLevelType w:val="hybridMultilevel"/>
    <w:tmpl w:val="6994C38A"/>
    <w:lvl w:ilvl="0" w:tplc="33C8FCF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871994"/>
    <w:multiLevelType w:val="hybridMultilevel"/>
    <w:tmpl w:val="F5BCC706"/>
    <w:lvl w:ilvl="0" w:tplc="32EE36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0B349D"/>
    <w:multiLevelType w:val="hybridMultilevel"/>
    <w:tmpl w:val="9168EE10"/>
    <w:lvl w:ilvl="0" w:tplc="5AC828D8">
      <w:start w:val="1"/>
      <w:numFmt w:val="lowerRoman"/>
      <w:lvlText w:val="%1."/>
      <w:lvlJc w:val="left"/>
      <w:pPr>
        <w:tabs>
          <w:tab w:val="num" w:pos="720"/>
        </w:tabs>
        <w:ind w:left="720" w:hanging="360"/>
      </w:pPr>
      <w:rPr>
        <w:rFonts w:ascii="Times New Roman" w:eastAsia="Times New Roman" w:hAnsi="Times New Roman" w:cs="Times New Roman"/>
      </w:rPr>
    </w:lvl>
    <w:lvl w:ilvl="1" w:tplc="8C9CDC32" w:tentative="1">
      <w:start w:val="1"/>
      <w:numFmt w:val="bullet"/>
      <w:lvlText w:val="•"/>
      <w:lvlJc w:val="left"/>
      <w:pPr>
        <w:tabs>
          <w:tab w:val="num" w:pos="1440"/>
        </w:tabs>
        <w:ind w:left="1440" w:hanging="360"/>
      </w:pPr>
      <w:rPr>
        <w:rFonts w:ascii="Arial" w:hAnsi="Arial" w:hint="default"/>
      </w:rPr>
    </w:lvl>
    <w:lvl w:ilvl="2" w:tplc="F48675EC" w:tentative="1">
      <w:start w:val="1"/>
      <w:numFmt w:val="bullet"/>
      <w:lvlText w:val="•"/>
      <w:lvlJc w:val="left"/>
      <w:pPr>
        <w:tabs>
          <w:tab w:val="num" w:pos="2160"/>
        </w:tabs>
        <w:ind w:left="2160" w:hanging="360"/>
      </w:pPr>
      <w:rPr>
        <w:rFonts w:ascii="Arial" w:hAnsi="Arial" w:hint="default"/>
      </w:rPr>
    </w:lvl>
    <w:lvl w:ilvl="3" w:tplc="3866143C" w:tentative="1">
      <w:start w:val="1"/>
      <w:numFmt w:val="bullet"/>
      <w:lvlText w:val="•"/>
      <w:lvlJc w:val="left"/>
      <w:pPr>
        <w:tabs>
          <w:tab w:val="num" w:pos="2880"/>
        </w:tabs>
        <w:ind w:left="2880" w:hanging="360"/>
      </w:pPr>
      <w:rPr>
        <w:rFonts w:ascii="Arial" w:hAnsi="Arial" w:hint="default"/>
      </w:rPr>
    </w:lvl>
    <w:lvl w:ilvl="4" w:tplc="8BB4E506" w:tentative="1">
      <w:start w:val="1"/>
      <w:numFmt w:val="bullet"/>
      <w:lvlText w:val="•"/>
      <w:lvlJc w:val="left"/>
      <w:pPr>
        <w:tabs>
          <w:tab w:val="num" w:pos="3600"/>
        </w:tabs>
        <w:ind w:left="3600" w:hanging="360"/>
      </w:pPr>
      <w:rPr>
        <w:rFonts w:ascii="Arial" w:hAnsi="Arial" w:hint="default"/>
      </w:rPr>
    </w:lvl>
    <w:lvl w:ilvl="5" w:tplc="BF6C4C80" w:tentative="1">
      <w:start w:val="1"/>
      <w:numFmt w:val="bullet"/>
      <w:lvlText w:val="•"/>
      <w:lvlJc w:val="left"/>
      <w:pPr>
        <w:tabs>
          <w:tab w:val="num" w:pos="4320"/>
        </w:tabs>
        <w:ind w:left="4320" w:hanging="360"/>
      </w:pPr>
      <w:rPr>
        <w:rFonts w:ascii="Arial" w:hAnsi="Arial" w:hint="default"/>
      </w:rPr>
    </w:lvl>
    <w:lvl w:ilvl="6" w:tplc="54DE3C76" w:tentative="1">
      <w:start w:val="1"/>
      <w:numFmt w:val="bullet"/>
      <w:lvlText w:val="•"/>
      <w:lvlJc w:val="left"/>
      <w:pPr>
        <w:tabs>
          <w:tab w:val="num" w:pos="5040"/>
        </w:tabs>
        <w:ind w:left="5040" w:hanging="360"/>
      </w:pPr>
      <w:rPr>
        <w:rFonts w:ascii="Arial" w:hAnsi="Arial" w:hint="default"/>
      </w:rPr>
    </w:lvl>
    <w:lvl w:ilvl="7" w:tplc="FEC212FA" w:tentative="1">
      <w:start w:val="1"/>
      <w:numFmt w:val="bullet"/>
      <w:lvlText w:val="•"/>
      <w:lvlJc w:val="left"/>
      <w:pPr>
        <w:tabs>
          <w:tab w:val="num" w:pos="5760"/>
        </w:tabs>
        <w:ind w:left="5760" w:hanging="360"/>
      </w:pPr>
      <w:rPr>
        <w:rFonts w:ascii="Arial" w:hAnsi="Arial" w:hint="default"/>
      </w:rPr>
    </w:lvl>
    <w:lvl w:ilvl="8" w:tplc="857C4E42" w:tentative="1">
      <w:start w:val="1"/>
      <w:numFmt w:val="bullet"/>
      <w:lvlText w:val="•"/>
      <w:lvlJc w:val="left"/>
      <w:pPr>
        <w:tabs>
          <w:tab w:val="num" w:pos="6480"/>
        </w:tabs>
        <w:ind w:left="6480" w:hanging="360"/>
      </w:pPr>
      <w:rPr>
        <w:rFonts w:ascii="Arial" w:hAnsi="Arial" w:hint="default"/>
      </w:rPr>
    </w:lvl>
  </w:abstractNum>
  <w:abstractNum w:abstractNumId="29">
    <w:nsid w:val="5D4E3F2A"/>
    <w:multiLevelType w:val="hybridMultilevel"/>
    <w:tmpl w:val="925C7062"/>
    <w:lvl w:ilvl="0" w:tplc="A7F61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A14B4"/>
    <w:multiLevelType w:val="multilevel"/>
    <w:tmpl w:val="C0368F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FC474F"/>
    <w:multiLevelType w:val="hybridMultilevel"/>
    <w:tmpl w:val="AC443330"/>
    <w:lvl w:ilvl="0" w:tplc="17BCFA68">
      <w:start w:val="1"/>
      <w:numFmt w:val="bullet"/>
      <w:lvlText w:val="•"/>
      <w:lvlJc w:val="left"/>
      <w:pPr>
        <w:tabs>
          <w:tab w:val="num" w:pos="720"/>
        </w:tabs>
        <w:ind w:left="720" w:hanging="360"/>
      </w:pPr>
      <w:rPr>
        <w:rFonts w:ascii="Arial" w:hAnsi="Arial" w:hint="default"/>
      </w:rPr>
    </w:lvl>
    <w:lvl w:ilvl="1" w:tplc="EFBED66C">
      <w:start w:val="733"/>
      <w:numFmt w:val="bullet"/>
      <w:lvlText w:val="–"/>
      <w:lvlJc w:val="left"/>
      <w:pPr>
        <w:tabs>
          <w:tab w:val="num" w:pos="1440"/>
        </w:tabs>
        <w:ind w:left="1440" w:hanging="360"/>
      </w:pPr>
      <w:rPr>
        <w:rFonts w:ascii="Arial" w:hAnsi="Arial" w:hint="default"/>
      </w:rPr>
    </w:lvl>
    <w:lvl w:ilvl="2" w:tplc="957ADD40" w:tentative="1">
      <w:start w:val="1"/>
      <w:numFmt w:val="bullet"/>
      <w:lvlText w:val="•"/>
      <w:lvlJc w:val="left"/>
      <w:pPr>
        <w:tabs>
          <w:tab w:val="num" w:pos="2160"/>
        </w:tabs>
        <w:ind w:left="2160" w:hanging="360"/>
      </w:pPr>
      <w:rPr>
        <w:rFonts w:ascii="Arial" w:hAnsi="Arial" w:hint="default"/>
      </w:rPr>
    </w:lvl>
    <w:lvl w:ilvl="3" w:tplc="70ECA772" w:tentative="1">
      <w:start w:val="1"/>
      <w:numFmt w:val="bullet"/>
      <w:lvlText w:val="•"/>
      <w:lvlJc w:val="left"/>
      <w:pPr>
        <w:tabs>
          <w:tab w:val="num" w:pos="2880"/>
        </w:tabs>
        <w:ind w:left="2880" w:hanging="360"/>
      </w:pPr>
      <w:rPr>
        <w:rFonts w:ascii="Arial" w:hAnsi="Arial" w:hint="default"/>
      </w:rPr>
    </w:lvl>
    <w:lvl w:ilvl="4" w:tplc="329CFFBA" w:tentative="1">
      <w:start w:val="1"/>
      <w:numFmt w:val="bullet"/>
      <w:lvlText w:val="•"/>
      <w:lvlJc w:val="left"/>
      <w:pPr>
        <w:tabs>
          <w:tab w:val="num" w:pos="3600"/>
        </w:tabs>
        <w:ind w:left="3600" w:hanging="360"/>
      </w:pPr>
      <w:rPr>
        <w:rFonts w:ascii="Arial" w:hAnsi="Arial" w:hint="default"/>
      </w:rPr>
    </w:lvl>
    <w:lvl w:ilvl="5" w:tplc="291C87D2" w:tentative="1">
      <w:start w:val="1"/>
      <w:numFmt w:val="bullet"/>
      <w:lvlText w:val="•"/>
      <w:lvlJc w:val="left"/>
      <w:pPr>
        <w:tabs>
          <w:tab w:val="num" w:pos="4320"/>
        </w:tabs>
        <w:ind w:left="4320" w:hanging="360"/>
      </w:pPr>
      <w:rPr>
        <w:rFonts w:ascii="Arial" w:hAnsi="Arial" w:hint="default"/>
      </w:rPr>
    </w:lvl>
    <w:lvl w:ilvl="6" w:tplc="1152D53A" w:tentative="1">
      <w:start w:val="1"/>
      <w:numFmt w:val="bullet"/>
      <w:lvlText w:val="•"/>
      <w:lvlJc w:val="left"/>
      <w:pPr>
        <w:tabs>
          <w:tab w:val="num" w:pos="5040"/>
        </w:tabs>
        <w:ind w:left="5040" w:hanging="360"/>
      </w:pPr>
      <w:rPr>
        <w:rFonts w:ascii="Arial" w:hAnsi="Arial" w:hint="default"/>
      </w:rPr>
    </w:lvl>
    <w:lvl w:ilvl="7" w:tplc="CEA8AE04" w:tentative="1">
      <w:start w:val="1"/>
      <w:numFmt w:val="bullet"/>
      <w:lvlText w:val="•"/>
      <w:lvlJc w:val="left"/>
      <w:pPr>
        <w:tabs>
          <w:tab w:val="num" w:pos="5760"/>
        </w:tabs>
        <w:ind w:left="5760" w:hanging="360"/>
      </w:pPr>
      <w:rPr>
        <w:rFonts w:ascii="Arial" w:hAnsi="Arial" w:hint="default"/>
      </w:rPr>
    </w:lvl>
    <w:lvl w:ilvl="8" w:tplc="7E620DCE" w:tentative="1">
      <w:start w:val="1"/>
      <w:numFmt w:val="bullet"/>
      <w:lvlText w:val="•"/>
      <w:lvlJc w:val="left"/>
      <w:pPr>
        <w:tabs>
          <w:tab w:val="num" w:pos="6480"/>
        </w:tabs>
        <w:ind w:left="6480" w:hanging="360"/>
      </w:pPr>
      <w:rPr>
        <w:rFonts w:ascii="Arial" w:hAnsi="Arial" w:hint="default"/>
      </w:rPr>
    </w:lvl>
  </w:abstractNum>
  <w:abstractNum w:abstractNumId="32">
    <w:nsid w:val="60706FC8"/>
    <w:multiLevelType w:val="hybridMultilevel"/>
    <w:tmpl w:val="4482A144"/>
    <w:lvl w:ilvl="0" w:tplc="FB0C88B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012243"/>
    <w:multiLevelType w:val="hybridMultilevel"/>
    <w:tmpl w:val="2B3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8C7F2F"/>
    <w:multiLevelType w:val="hybridMultilevel"/>
    <w:tmpl w:val="2FEE16F4"/>
    <w:lvl w:ilvl="0" w:tplc="53E83FC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9B22B6"/>
    <w:multiLevelType w:val="hybridMultilevel"/>
    <w:tmpl w:val="CCEC27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D210E"/>
    <w:multiLevelType w:val="hybridMultilevel"/>
    <w:tmpl w:val="AB44B934"/>
    <w:lvl w:ilvl="0" w:tplc="56CC25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D15AD2"/>
    <w:multiLevelType w:val="hybridMultilevel"/>
    <w:tmpl w:val="713C85FE"/>
    <w:lvl w:ilvl="0" w:tplc="F6001330">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DC4288"/>
    <w:multiLevelType w:val="hybridMultilevel"/>
    <w:tmpl w:val="4F8ACD92"/>
    <w:lvl w:ilvl="0" w:tplc="184C8B70">
      <w:start w:val="1"/>
      <w:numFmt w:val="lowerRoman"/>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E81C60"/>
    <w:multiLevelType w:val="hybridMultilevel"/>
    <w:tmpl w:val="2A681DEC"/>
    <w:lvl w:ilvl="0" w:tplc="5F6AFD2A">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9A6644"/>
    <w:multiLevelType w:val="hybridMultilevel"/>
    <w:tmpl w:val="83689C1C"/>
    <w:lvl w:ilvl="0" w:tplc="758852C0">
      <w:start w:val="1"/>
      <w:numFmt w:val="lowerRoman"/>
      <w:lvlText w:val="%1."/>
      <w:lvlJc w:val="left"/>
      <w:pPr>
        <w:tabs>
          <w:tab w:val="num" w:pos="1080"/>
        </w:tabs>
        <w:ind w:left="1080" w:hanging="72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7"/>
  </w:num>
  <w:num w:numId="2">
    <w:abstractNumId w:val="40"/>
  </w:num>
  <w:num w:numId="3">
    <w:abstractNumId w:val="26"/>
  </w:num>
  <w:num w:numId="4">
    <w:abstractNumId w:val="10"/>
  </w:num>
  <w:num w:numId="5">
    <w:abstractNumId w:val="39"/>
  </w:num>
  <w:num w:numId="6">
    <w:abstractNumId w:val="9"/>
  </w:num>
  <w:num w:numId="7">
    <w:abstractNumId w:val="3"/>
  </w:num>
  <w:num w:numId="8">
    <w:abstractNumId w:val="1"/>
  </w:num>
  <w:num w:numId="9">
    <w:abstractNumId w:val="23"/>
  </w:num>
  <w:num w:numId="10">
    <w:abstractNumId w:val="20"/>
  </w:num>
  <w:num w:numId="11">
    <w:abstractNumId w:val="12"/>
  </w:num>
  <w:num w:numId="12">
    <w:abstractNumId w:val="5"/>
  </w:num>
  <w:num w:numId="13">
    <w:abstractNumId w:val="30"/>
  </w:num>
  <w:num w:numId="14">
    <w:abstractNumId w:val="2"/>
  </w:num>
  <w:num w:numId="15">
    <w:abstractNumId w:val="11"/>
  </w:num>
  <w:num w:numId="16">
    <w:abstractNumId w:val="27"/>
  </w:num>
  <w:num w:numId="17">
    <w:abstractNumId w:val="38"/>
  </w:num>
  <w:num w:numId="18">
    <w:abstractNumId w:val="22"/>
  </w:num>
  <w:num w:numId="19">
    <w:abstractNumId w:val="35"/>
  </w:num>
  <w:num w:numId="20">
    <w:abstractNumId w:val="16"/>
  </w:num>
  <w:num w:numId="21">
    <w:abstractNumId w:val="29"/>
  </w:num>
  <w:num w:numId="22">
    <w:abstractNumId w:val="21"/>
  </w:num>
  <w:num w:numId="23">
    <w:abstractNumId w:val="6"/>
  </w:num>
  <w:num w:numId="24">
    <w:abstractNumId w:val="37"/>
  </w:num>
  <w:num w:numId="25">
    <w:abstractNumId w:val="13"/>
  </w:num>
  <w:num w:numId="26">
    <w:abstractNumId w:val="19"/>
  </w:num>
  <w:num w:numId="27">
    <w:abstractNumId w:val="15"/>
  </w:num>
  <w:num w:numId="28">
    <w:abstractNumId w:val="8"/>
  </w:num>
  <w:num w:numId="29">
    <w:abstractNumId w:val="18"/>
  </w:num>
  <w:num w:numId="30">
    <w:abstractNumId w:val="32"/>
  </w:num>
  <w:num w:numId="31">
    <w:abstractNumId w:val="34"/>
  </w:num>
  <w:num w:numId="32">
    <w:abstractNumId w:val="4"/>
  </w:num>
  <w:num w:numId="33">
    <w:abstractNumId w:val="28"/>
  </w:num>
  <w:num w:numId="34">
    <w:abstractNumId w:val="14"/>
  </w:num>
  <w:num w:numId="35">
    <w:abstractNumId w:val="25"/>
  </w:num>
  <w:num w:numId="36">
    <w:abstractNumId w:val="31"/>
  </w:num>
  <w:num w:numId="37">
    <w:abstractNumId w:val="0"/>
  </w:num>
  <w:num w:numId="38">
    <w:abstractNumId w:val="24"/>
  </w:num>
  <w:num w:numId="39">
    <w:abstractNumId w:val="17"/>
  </w:num>
  <w:num w:numId="40">
    <w:abstractNumId w:val="36"/>
  </w:num>
  <w:num w:numId="41">
    <w:abstractNumId w:val="3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7670E9"/>
    <w:rsid w:val="00000931"/>
    <w:rsid w:val="000010E9"/>
    <w:rsid w:val="0000266F"/>
    <w:rsid w:val="000033F0"/>
    <w:rsid w:val="000033F1"/>
    <w:rsid w:val="00003494"/>
    <w:rsid w:val="0000370B"/>
    <w:rsid w:val="000039E9"/>
    <w:rsid w:val="00004261"/>
    <w:rsid w:val="000042D0"/>
    <w:rsid w:val="00005744"/>
    <w:rsid w:val="000062BE"/>
    <w:rsid w:val="00006D87"/>
    <w:rsid w:val="00006E1E"/>
    <w:rsid w:val="00007155"/>
    <w:rsid w:val="000072F8"/>
    <w:rsid w:val="00007EF7"/>
    <w:rsid w:val="00010804"/>
    <w:rsid w:val="00011527"/>
    <w:rsid w:val="000116B5"/>
    <w:rsid w:val="00012688"/>
    <w:rsid w:val="00012CC4"/>
    <w:rsid w:val="000132B3"/>
    <w:rsid w:val="000132D0"/>
    <w:rsid w:val="00013B9D"/>
    <w:rsid w:val="00014065"/>
    <w:rsid w:val="0001478E"/>
    <w:rsid w:val="00014B8D"/>
    <w:rsid w:val="00015CFB"/>
    <w:rsid w:val="000169F8"/>
    <w:rsid w:val="00016B73"/>
    <w:rsid w:val="00016F16"/>
    <w:rsid w:val="00017854"/>
    <w:rsid w:val="0001794B"/>
    <w:rsid w:val="00017CAA"/>
    <w:rsid w:val="00020DF7"/>
    <w:rsid w:val="000213D1"/>
    <w:rsid w:val="00021742"/>
    <w:rsid w:val="000246B2"/>
    <w:rsid w:val="000259FB"/>
    <w:rsid w:val="000260BB"/>
    <w:rsid w:val="00026ACB"/>
    <w:rsid w:val="00026C16"/>
    <w:rsid w:val="00030DFD"/>
    <w:rsid w:val="000317D8"/>
    <w:rsid w:val="00031CA1"/>
    <w:rsid w:val="00031D3A"/>
    <w:rsid w:val="00032C04"/>
    <w:rsid w:val="00033897"/>
    <w:rsid w:val="0003475D"/>
    <w:rsid w:val="0003530A"/>
    <w:rsid w:val="00035D47"/>
    <w:rsid w:val="0003651B"/>
    <w:rsid w:val="00037046"/>
    <w:rsid w:val="00037986"/>
    <w:rsid w:val="00040B96"/>
    <w:rsid w:val="00040C74"/>
    <w:rsid w:val="0004117E"/>
    <w:rsid w:val="000428BF"/>
    <w:rsid w:val="0004435D"/>
    <w:rsid w:val="00044581"/>
    <w:rsid w:val="0004521F"/>
    <w:rsid w:val="000453BE"/>
    <w:rsid w:val="00045829"/>
    <w:rsid w:val="00045B52"/>
    <w:rsid w:val="00045E72"/>
    <w:rsid w:val="000461B1"/>
    <w:rsid w:val="00052DFC"/>
    <w:rsid w:val="0005344B"/>
    <w:rsid w:val="000537F2"/>
    <w:rsid w:val="0005397F"/>
    <w:rsid w:val="00054EC8"/>
    <w:rsid w:val="00055748"/>
    <w:rsid w:val="0005589B"/>
    <w:rsid w:val="00055964"/>
    <w:rsid w:val="000564EC"/>
    <w:rsid w:val="0005703F"/>
    <w:rsid w:val="000572FE"/>
    <w:rsid w:val="00060A15"/>
    <w:rsid w:val="00060E62"/>
    <w:rsid w:val="000611B9"/>
    <w:rsid w:val="0006182C"/>
    <w:rsid w:val="00061B26"/>
    <w:rsid w:val="00061D3B"/>
    <w:rsid w:val="00062F72"/>
    <w:rsid w:val="00063262"/>
    <w:rsid w:val="00063712"/>
    <w:rsid w:val="00063D94"/>
    <w:rsid w:val="0006536E"/>
    <w:rsid w:val="00065454"/>
    <w:rsid w:val="00066B19"/>
    <w:rsid w:val="00066FB0"/>
    <w:rsid w:val="000672C8"/>
    <w:rsid w:val="00067316"/>
    <w:rsid w:val="0006748D"/>
    <w:rsid w:val="00067511"/>
    <w:rsid w:val="00067A25"/>
    <w:rsid w:val="00067E01"/>
    <w:rsid w:val="000704F8"/>
    <w:rsid w:val="00070D04"/>
    <w:rsid w:val="000733CD"/>
    <w:rsid w:val="00073DE9"/>
    <w:rsid w:val="00074EB3"/>
    <w:rsid w:val="00075224"/>
    <w:rsid w:val="000754CD"/>
    <w:rsid w:val="000754E6"/>
    <w:rsid w:val="000759F7"/>
    <w:rsid w:val="00081FF6"/>
    <w:rsid w:val="0008212E"/>
    <w:rsid w:val="000829F5"/>
    <w:rsid w:val="00082FCC"/>
    <w:rsid w:val="0008315D"/>
    <w:rsid w:val="0008391B"/>
    <w:rsid w:val="00084D04"/>
    <w:rsid w:val="00085210"/>
    <w:rsid w:val="00085741"/>
    <w:rsid w:val="0008658A"/>
    <w:rsid w:val="00091B67"/>
    <w:rsid w:val="00091EA8"/>
    <w:rsid w:val="00093809"/>
    <w:rsid w:val="00094CCD"/>
    <w:rsid w:val="0009509A"/>
    <w:rsid w:val="0009545D"/>
    <w:rsid w:val="00095D10"/>
    <w:rsid w:val="00096158"/>
    <w:rsid w:val="0009729B"/>
    <w:rsid w:val="0009740C"/>
    <w:rsid w:val="00097DEC"/>
    <w:rsid w:val="000A298B"/>
    <w:rsid w:val="000A3D8A"/>
    <w:rsid w:val="000A4921"/>
    <w:rsid w:val="000A4E9B"/>
    <w:rsid w:val="000A67B7"/>
    <w:rsid w:val="000A6F8B"/>
    <w:rsid w:val="000A6FF5"/>
    <w:rsid w:val="000A7A37"/>
    <w:rsid w:val="000B0499"/>
    <w:rsid w:val="000B12D4"/>
    <w:rsid w:val="000B2BFF"/>
    <w:rsid w:val="000B2F17"/>
    <w:rsid w:val="000B368B"/>
    <w:rsid w:val="000B41D5"/>
    <w:rsid w:val="000B4385"/>
    <w:rsid w:val="000B4B09"/>
    <w:rsid w:val="000B4E44"/>
    <w:rsid w:val="000B669E"/>
    <w:rsid w:val="000B6924"/>
    <w:rsid w:val="000B6BB1"/>
    <w:rsid w:val="000C01C0"/>
    <w:rsid w:val="000C0D50"/>
    <w:rsid w:val="000C1816"/>
    <w:rsid w:val="000C203C"/>
    <w:rsid w:val="000C37A8"/>
    <w:rsid w:val="000C5031"/>
    <w:rsid w:val="000C6D2E"/>
    <w:rsid w:val="000C6FE2"/>
    <w:rsid w:val="000C7009"/>
    <w:rsid w:val="000C799E"/>
    <w:rsid w:val="000D0759"/>
    <w:rsid w:val="000D1948"/>
    <w:rsid w:val="000D2453"/>
    <w:rsid w:val="000D2589"/>
    <w:rsid w:val="000D259B"/>
    <w:rsid w:val="000D284B"/>
    <w:rsid w:val="000D2987"/>
    <w:rsid w:val="000D2D0C"/>
    <w:rsid w:val="000D39B3"/>
    <w:rsid w:val="000D3ADC"/>
    <w:rsid w:val="000D4588"/>
    <w:rsid w:val="000D5A60"/>
    <w:rsid w:val="000D6C9D"/>
    <w:rsid w:val="000D70CC"/>
    <w:rsid w:val="000E08B7"/>
    <w:rsid w:val="000E09D9"/>
    <w:rsid w:val="000E0B9C"/>
    <w:rsid w:val="000E1966"/>
    <w:rsid w:val="000E1D2C"/>
    <w:rsid w:val="000E2198"/>
    <w:rsid w:val="000E2403"/>
    <w:rsid w:val="000E29DD"/>
    <w:rsid w:val="000E423A"/>
    <w:rsid w:val="000E49C7"/>
    <w:rsid w:val="000E6312"/>
    <w:rsid w:val="000E6CFD"/>
    <w:rsid w:val="000E797E"/>
    <w:rsid w:val="000F0CB8"/>
    <w:rsid w:val="000F125F"/>
    <w:rsid w:val="000F1435"/>
    <w:rsid w:val="000F1709"/>
    <w:rsid w:val="000F1901"/>
    <w:rsid w:val="000F20AD"/>
    <w:rsid w:val="000F22A0"/>
    <w:rsid w:val="000F2F1B"/>
    <w:rsid w:val="000F3706"/>
    <w:rsid w:val="000F3861"/>
    <w:rsid w:val="000F471E"/>
    <w:rsid w:val="000F51A5"/>
    <w:rsid w:val="000F5363"/>
    <w:rsid w:val="000F5507"/>
    <w:rsid w:val="000F5A6E"/>
    <w:rsid w:val="000F5C31"/>
    <w:rsid w:val="000F6181"/>
    <w:rsid w:val="000F6489"/>
    <w:rsid w:val="000F79DC"/>
    <w:rsid w:val="00100CB7"/>
    <w:rsid w:val="001011FD"/>
    <w:rsid w:val="0010214A"/>
    <w:rsid w:val="001041AA"/>
    <w:rsid w:val="00104804"/>
    <w:rsid w:val="00104A0B"/>
    <w:rsid w:val="00104B39"/>
    <w:rsid w:val="00104F3B"/>
    <w:rsid w:val="001056D9"/>
    <w:rsid w:val="00106050"/>
    <w:rsid w:val="0010610F"/>
    <w:rsid w:val="001067E9"/>
    <w:rsid w:val="0011148E"/>
    <w:rsid w:val="001124B8"/>
    <w:rsid w:val="00114619"/>
    <w:rsid w:val="0011517E"/>
    <w:rsid w:val="00116043"/>
    <w:rsid w:val="00117753"/>
    <w:rsid w:val="001203A6"/>
    <w:rsid w:val="00120666"/>
    <w:rsid w:val="00120993"/>
    <w:rsid w:val="00121202"/>
    <w:rsid w:val="00121C49"/>
    <w:rsid w:val="00121CAD"/>
    <w:rsid w:val="00122055"/>
    <w:rsid w:val="001229F3"/>
    <w:rsid w:val="00122DAE"/>
    <w:rsid w:val="00123855"/>
    <w:rsid w:val="00123EE3"/>
    <w:rsid w:val="00124FDB"/>
    <w:rsid w:val="001250E0"/>
    <w:rsid w:val="00125AB2"/>
    <w:rsid w:val="001270C8"/>
    <w:rsid w:val="00130082"/>
    <w:rsid w:val="00131A68"/>
    <w:rsid w:val="00132F85"/>
    <w:rsid w:val="00133298"/>
    <w:rsid w:val="001332D0"/>
    <w:rsid w:val="00133553"/>
    <w:rsid w:val="001346C4"/>
    <w:rsid w:val="00135314"/>
    <w:rsid w:val="001357A9"/>
    <w:rsid w:val="00135B32"/>
    <w:rsid w:val="001368BD"/>
    <w:rsid w:val="00140229"/>
    <w:rsid w:val="0014025F"/>
    <w:rsid w:val="0014107C"/>
    <w:rsid w:val="001427E5"/>
    <w:rsid w:val="00142A06"/>
    <w:rsid w:val="00142C77"/>
    <w:rsid w:val="00142EE2"/>
    <w:rsid w:val="00145151"/>
    <w:rsid w:val="00146BAB"/>
    <w:rsid w:val="001506DB"/>
    <w:rsid w:val="00150D79"/>
    <w:rsid w:val="001516FD"/>
    <w:rsid w:val="001538AE"/>
    <w:rsid w:val="00153DBC"/>
    <w:rsid w:val="0015403F"/>
    <w:rsid w:val="0015486E"/>
    <w:rsid w:val="00154F44"/>
    <w:rsid w:val="00156250"/>
    <w:rsid w:val="00156E9A"/>
    <w:rsid w:val="0015784B"/>
    <w:rsid w:val="00157E66"/>
    <w:rsid w:val="00160E9E"/>
    <w:rsid w:val="00161D32"/>
    <w:rsid w:val="001627C3"/>
    <w:rsid w:val="001629A7"/>
    <w:rsid w:val="00163848"/>
    <w:rsid w:val="001638E6"/>
    <w:rsid w:val="00163CE5"/>
    <w:rsid w:val="00164098"/>
    <w:rsid w:val="00165CE0"/>
    <w:rsid w:val="0016636C"/>
    <w:rsid w:val="0016793B"/>
    <w:rsid w:val="00167FD7"/>
    <w:rsid w:val="00170357"/>
    <w:rsid w:val="00170DF4"/>
    <w:rsid w:val="001717D1"/>
    <w:rsid w:val="00171EE4"/>
    <w:rsid w:val="00174239"/>
    <w:rsid w:val="001755CD"/>
    <w:rsid w:val="00176437"/>
    <w:rsid w:val="00176987"/>
    <w:rsid w:val="00176D3C"/>
    <w:rsid w:val="00177ABD"/>
    <w:rsid w:val="00180450"/>
    <w:rsid w:val="0018086E"/>
    <w:rsid w:val="00180E57"/>
    <w:rsid w:val="0018144F"/>
    <w:rsid w:val="0018210A"/>
    <w:rsid w:val="00184455"/>
    <w:rsid w:val="00184C14"/>
    <w:rsid w:val="001874C4"/>
    <w:rsid w:val="0018794C"/>
    <w:rsid w:val="00187F7E"/>
    <w:rsid w:val="00190288"/>
    <w:rsid w:val="00191163"/>
    <w:rsid w:val="00191386"/>
    <w:rsid w:val="00191FEF"/>
    <w:rsid w:val="001926B6"/>
    <w:rsid w:val="00193038"/>
    <w:rsid w:val="001930C5"/>
    <w:rsid w:val="00193323"/>
    <w:rsid w:val="00193FED"/>
    <w:rsid w:val="001949D4"/>
    <w:rsid w:val="001962D6"/>
    <w:rsid w:val="00196803"/>
    <w:rsid w:val="00197826"/>
    <w:rsid w:val="00197A3C"/>
    <w:rsid w:val="001A0728"/>
    <w:rsid w:val="001A0944"/>
    <w:rsid w:val="001A0971"/>
    <w:rsid w:val="001A0CEC"/>
    <w:rsid w:val="001A1393"/>
    <w:rsid w:val="001A1D80"/>
    <w:rsid w:val="001A218C"/>
    <w:rsid w:val="001A2E67"/>
    <w:rsid w:val="001A39FD"/>
    <w:rsid w:val="001A4F5A"/>
    <w:rsid w:val="001A5548"/>
    <w:rsid w:val="001A5C13"/>
    <w:rsid w:val="001A5D11"/>
    <w:rsid w:val="001A651F"/>
    <w:rsid w:val="001A79D5"/>
    <w:rsid w:val="001B00A8"/>
    <w:rsid w:val="001B00D2"/>
    <w:rsid w:val="001B0EEA"/>
    <w:rsid w:val="001B113F"/>
    <w:rsid w:val="001B1BB3"/>
    <w:rsid w:val="001B1C58"/>
    <w:rsid w:val="001B1E23"/>
    <w:rsid w:val="001B2A6B"/>
    <w:rsid w:val="001B2D50"/>
    <w:rsid w:val="001B4628"/>
    <w:rsid w:val="001B535F"/>
    <w:rsid w:val="001B6127"/>
    <w:rsid w:val="001B635E"/>
    <w:rsid w:val="001B6F11"/>
    <w:rsid w:val="001B7280"/>
    <w:rsid w:val="001B7F9D"/>
    <w:rsid w:val="001C0547"/>
    <w:rsid w:val="001C1A2F"/>
    <w:rsid w:val="001C213E"/>
    <w:rsid w:val="001C29BF"/>
    <w:rsid w:val="001C3856"/>
    <w:rsid w:val="001C41F4"/>
    <w:rsid w:val="001C4E27"/>
    <w:rsid w:val="001C5249"/>
    <w:rsid w:val="001C65A0"/>
    <w:rsid w:val="001C6733"/>
    <w:rsid w:val="001C67D0"/>
    <w:rsid w:val="001C6E6F"/>
    <w:rsid w:val="001D0147"/>
    <w:rsid w:val="001D0A7C"/>
    <w:rsid w:val="001D2873"/>
    <w:rsid w:val="001D2FC3"/>
    <w:rsid w:val="001D32C0"/>
    <w:rsid w:val="001D3D56"/>
    <w:rsid w:val="001D58CD"/>
    <w:rsid w:val="001D708A"/>
    <w:rsid w:val="001D7773"/>
    <w:rsid w:val="001D784B"/>
    <w:rsid w:val="001D7C40"/>
    <w:rsid w:val="001E0A2A"/>
    <w:rsid w:val="001E225B"/>
    <w:rsid w:val="001E2EE5"/>
    <w:rsid w:val="001E4A94"/>
    <w:rsid w:val="001E6430"/>
    <w:rsid w:val="001E715A"/>
    <w:rsid w:val="001E7705"/>
    <w:rsid w:val="001E78A2"/>
    <w:rsid w:val="001F0205"/>
    <w:rsid w:val="001F04EC"/>
    <w:rsid w:val="001F0EE2"/>
    <w:rsid w:val="001F10D9"/>
    <w:rsid w:val="001F1A3A"/>
    <w:rsid w:val="001F1D93"/>
    <w:rsid w:val="001F1FFC"/>
    <w:rsid w:val="001F2134"/>
    <w:rsid w:val="001F21ED"/>
    <w:rsid w:val="001F2EA1"/>
    <w:rsid w:val="001F31B9"/>
    <w:rsid w:val="001F38D6"/>
    <w:rsid w:val="001F39AC"/>
    <w:rsid w:val="001F434E"/>
    <w:rsid w:val="001F60B6"/>
    <w:rsid w:val="001F6336"/>
    <w:rsid w:val="001F655A"/>
    <w:rsid w:val="001F65AA"/>
    <w:rsid w:val="001F6F3F"/>
    <w:rsid w:val="001F7D5F"/>
    <w:rsid w:val="002000AF"/>
    <w:rsid w:val="002025CE"/>
    <w:rsid w:val="00202990"/>
    <w:rsid w:val="00204DE9"/>
    <w:rsid w:val="002069C9"/>
    <w:rsid w:val="00207496"/>
    <w:rsid w:val="00207757"/>
    <w:rsid w:val="002103C4"/>
    <w:rsid w:val="00210422"/>
    <w:rsid w:val="002109FB"/>
    <w:rsid w:val="0021135D"/>
    <w:rsid w:val="0021163B"/>
    <w:rsid w:val="00211E96"/>
    <w:rsid w:val="002120BE"/>
    <w:rsid w:val="0021219F"/>
    <w:rsid w:val="002129CA"/>
    <w:rsid w:val="00212B3D"/>
    <w:rsid w:val="00212CC8"/>
    <w:rsid w:val="0021359E"/>
    <w:rsid w:val="0021470B"/>
    <w:rsid w:val="00214C8B"/>
    <w:rsid w:val="0021510C"/>
    <w:rsid w:val="00215992"/>
    <w:rsid w:val="00216580"/>
    <w:rsid w:val="00217104"/>
    <w:rsid w:val="00217A91"/>
    <w:rsid w:val="00217D53"/>
    <w:rsid w:val="00220303"/>
    <w:rsid w:val="00220940"/>
    <w:rsid w:val="00222097"/>
    <w:rsid w:val="00222764"/>
    <w:rsid w:val="00222A3A"/>
    <w:rsid w:val="00223E61"/>
    <w:rsid w:val="00224645"/>
    <w:rsid w:val="0022478A"/>
    <w:rsid w:val="00225CA0"/>
    <w:rsid w:val="00225D2C"/>
    <w:rsid w:val="00225E91"/>
    <w:rsid w:val="002264C8"/>
    <w:rsid w:val="00226B43"/>
    <w:rsid w:val="00227402"/>
    <w:rsid w:val="00227A4B"/>
    <w:rsid w:val="002309A1"/>
    <w:rsid w:val="00231B75"/>
    <w:rsid w:val="00231E5C"/>
    <w:rsid w:val="00234CA0"/>
    <w:rsid w:val="0023677E"/>
    <w:rsid w:val="00237868"/>
    <w:rsid w:val="00237A8B"/>
    <w:rsid w:val="002401D4"/>
    <w:rsid w:val="00240A19"/>
    <w:rsid w:val="0024166C"/>
    <w:rsid w:val="00241E22"/>
    <w:rsid w:val="00243EBE"/>
    <w:rsid w:val="0024442C"/>
    <w:rsid w:val="002444ED"/>
    <w:rsid w:val="002445F7"/>
    <w:rsid w:val="002447D2"/>
    <w:rsid w:val="00244DEC"/>
    <w:rsid w:val="00245B8C"/>
    <w:rsid w:val="00245DF3"/>
    <w:rsid w:val="0024650D"/>
    <w:rsid w:val="00246758"/>
    <w:rsid w:val="00246D9E"/>
    <w:rsid w:val="00247776"/>
    <w:rsid w:val="002478DA"/>
    <w:rsid w:val="002515AB"/>
    <w:rsid w:val="0025239D"/>
    <w:rsid w:val="00252564"/>
    <w:rsid w:val="0025542B"/>
    <w:rsid w:val="00255B29"/>
    <w:rsid w:val="00257239"/>
    <w:rsid w:val="00257A71"/>
    <w:rsid w:val="00257E78"/>
    <w:rsid w:val="002618C5"/>
    <w:rsid w:val="00261BC5"/>
    <w:rsid w:val="00261E63"/>
    <w:rsid w:val="0026312E"/>
    <w:rsid w:val="00263551"/>
    <w:rsid w:val="002638CF"/>
    <w:rsid w:val="0026431C"/>
    <w:rsid w:val="00264B39"/>
    <w:rsid w:val="00264EEA"/>
    <w:rsid w:val="002651DE"/>
    <w:rsid w:val="00265957"/>
    <w:rsid w:val="002670B6"/>
    <w:rsid w:val="00267823"/>
    <w:rsid w:val="00267BEC"/>
    <w:rsid w:val="00270AAA"/>
    <w:rsid w:val="00270C8C"/>
    <w:rsid w:val="00270FC4"/>
    <w:rsid w:val="00271C96"/>
    <w:rsid w:val="0027574B"/>
    <w:rsid w:val="00276727"/>
    <w:rsid w:val="00277BE8"/>
    <w:rsid w:val="00277C6C"/>
    <w:rsid w:val="00277C7A"/>
    <w:rsid w:val="002805FF"/>
    <w:rsid w:val="00280A1A"/>
    <w:rsid w:val="00281729"/>
    <w:rsid w:val="00281D9D"/>
    <w:rsid w:val="002826EC"/>
    <w:rsid w:val="002836D5"/>
    <w:rsid w:val="00283B69"/>
    <w:rsid w:val="00284ABC"/>
    <w:rsid w:val="00286F37"/>
    <w:rsid w:val="00287972"/>
    <w:rsid w:val="0029043A"/>
    <w:rsid w:val="002930FC"/>
    <w:rsid w:val="00293381"/>
    <w:rsid w:val="00293B77"/>
    <w:rsid w:val="00294569"/>
    <w:rsid w:val="00295BF2"/>
    <w:rsid w:val="002A0153"/>
    <w:rsid w:val="002A1646"/>
    <w:rsid w:val="002A1830"/>
    <w:rsid w:val="002A199A"/>
    <w:rsid w:val="002A28E0"/>
    <w:rsid w:val="002A380D"/>
    <w:rsid w:val="002A3812"/>
    <w:rsid w:val="002A388A"/>
    <w:rsid w:val="002A4FBB"/>
    <w:rsid w:val="002A5770"/>
    <w:rsid w:val="002A6392"/>
    <w:rsid w:val="002A78BA"/>
    <w:rsid w:val="002A7F54"/>
    <w:rsid w:val="002B00DB"/>
    <w:rsid w:val="002B1030"/>
    <w:rsid w:val="002B1157"/>
    <w:rsid w:val="002B1F91"/>
    <w:rsid w:val="002B219E"/>
    <w:rsid w:val="002B2B89"/>
    <w:rsid w:val="002B2BA2"/>
    <w:rsid w:val="002B4679"/>
    <w:rsid w:val="002B48AE"/>
    <w:rsid w:val="002B4B02"/>
    <w:rsid w:val="002B4B74"/>
    <w:rsid w:val="002B4F4C"/>
    <w:rsid w:val="002B6AFF"/>
    <w:rsid w:val="002B7BF4"/>
    <w:rsid w:val="002B7C51"/>
    <w:rsid w:val="002C05DC"/>
    <w:rsid w:val="002C185B"/>
    <w:rsid w:val="002C203E"/>
    <w:rsid w:val="002C2F32"/>
    <w:rsid w:val="002C32DD"/>
    <w:rsid w:val="002C3391"/>
    <w:rsid w:val="002C3E99"/>
    <w:rsid w:val="002C40AE"/>
    <w:rsid w:val="002C539B"/>
    <w:rsid w:val="002C59CE"/>
    <w:rsid w:val="002C7BAC"/>
    <w:rsid w:val="002D0129"/>
    <w:rsid w:val="002D0D06"/>
    <w:rsid w:val="002D0ED8"/>
    <w:rsid w:val="002D318A"/>
    <w:rsid w:val="002D349C"/>
    <w:rsid w:val="002D37C6"/>
    <w:rsid w:val="002D3FD7"/>
    <w:rsid w:val="002D43B6"/>
    <w:rsid w:val="002D501E"/>
    <w:rsid w:val="002D5143"/>
    <w:rsid w:val="002D548A"/>
    <w:rsid w:val="002D5ED0"/>
    <w:rsid w:val="002D6418"/>
    <w:rsid w:val="002D798E"/>
    <w:rsid w:val="002E0D10"/>
    <w:rsid w:val="002E11C4"/>
    <w:rsid w:val="002E11EA"/>
    <w:rsid w:val="002E1BE6"/>
    <w:rsid w:val="002E2159"/>
    <w:rsid w:val="002E30FE"/>
    <w:rsid w:val="002E313A"/>
    <w:rsid w:val="002E3DD8"/>
    <w:rsid w:val="002E3E39"/>
    <w:rsid w:val="002E5487"/>
    <w:rsid w:val="002E57FD"/>
    <w:rsid w:val="002E5A9F"/>
    <w:rsid w:val="002E5C79"/>
    <w:rsid w:val="002E5F87"/>
    <w:rsid w:val="002E6723"/>
    <w:rsid w:val="002E7DF4"/>
    <w:rsid w:val="002F0933"/>
    <w:rsid w:val="002F0E28"/>
    <w:rsid w:val="002F1444"/>
    <w:rsid w:val="002F1A9A"/>
    <w:rsid w:val="002F1BAA"/>
    <w:rsid w:val="002F252C"/>
    <w:rsid w:val="002F270B"/>
    <w:rsid w:val="002F28A8"/>
    <w:rsid w:val="002F2E0C"/>
    <w:rsid w:val="002F3F90"/>
    <w:rsid w:val="002F526B"/>
    <w:rsid w:val="002F532F"/>
    <w:rsid w:val="002F5969"/>
    <w:rsid w:val="003015F5"/>
    <w:rsid w:val="00301A4F"/>
    <w:rsid w:val="00303B9C"/>
    <w:rsid w:val="00305DBA"/>
    <w:rsid w:val="00307162"/>
    <w:rsid w:val="003078D3"/>
    <w:rsid w:val="00307C47"/>
    <w:rsid w:val="00310F6D"/>
    <w:rsid w:val="00311845"/>
    <w:rsid w:val="00312E4E"/>
    <w:rsid w:val="003133A3"/>
    <w:rsid w:val="0031350B"/>
    <w:rsid w:val="003136A9"/>
    <w:rsid w:val="00314DD8"/>
    <w:rsid w:val="003156C4"/>
    <w:rsid w:val="00315E79"/>
    <w:rsid w:val="003164DC"/>
    <w:rsid w:val="003168D4"/>
    <w:rsid w:val="00320017"/>
    <w:rsid w:val="0032015F"/>
    <w:rsid w:val="0032271D"/>
    <w:rsid w:val="0032336C"/>
    <w:rsid w:val="00323883"/>
    <w:rsid w:val="00324891"/>
    <w:rsid w:val="00324F78"/>
    <w:rsid w:val="00325584"/>
    <w:rsid w:val="003256EE"/>
    <w:rsid w:val="00325ACC"/>
    <w:rsid w:val="0032620F"/>
    <w:rsid w:val="00330DB0"/>
    <w:rsid w:val="003313F2"/>
    <w:rsid w:val="00334D75"/>
    <w:rsid w:val="00336B6E"/>
    <w:rsid w:val="00337810"/>
    <w:rsid w:val="00340983"/>
    <w:rsid w:val="0034191D"/>
    <w:rsid w:val="00342733"/>
    <w:rsid w:val="0034309C"/>
    <w:rsid w:val="003430D4"/>
    <w:rsid w:val="00343BDB"/>
    <w:rsid w:val="003441C1"/>
    <w:rsid w:val="00346CCD"/>
    <w:rsid w:val="00346D99"/>
    <w:rsid w:val="00347B79"/>
    <w:rsid w:val="0035112E"/>
    <w:rsid w:val="00351983"/>
    <w:rsid w:val="00352C35"/>
    <w:rsid w:val="00353194"/>
    <w:rsid w:val="003535A0"/>
    <w:rsid w:val="00353C13"/>
    <w:rsid w:val="003544F2"/>
    <w:rsid w:val="003554EF"/>
    <w:rsid w:val="00355FDD"/>
    <w:rsid w:val="00357000"/>
    <w:rsid w:val="00357007"/>
    <w:rsid w:val="003578A1"/>
    <w:rsid w:val="0036082F"/>
    <w:rsid w:val="00360A50"/>
    <w:rsid w:val="00363E3B"/>
    <w:rsid w:val="00364E61"/>
    <w:rsid w:val="00366636"/>
    <w:rsid w:val="00366CBC"/>
    <w:rsid w:val="00367ADD"/>
    <w:rsid w:val="0037247A"/>
    <w:rsid w:val="00372D0B"/>
    <w:rsid w:val="00376C6E"/>
    <w:rsid w:val="00377C2C"/>
    <w:rsid w:val="00377CE3"/>
    <w:rsid w:val="003801F8"/>
    <w:rsid w:val="0038070F"/>
    <w:rsid w:val="003809BB"/>
    <w:rsid w:val="003810BB"/>
    <w:rsid w:val="00382605"/>
    <w:rsid w:val="00383F8C"/>
    <w:rsid w:val="00385455"/>
    <w:rsid w:val="00386421"/>
    <w:rsid w:val="0038669A"/>
    <w:rsid w:val="0038708B"/>
    <w:rsid w:val="00387EC7"/>
    <w:rsid w:val="003908B0"/>
    <w:rsid w:val="00390F06"/>
    <w:rsid w:val="003918BF"/>
    <w:rsid w:val="00391D1C"/>
    <w:rsid w:val="00392D8D"/>
    <w:rsid w:val="003930E0"/>
    <w:rsid w:val="00393F59"/>
    <w:rsid w:val="0039403C"/>
    <w:rsid w:val="00394955"/>
    <w:rsid w:val="0039525A"/>
    <w:rsid w:val="00395752"/>
    <w:rsid w:val="00396280"/>
    <w:rsid w:val="0039684B"/>
    <w:rsid w:val="003A064A"/>
    <w:rsid w:val="003A0A5C"/>
    <w:rsid w:val="003A14BB"/>
    <w:rsid w:val="003A1605"/>
    <w:rsid w:val="003A357C"/>
    <w:rsid w:val="003A37B6"/>
    <w:rsid w:val="003A46C6"/>
    <w:rsid w:val="003A4DBA"/>
    <w:rsid w:val="003A4ED6"/>
    <w:rsid w:val="003A6597"/>
    <w:rsid w:val="003A6DCD"/>
    <w:rsid w:val="003B0142"/>
    <w:rsid w:val="003B0A19"/>
    <w:rsid w:val="003B126D"/>
    <w:rsid w:val="003B1CD1"/>
    <w:rsid w:val="003B2095"/>
    <w:rsid w:val="003B2D29"/>
    <w:rsid w:val="003B44DD"/>
    <w:rsid w:val="003B4504"/>
    <w:rsid w:val="003B4B3B"/>
    <w:rsid w:val="003B58A3"/>
    <w:rsid w:val="003B5D13"/>
    <w:rsid w:val="003B6863"/>
    <w:rsid w:val="003B6D55"/>
    <w:rsid w:val="003C01BB"/>
    <w:rsid w:val="003C0242"/>
    <w:rsid w:val="003C05B9"/>
    <w:rsid w:val="003C219E"/>
    <w:rsid w:val="003C2311"/>
    <w:rsid w:val="003C2885"/>
    <w:rsid w:val="003C29E8"/>
    <w:rsid w:val="003C2E7D"/>
    <w:rsid w:val="003C39CB"/>
    <w:rsid w:val="003C3A10"/>
    <w:rsid w:val="003C3CEB"/>
    <w:rsid w:val="003C56FB"/>
    <w:rsid w:val="003C75DF"/>
    <w:rsid w:val="003C7F09"/>
    <w:rsid w:val="003D0295"/>
    <w:rsid w:val="003D09CE"/>
    <w:rsid w:val="003D13AE"/>
    <w:rsid w:val="003D2307"/>
    <w:rsid w:val="003D3165"/>
    <w:rsid w:val="003D37DC"/>
    <w:rsid w:val="003D39DD"/>
    <w:rsid w:val="003D3F01"/>
    <w:rsid w:val="003D3FA9"/>
    <w:rsid w:val="003D403E"/>
    <w:rsid w:val="003D51A4"/>
    <w:rsid w:val="003D60D5"/>
    <w:rsid w:val="003D767D"/>
    <w:rsid w:val="003D7B05"/>
    <w:rsid w:val="003D7F35"/>
    <w:rsid w:val="003E04C9"/>
    <w:rsid w:val="003E0864"/>
    <w:rsid w:val="003E1FED"/>
    <w:rsid w:val="003E25D7"/>
    <w:rsid w:val="003E3275"/>
    <w:rsid w:val="003E3FA4"/>
    <w:rsid w:val="003E4B66"/>
    <w:rsid w:val="003E6713"/>
    <w:rsid w:val="003E6721"/>
    <w:rsid w:val="003E6F20"/>
    <w:rsid w:val="003E7497"/>
    <w:rsid w:val="003E7878"/>
    <w:rsid w:val="003F0327"/>
    <w:rsid w:val="003F0350"/>
    <w:rsid w:val="003F0B54"/>
    <w:rsid w:val="003F14C0"/>
    <w:rsid w:val="003F23B1"/>
    <w:rsid w:val="003F2720"/>
    <w:rsid w:val="003F30B5"/>
    <w:rsid w:val="003F363F"/>
    <w:rsid w:val="003F4163"/>
    <w:rsid w:val="003F48A7"/>
    <w:rsid w:val="003F50C3"/>
    <w:rsid w:val="003F5D73"/>
    <w:rsid w:val="003F71BF"/>
    <w:rsid w:val="003F770B"/>
    <w:rsid w:val="003F7E5D"/>
    <w:rsid w:val="003F7EA8"/>
    <w:rsid w:val="00400F28"/>
    <w:rsid w:val="0040274E"/>
    <w:rsid w:val="0040322A"/>
    <w:rsid w:val="00403748"/>
    <w:rsid w:val="00403B44"/>
    <w:rsid w:val="00403CFD"/>
    <w:rsid w:val="004040CE"/>
    <w:rsid w:val="00404464"/>
    <w:rsid w:val="00405857"/>
    <w:rsid w:val="00406938"/>
    <w:rsid w:val="004073E2"/>
    <w:rsid w:val="00407DBB"/>
    <w:rsid w:val="0041043F"/>
    <w:rsid w:val="00410698"/>
    <w:rsid w:val="00411661"/>
    <w:rsid w:val="00411753"/>
    <w:rsid w:val="00411DE3"/>
    <w:rsid w:val="004127DD"/>
    <w:rsid w:val="00413A19"/>
    <w:rsid w:val="00413C1D"/>
    <w:rsid w:val="00413F93"/>
    <w:rsid w:val="00414B07"/>
    <w:rsid w:val="00414CBE"/>
    <w:rsid w:val="004154E2"/>
    <w:rsid w:val="00415B90"/>
    <w:rsid w:val="00416DF6"/>
    <w:rsid w:val="00416FC7"/>
    <w:rsid w:val="0041754F"/>
    <w:rsid w:val="00417849"/>
    <w:rsid w:val="00417BF1"/>
    <w:rsid w:val="00417D13"/>
    <w:rsid w:val="00420113"/>
    <w:rsid w:val="0042046A"/>
    <w:rsid w:val="00421759"/>
    <w:rsid w:val="00421ED2"/>
    <w:rsid w:val="0042324A"/>
    <w:rsid w:val="004233DC"/>
    <w:rsid w:val="00424BF1"/>
    <w:rsid w:val="00424F45"/>
    <w:rsid w:val="00425FEB"/>
    <w:rsid w:val="004278D8"/>
    <w:rsid w:val="00427CB5"/>
    <w:rsid w:val="004301BD"/>
    <w:rsid w:val="004302CE"/>
    <w:rsid w:val="00433C05"/>
    <w:rsid w:val="00433C59"/>
    <w:rsid w:val="004340B2"/>
    <w:rsid w:val="0043481F"/>
    <w:rsid w:val="00434C4F"/>
    <w:rsid w:val="00434F1C"/>
    <w:rsid w:val="00435E4D"/>
    <w:rsid w:val="0043648E"/>
    <w:rsid w:val="0043696C"/>
    <w:rsid w:val="00436C09"/>
    <w:rsid w:val="00440336"/>
    <w:rsid w:val="00440981"/>
    <w:rsid w:val="00440CAC"/>
    <w:rsid w:val="00440EA4"/>
    <w:rsid w:val="00440FCE"/>
    <w:rsid w:val="00441B6C"/>
    <w:rsid w:val="00441F48"/>
    <w:rsid w:val="0044209E"/>
    <w:rsid w:val="004422E8"/>
    <w:rsid w:val="004430DB"/>
    <w:rsid w:val="00443C20"/>
    <w:rsid w:val="00443CC9"/>
    <w:rsid w:val="00443D9F"/>
    <w:rsid w:val="00443F23"/>
    <w:rsid w:val="00444B18"/>
    <w:rsid w:val="00445475"/>
    <w:rsid w:val="004457E3"/>
    <w:rsid w:val="00446853"/>
    <w:rsid w:val="00446A29"/>
    <w:rsid w:val="00447014"/>
    <w:rsid w:val="0044729F"/>
    <w:rsid w:val="00447839"/>
    <w:rsid w:val="00447A37"/>
    <w:rsid w:val="004508BD"/>
    <w:rsid w:val="004522BA"/>
    <w:rsid w:val="00453962"/>
    <w:rsid w:val="00453D95"/>
    <w:rsid w:val="004551A0"/>
    <w:rsid w:val="00455A31"/>
    <w:rsid w:val="004566E7"/>
    <w:rsid w:val="00457A18"/>
    <w:rsid w:val="00460114"/>
    <w:rsid w:val="00460AE6"/>
    <w:rsid w:val="00462D33"/>
    <w:rsid w:val="00464269"/>
    <w:rsid w:val="004660C2"/>
    <w:rsid w:val="0046634E"/>
    <w:rsid w:val="00466A33"/>
    <w:rsid w:val="00467A62"/>
    <w:rsid w:val="00467F13"/>
    <w:rsid w:val="00470285"/>
    <w:rsid w:val="00472D0D"/>
    <w:rsid w:val="00473DCC"/>
    <w:rsid w:val="00474111"/>
    <w:rsid w:val="0047458E"/>
    <w:rsid w:val="0047485F"/>
    <w:rsid w:val="00475085"/>
    <w:rsid w:val="004757FC"/>
    <w:rsid w:val="0047701C"/>
    <w:rsid w:val="004777ED"/>
    <w:rsid w:val="004779E7"/>
    <w:rsid w:val="00477F8F"/>
    <w:rsid w:val="0048047D"/>
    <w:rsid w:val="004804A9"/>
    <w:rsid w:val="004808CE"/>
    <w:rsid w:val="0048166F"/>
    <w:rsid w:val="004819EC"/>
    <w:rsid w:val="004820B5"/>
    <w:rsid w:val="00482CAB"/>
    <w:rsid w:val="00483E4A"/>
    <w:rsid w:val="00484AE5"/>
    <w:rsid w:val="00485921"/>
    <w:rsid w:val="00486FAE"/>
    <w:rsid w:val="00487783"/>
    <w:rsid w:val="004879AA"/>
    <w:rsid w:val="00487DC4"/>
    <w:rsid w:val="004907FD"/>
    <w:rsid w:val="00490E72"/>
    <w:rsid w:val="00491A11"/>
    <w:rsid w:val="00491FA6"/>
    <w:rsid w:val="00492550"/>
    <w:rsid w:val="00492888"/>
    <w:rsid w:val="00492D0A"/>
    <w:rsid w:val="00492F2B"/>
    <w:rsid w:val="0049308F"/>
    <w:rsid w:val="00493C95"/>
    <w:rsid w:val="0049557E"/>
    <w:rsid w:val="0049568C"/>
    <w:rsid w:val="0049602E"/>
    <w:rsid w:val="004965AE"/>
    <w:rsid w:val="00496847"/>
    <w:rsid w:val="004974E0"/>
    <w:rsid w:val="00497EB1"/>
    <w:rsid w:val="004A019C"/>
    <w:rsid w:val="004A072D"/>
    <w:rsid w:val="004A08BF"/>
    <w:rsid w:val="004A21F5"/>
    <w:rsid w:val="004A2500"/>
    <w:rsid w:val="004A2DCE"/>
    <w:rsid w:val="004A3E9C"/>
    <w:rsid w:val="004A40A8"/>
    <w:rsid w:val="004A665C"/>
    <w:rsid w:val="004A6F44"/>
    <w:rsid w:val="004A7A8A"/>
    <w:rsid w:val="004B0105"/>
    <w:rsid w:val="004B061C"/>
    <w:rsid w:val="004B419C"/>
    <w:rsid w:val="004B529C"/>
    <w:rsid w:val="004B5B5F"/>
    <w:rsid w:val="004B647B"/>
    <w:rsid w:val="004B6F3F"/>
    <w:rsid w:val="004B7896"/>
    <w:rsid w:val="004C010C"/>
    <w:rsid w:val="004C0E56"/>
    <w:rsid w:val="004C136A"/>
    <w:rsid w:val="004C31E2"/>
    <w:rsid w:val="004C3450"/>
    <w:rsid w:val="004C35D2"/>
    <w:rsid w:val="004C35E9"/>
    <w:rsid w:val="004C3B4A"/>
    <w:rsid w:val="004C5F47"/>
    <w:rsid w:val="004C64DE"/>
    <w:rsid w:val="004C66EB"/>
    <w:rsid w:val="004D096E"/>
    <w:rsid w:val="004D1212"/>
    <w:rsid w:val="004D1CEE"/>
    <w:rsid w:val="004D206D"/>
    <w:rsid w:val="004D2BFF"/>
    <w:rsid w:val="004D3A35"/>
    <w:rsid w:val="004D4F00"/>
    <w:rsid w:val="004D5271"/>
    <w:rsid w:val="004D5B72"/>
    <w:rsid w:val="004D5C69"/>
    <w:rsid w:val="004D6936"/>
    <w:rsid w:val="004E0834"/>
    <w:rsid w:val="004E265E"/>
    <w:rsid w:val="004E2EDE"/>
    <w:rsid w:val="004E2FBA"/>
    <w:rsid w:val="004E2FE8"/>
    <w:rsid w:val="004E313F"/>
    <w:rsid w:val="004E3561"/>
    <w:rsid w:val="004E3B41"/>
    <w:rsid w:val="004E49F2"/>
    <w:rsid w:val="004E4E6B"/>
    <w:rsid w:val="004E53E4"/>
    <w:rsid w:val="004E56DB"/>
    <w:rsid w:val="004E5785"/>
    <w:rsid w:val="004E59AC"/>
    <w:rsid w:val="004E5D0A"/>
    <w:rsid w:val="004E5EFA"/>
    <w:rsid w:val="004E6545"/>
    <w:rsid w:val="004E6C9D"/>
    <w:rsid w:val="004E7CB8"/>
    <w:rsid w:val="004E7D10"/>
    <w:rsid w:val="004F0173"/>
    <w:rsid w:val="004F0CC0"/>
    <w:rsid w:val="004F12A2"/>
    <w:rsid w:val="004F221F"/>
    <w:rsid w:val="004F233D"/>
    <w:rsid w:val="004F2960"/>
    <w:rsid w:val="004F36CD"/>
    <w:rsid w:val="004F47A6"/>
    <w:rsid w:val="004F48A0"/>
    <w:rsid w:val="004F6539"/>
    <w:rsid w:val="004F79EF"/>
    <w:rsid w:val="00500793"/>
    <w:rsid w:val="00500DBE"/>
    <w:rsid w:val="00500FDA"/>
    <w:rsid w:val="00505A13"/>
    <w:rsid w:val="00506D93"/>
    <w:rsid w:val="00507BD4"/>
    <w:rsid w:val="005103AB"/>
    <w:rsid w:val="00510A58"/>
    <w:rsid w:val="00510C1C"/>
    <w:rsid w:val="00511631"/>
    <w:rsid w:val="00512BEB"/>
    <w:rsid w:val="005130C9"/>
    <w:rsid w:val="0051329B"/>
    <w:rsid w:val="00514385"/>
    <w:rsid w:val="0051471E"/>
    <w:rsid w:val="00514CD8"/>
    <w:rsid w:val="00514DA1"/>
    <w:rsid w:val="005171F5"/>
    <w:rsid w:val="00517BAF"/>
    <w:rsid w:val="00517D01"/>
    <w:rsid w:val="00520102"/>
    <w:rsid w:val="00521C15"/>
    <w:rsid w:val="00521F2B"/>
    <w:rsid w:val="00523130"/>
    <w:rsid w:val="00523484"/>
    <w:rsid w:val="00524632"/>
    <w:rsid w:val="00525E2C"/>
    <w:rsid w:val="00527682"/>
    <w:rsid w:val="00527AE3"/>
    <w:rsid w:val="005310FF"/>
    <w:rsid w:val="00531870"/>
    <w:rsid w:val="00532FFC"/>
    <w:rsid w:val="00533884"/>
    <w:rsid w:val="005344AC"/>
    <w:rsid w:val="00534E46"/>
    <w:rsid w:val="005361DF"/>
    <w:rsid w:val="0053775B"/>
    <w:rsid w:val="00537891"/>
    <w:rsid w:val="00537E4D"/>
    <w:rsid w:val="00540A8A"/>
    <w:rsid w:val="005411A5"/>
    <w:rsid w:val="00541719"/>
    <w:rsid w:val="00541DDA"/>
    <w:rsid w:val="00542A48"/>
    <w:rsid w:val="00542CC4"/>
    <w:rsid w:val="005432A2"/>
    <w:rsid w:val="0054531C"/>
    <w:rsid w:val="00545439"/>
    <w:rsid w:val="00546987"/>
    <w:rsid w:val="0055015E"/>
    <w:rsid w:val="005511CE"/>
    <w:rsid w:val="005512F1"/>
    <w:rsid w:val="00551A89"/>
    <w:rsid w:val="00551B66"/>
    <w:rsid w:val="005539A1"/>
    <w:rsid w:val="00554B4B"/>
    <w:rsid w:val="0055605F"/>
    <w:rsid w:val="00556747"/>
    <w:rsid w:val="005568D4"/>
    <w:rsid w:val="00557A80"/>
    <w:rsid w:val="00557E0B"/>
    <w:rsid w:val="0056064D"/>
    <w:rsid w:val="00560664"/>
    <w:rsid w:val="00560701"/>
    <w:rsid w:val="00560819"/>
    <w:rsid w:val="005641C0"/>
    <w:rsid w:val="005673F2"/>
    <w:rsid w:val="005706D8"/>
    <w:rsid w:val="00570FC5"/>
    <w:rsid w:val="0057355F"/>
    <w:rsid w:val="005736FF"/>
    <w:rsid w:val="0057465B"/>
    <w:rsid w:val="00574EA9"/>
    <w:rsid w:val="00580C2C"/>
    <w:rsid w:val="00581901"/>
    <w:rsid w:val="0058260B"/>
    <w:rsid w:val="00582664"/>
    <w:rsid w:val="00582A65"/>
    <w:rsid w:val="00582A99"/>
    <w:rsid w:val="00585270"/>
    <w:rsid w:val="00586C9F"/>
    <w:rsid w:val="005910CB"/>
    <w:rsid w:val="0059201F"/>
    <w:rsid w:val="00592947"/>
    <w:rsid w:val="005936C9"/>
    <w:rsid w:val="005938A3"/>
    <w:rsid w:val="00593DC5"/>
    <w:rsid w:val="00593F6E"/>
    <w:rsid w:val="005943DB"/>
    <w:rsid w:val="0059440A"/>
    <w:rsid w:val="00594B4E"/>
    <w:rsid w:val="00595093"/>
    <w:rsid w:val="00595A12"/>
    <w:rsid w:val="00595AB7"/>
    <w:rsid w:val="00595EF6"/>
    <w:rsid w:val="005964A5"/>
    <w:rsid w:val="00597730"/>
    <w:rsid w:val="00597C4F"/>
    <w:rsid w:val="005A087A"/>
    <w:rsid w:val="005A0E02"/>
    <w:rsid w:val="005A1691"/>
    <w:rsid w:val="005A19E4"/>
    <w:rsid w:val="005A227B"/>
    <w:rsid w:val="005A2424"/>
    <w:rsid w:val="005A2C5D"/>
    <w:rsid w:val="005A362C"/>
    <w:rsid w:val="005A3AE8"/>
    <w:rsid w:val="005A40FD"/>
    <w:rsid w:val="005A45CA"/>
    <w:rsid w:val="005A4987"/>
    <w:rsid w:val="005A4FDC"/>
    <w:rsid w:val="005A5281"/>
    <w:rsid w:val="005A68D3"/>
    <w:rsid w:val="005A6CA1"/>
    <w:rsid w:val="005A7659"/>
    <w:rsid w:val="005B00F5"/>
    <w:rsid w:val="005B0B37"/>
    <w:rsid w:val="005B1770"/>
    <w:rsid w:val="005B1F1E"/>
    <w:rsid w:val="005B2121"/>
    <w:rsid w:val="005B2BF5"/>
    <w:rsid w:val="005B3A2D"/>
    <w:rsid w:val="005B492D"/>
    <w:rsid w:val="005B709B"/>
    <w:rsid w:val="005C0A2B"/>
    <w:rsid w:val="005C15DE"/>
    <w:rsid w:val="005C1F53"/>
    <w:rsid w:val="005C5528"/>
    <w:rsid w:val="005C62A9"/>
    <w:rsid w:val="005C6363"/>
    <w:rsid w:val="005C642B"/>
    <w:rsid w:val="005C663F"/>
    <w:rsid w:val="005C702F"/>
    <w:rsid w:val="005C7E7D"/>
    <w:rsid w:val="005D020D"/>
    <w:rsid w:val="005D0489"/>
    <w:rsid w:val="005D1901"/>
    <w:rsid w:val="005D242B"/>
    <w:rsid w:val="005D48DB"/>
    <w:rsid w:val="005D5780"/>
    <w:rsid w:val="005D76FB"/>
    <w:rsid w:val="005E0D9F"/>
    <w:rsid w:val="005E0F54"/>
    <w:rsid w:val="005E1478"/>
    <w:rsid w:val="005E1620"/>
    <w:rsid w:val="005E17DA"/>
    <w:rsid w:val="005E233C"/>
    <w:rsid w:val="005E3AFF"/>
    <w:rsid w:val="005E3B4E"/>
    <w:rsid w:val="005E3F66"/>
    <w:rsid w:val="005E473C"/>
    <w:rsid w:val="005E514D"/>
    <w:rsid w:val="005E7583"/>
    <w:rsid w:val="005E7EB6"/>
    <w:rsid w:val="005E7FBD"/>
    <w:rsid w:val="005F172A"/>
    <w:rsid w:val="005F1916"/>
    <w:rsid w:val="005F2145"/>
    <w:rsid w:val="005F3644"/>
    <w:rsid w:val="005F3EC9"/>
    <w:rsid w:val="005F447D"/>
    <w:rsid w:val="005F6D34"/>
    <w:rsid w:val="005F757D"/>
    <w:rsid w:val="005F775D"/>
    <w:rsid w:val="005F78BF"/>
    <w:rsid w:val="005F7F13"/>
    <w:rsid w:val="00600571"/>
    <w:rsid w:val="00600615"/>
    <w:rsid w:val="00601446"/>
    <w:rsid w:val="00601F41"/>
    <w:rsid w:val="00601F73"/>
    <w:rsid w:val="006040A2"/>
    <w:rsid w:val="00604680"/>
    <w:rsid w:val="00605144"/>
    <w:rsid w:val="006058E9"/>
    <w:rsid w:val="00605E14"/>
    <w:rsid w:val="00606A52"/>
    <w:rsid w:val="00606E78"/>
    <w:rsid w:val="0060772C"/>
    <w:rsid w:val="006079DB"/>
    <w:rsid w:val="006100C2"/>
    <w:rsid w:val="006134C0"/>
    <w:rsid w:val="006136A4"/>
    <w:rsid w:val="0061433A"/>
    <w:rsid w:val="00616194"/>
    <w:rsid w:val="006204C2"/>
    <w:rsid w:val="00620605"/>
    <w:rsid w:val="006218DD"/>
    <w:rsid w:val="0062208E"/>
    <w:rsid w:val="006229C3"/>
    <w:rsid w:val="00623EDC"/>
    <w:rsid w:val="00624AD0"/>
    <w:rsid w:val="00624B14"/>
    <w:rsid w:val="00624C57"/>
    <w:rsid w:val="006256C2"/>
    <w:rsid w:val="00625C4D"/>
    <w:rsid w:val="00626AA4"/>
    <w:rsid w:val="006272CE"/>
    <w:rsid w:val="00627F4C"/>
    <w:rsid w:val="00631615"/>
    <w:rsid w:val="00632167"/>
    <w:rsid w:val="006322AB"/>
    <w:rsid w:val="006333C0"/>
    <w:rsid w:val="006341E7"/>
    <w:rsid w:val="006365B5"/>
    <w:rsid w:val="0063669E"/>
    <w:rsid w:val="006410F8"/>
    <w:rsid w:val="00641CB8"/>
    <w:rsid w:val="00641E1B"/>
    <w:rsid w:val="00642A0D"/>
    <w:rsid w:val="00642E71"/>
    <w:rsid w:val="00642FFE"/>
    <w:rsid w:val="00643200"/>
    <w:rsid w:val="0064382F"/>
    <w:rsid w:val="00650141"/>
    <w:rsid w:val="006511FD"/>
    <w:rsid w:val="0065166F"/>
    <w:rsid w:val="006518F9"/>
    <w:rsid w:val="00651B40"/>
    <w:rsid w:val="00651B78"/>
    <w:rsid w:val="006521C0"/>
    <w:rsid w:val="00653F75"/>
    <w:rsid w:val="00654505"/>
    <w:rsid w:val="0065629E"/>
    <w:rsid w:val="0065705C"/>
    <w:rsid w:val="00657305"/>
    <w:rsid w:val="00660073"/>
    <w:rsid w:val="00662EB0"/>
    <w:rsid w:val="006638F1"/>
    <w:rsid w:val="00664295"/>
    <w:rsid w:val="006642C6"/>
    <w:rsid w:val="00664F21"/>
    <w:rsid w:val="006651E8"/>
    <w:rsid w:val="006652EC"/>
    <w:rsid w:val="00666041"/>
    <w:rsid w:val="006660CA"/>
    <w:rsid w:val="00666702"/>
    <w:rsid w:val="00666D2D"/>
    <w:rsid w:val="00666EC5"/>
    <w:rsid w:val="0066730D"/>
    <w:rsid w:val="00667731"/>
    <w:rsid w:val="00670A74"/>
    <w:rsid w:val="00670D45"/>
    <w:rsid w:val="00671412"/>
    <w:rsid w:val="00671E7F"/>
    <w:rsid w:val="00672994"/>
    <w:rsid w:val="006729F5"/>
    <w:rsid w:val="0067310B"/>
    <w:rsid w:val="0067379D"/>
    <w:rsid w:val="00674DFB"/>
    <w:rsid w:val="006752F9"/>
    <w:rsid w:val="00675857"/>
    <w:rsid w:val="006768CE"/>
    <w:rsid w:val="006769FE"/>
    <w:rsid w:val="00676C9D"/>
    <w:rsid w:val="0067742C"/>
    <w:rsid w:val="00677A34"/>
    <w:rsid w:val="00681214"/>
    <w:rsid w:val="006828C7"/>
    <w:rsid w:val="00682F9C"/>
    <w:rsid w:val="006830A2"/>
    <w:rsid w:val="0068357F"/>
    <w:rsid w:val="00683817"/>
    <w:rsid w:val="006840BC"/>
    <w:rsid w:val="00684563"/>
    <w:rsid w:val="00684AFC"/>
    <w:rsid w:val="00684FFF"/>
    <w:rsid w:val="00685567"/>
    <w:rsid w:val="00685BA9"/>
    <w:rsid w:val="0068613F"/>
    <w:rsid w:val="0068699B"/>
    <w:rsid w:val="006878F5"/>
    <w:rsid w:val="006903C4"/>
    <w:rsid w:val="006904D0"/>
    <w:rsid w:val="006906D2"/>
    <w:rsid w:val="00691379"/>
    <w:rsid w:val="00691F4C"/>
    <w:rsid w:val="00692B73"/>
    <w:rsid w:val="00692DCF"/>
    <w:rsid w:val="00693B70"/>
    <w:rsid w:val="00693DC2"/>
    <w:rsid w:val="0069401C"/>
    <w:rsid w:val="00694AFC"/>
    <w:rsid w:val="00694CD7"/>
    <w:rsid w:val="00695933"/>
    <w:rsid w:val="00695AF6"/>
    <w:rsid w:val="00696742"/>
    <w:rsid w:val="00697600"/>
    <w:rsid w:val="00697674"/>
    <w:rsid w:val="0069775F"/>
    <w:rsid w:val="00697C69"/>
    <w:rsid w:val="006A03EF"/>
    <w:rsid w:val="006A0914"/>
    <w:rsid w:val="006A09F9"/>
    <w:rsid w:val="006A15F0"/>
    <w:rsid w:val="006A1D08"/>
    <w:rsid w:val="006A2127"/>
    <w:rsid w:val="006A2BCD"/>
    <w:rsid w:val="006A3F24"/>
    <w:rsid w:val="006A44ED"/>
    <w:rsid w:val="006A467C"/>
    <w:rsid w:val="006A4B48"/>
    <w:rsid w:val="006A4B7A"/>
    <w:rsid w:val="006A54EF"/>
    <w:rsid w:val="006A64AE"/>
    <w:rsid w:val="006A67BD"/>
    <w:rsid w:val="006B157C"/>
    <w:rsid w:val="006B1949"/>
    <w:rsid w:val="006B2A2C"/>
    <w:rsid w:val="006B2E2F"/>
    <w:rsid w:val="006B3DD6"/>
    <w:rsid w:val="006B4561"/>
    <w:rsid w:val="006B5A02"/>
    <w:rsid w:val="006B6412"/>
    <w:rsid w:val="006B6EFF"/>
    <w:rsid w:val="006B7430"/>
    <w:rsid w:val="006B7829"/>
    <w:rsid w:val="006C0438"/>
    <w:rsid w:val="006C0FD3"/>
    <w:rsid w:val="006C2647"/>
    <w:rsid w:val="006C3C49"/>
    <w:rsid w:val="006C4F36"/>
    <w:rsid w:val="006C52F0"/>
    <w:rsid w:val="006C590F"/>
    <w:rsid w:val="006C5C1A"/>
    <w:rsid w:val="006C5ED7"/>
    <w:rsid w:val="006C6279"/>
    <w:rsid w:val="006C69D7"/>
    <w:rsid w:val="006C6FC4"/>
    <w:rsid w:val="006C7320"/>
    <w:rsid w:val="006D0977"/>
    <w:rsid w:val="006D18E1"/>
    <w:rsid w:val="006D1EF2"/>
    <w:rsid w:val="006D2791"/>
    <w:rsid w:val="006D386D"/>
    <w:rsid w:val="006D3C75"/>
    <w:rsid w:val="006D49F2"/>
    <w:rsid w:val="006D5F83"/>
    <w:rsid w:val="006D7109"/>
    <w:rsid w:val="006E0198"/>
    <w:rsid w:val="006E04D2"/>
    <w:rsid w:val="006E0519"/>
    <w:rsid w:val="006E1FC5"/>
    <w:rsid w:val="006E22C9"/>
    <w:rsid w:val="006E3705"/>
    <w:rsid w:val="006E3EC2"/>
    <w:rsid w:val="006E4F6A"/>
    <w:rsid w:val="006E4F88"/>
    <w:rsid w:val="006E7FD2"/>
    <w:rsid w:val="006F0160"/>
    <w:rsid w:val="006F08BF"/>
    <w:rsid w:val="006F09F1"/>
    <w:rsid w:val="006F0C58"/>
    <w:rsid w:val="006F0E9B"/>
    <w:rsid w:val="006F0ED1"/>
    <w:rsid w:val="006F0ED3"/>
    <w:rsid w:val="006F15A4"/>
    <w:rsid w:val="006F1710"/>
    <w:rsid w:val="006F1BDD"/>
    <w:rsid w:val="006F2043"/>
    <w:rsid w:val="006F224C"/>
    <w:rsid w:val="006F351F"/>
    <w:rsid w:val="006F40EE"/>
    <w:rsid w:val="006F4CC8"/>
    <w:rsid w:val="006F4F5D"/>
    <w:rsid w:val="006F6131"/>
    <w:rsid w:val="006F6638"/>
    <w:rsid w:val="006F68DE"/>
    <w:rsid w:val="0070007C"/>
    <w:rsid w:val="0070070D"/>
    <w:rsid w:val="00700F15"/>
    <w:rsid w:val="00701B93"/>
    <w:rsid w:val="00702A94"/>
    <w:rsid w:val="00703437"/>
    <w:rsid w:val="007034C5"/>
    <w:rsid w:val="007048C8"/>
    <w:rsid w:val="00704E16"/>
    <w:rsid w:val="0070520C"/>
    <w:rsid w:val="0070541E"/>
    <w:rsid w:val="00706B8A"/>
    <w:rsid w:val="00710451"/>
    <w:rsid w:val="007104A5"/>
    <w:rsid w:val="00710923"/>
    <w:rsid w:val="007124DC"/>
    <w:rsid w:val="0071414A"/>
    <w:rsid w:val="007156C9"/>
    <w:rsid w:val="00716EE7"/>
    <w:rsid w:val="007176DE"/>
    <w:rsid w:val="007201C7"/>
    <w:rsid w:val="007201D6"/>
    <w:rsid w:val="00720DF7"/>
    <w:rsid w:val="007217EC"/>
    <w:rsid w:val="00721D6F"/>
    <w:rsid w:val="007236CC"/>
    <w:rsid w:val="00723706"/>
    <w:rsid w:val="00723A88"/>
    <w:rsid w:val="007253B8"/>
    <w:rsid w:val="00725CBF"/>
    <w:rsid w:val="00726C65"/>
    <w:rsid w:val="007279BC"/>
    <w:rsid w:val="00727C23"/>
    <w:rsid w:val="00727C36"/>
    <w:rsid w:val="007305DC"/>
    <w:rsid w:val="007307FA"/>
    <w:rsid w:val="007327A6"/>
    <w:rsid w:val="00732886"/>
    <w:rsid w:val="007333E9"/>
    <w:rsid w:val="007337E8"/>
    <w:rsid w:val="00734A78"/>
    <w:rsid w:val="00735106"/>
    <w:rsid w:val="007351E3"/>
    <w:rsid w:val="0073527A"/>
    <w:rsid w:val="007353CE"/>
    <w:rsid w:val="00735536"/>
    <w:rsid w:val="0073661D"/>
    <w:rsid w:val="007368D3"/>
    <w:rsid w:val="007368EF"/>
    <w:rsid w:val="00736A35"/>
    <w:rsid w:val="00737170"/>
    <w:rsid w:val="00740144"/>
    <w:rsid w:val="007416F7"/>
    <w:rsid w:val="00741BBA"/>
    <w:rsid w:val="00742266"/>
    <w:rsid w:val="00742541"/>
    <w:rsid w:val="0074403D"/>
    <w:rsid w:val="007444DC"/>
    <w:rsid w:val="00744747"/>
    <w:rsid w:val="0074476A"/>
    <w:rsid w:val="0074498F"/>
    <w:rsid w:val="00744E10"/>
    <w:rsid w:val="00745E50"/>
    <w:rsid w:val="00746239"/>
    <w:rsid w:val="0074676C"/>
    <w:rsid w:val="00746821"/>
    <w:rsid w:val="00746B7B"/>
    <w:rsid w:val="00747462"/>
    <w:rsid w:val="007476EB"/>
    <w:rsid w:val="00747AF9"/>
    <w:rsid w:val="007504DF"/>
    <w:rsid w:val="0075055E"/>
    <w:rsid w:val="00750C08"/>
    <w:rsid w:val="0075110A"/>
    <w:rsid w:val="007517B7"/>
    <w:rsid w:val="007518F1"/>
    <w:rsid w:val="00752532"/>
    <w:rsid w:val="007528E8"/>
    <w:rsid w:val="007531CE"/>
    <w:rsid w:val="00753516"/>
    <w:rsid w:val="00753AF2"/>
    <w:rsid w:val="007560B7"/>
    <w:rsid w:val="007561E7"/>
    <w:rsid w:val="0075629F"/>
    <w:rsid w:val="0075788B"/>
    <w:rsid w:val="00757A1C"/>
    <w:rsid w:val="00757D40"/>
    <w:rsid w:val="00760063"/>
    <w:rsid w:val="00760523"/>
    <w:rsid w:val="0076097A"/>
    <w:rsid w:val="00762068"/>
    <w:rsid w:val="007620A3"/>
    <w:rsid w:val="0076237C"/>
    <w:rsid w:val="00763C3C"/>
    <w:rsid w:val="00763D4A"/>
    <w:rsid w:val="00764204"/>
    <w:rsid w:val="00764A01"/>
    <w:rsid w:val="00765BEA"/>
    <w:rsid w:val="00765E4E"/>
    <w:rsid w:val="007670E9"/>
    <w:rsid w:val="00770D5F"/>
    <w:rsid w:val="00771440"/>
    <w:rsid w:val="007735A5"/>
    <w:rsid w:val="007758ED"/>
    <w:rsid w:val="00776B61"/>
    <w:rsid w:val="00776D9D"/>
    <w:rsid w:val="00777987"/>
    <w:rsid w:val="00777FFD"/>
    <w:rsid w:val="007800EA"/>
    <w:rsid w:val="00781FA5"/>
    <w:rsid w:val="00782079"/>
    <w:rsid w:val="0078268F"/>
    <w:rsid w:val="0078348C"/>
    <w:rsid w:val="00783E47"/>
    <w:rsid w:val="00786010"/>
    <w:rsid w:val="00786779"/>
    <w:rsid w:val="00786C30"/>
    <w:rsid w:val="007871D8"/>
    <w:rsid w:val="0078744C"/>
    <w:rsid w:val="0078793E"/>
    <w:rsid w:val="007901A8"/>
    <w:rsid w:val="0079029A"/>
    <w:rsid w:val="00790502"/>
    <w:rsid w:val="0079072E"/>
    <w:rsid w:val="007915F8"/>
    <w:rsid w:val="00792DAE"/>
    <w:rsid w:val="0079356D"/>
    <w:rsid w:val="00793F28"/>
    <w:rsid w:val="007950F7"/>
    <w:rsid w:val="007959C3"/>
    <w:rsid w:val="00795A16"/>
    <w:rsid w:val="00796536"/>
    <w:rsid w:val="00797CBF"/>
    <w:rsid w:val="007A05C5"/>
    <w:rsid w:val="007A11E2"/>
    <w:rsid w:val="007A27A9"/>
    <w:rsid w:val="007A27F4"/>
    <w:rsid w:val="007A2AE1"/>
    <w:rsid w:val="007A3678"/>
    <w:rsid w:val="007A42C5"/>
    <w:rsid w:val="007A431F"/>
    <w:rsid w:val="007A4527"/>
    <w:rsid w:val="007A540B"/>
    <w:rsid w:val="007A58FB"/>
    <w:rsid w:val="007A595A"/>
    <w:rsid w:val="007A5AB5"/>
    <w:rsid w:val="007A5BD3"/>
    <w:rsid w:val="007A5FB2"/>
    <w:rsid w:val="007A62DC"/>
    <w:rsid w:val="007A6BE5"/>
    <w:rsid w:val="007A6C80"/>
    <w:rsid w:val="007A702D"/>
    <w:rsid w:val="007A7C81"/>
    <w:rsid w:val="007A7F0A"/>
    <w:rsid w:val="007B0E6A"/>
    <w:rsid w:val="007B287F"/>
    <w:rsid w:val="007B41FF"/>
    <w:rsid w:val="007B56F2"/>
    <w:rsid w:val="007B599B"/>
    <w:rsid w:val="007B5EEA"/>
    <w:rsid w:val="007B617E"/>
    <w:rsid w:val="007B7124"/>
    <w:rsid w:val="007C02AD"/>
    <w:rsid w:val="007C049F"/>
    <w:rsid w:val="007C0B3D"/>
    <w:rsid w:val="007C0CE8"/>
    <w:rsid w:val="007C1F11"/>
    <w:rsid w:val="007C2211"/>
    <w:rsid w:val="007C2A71"/>
    <w:rsid w:val="007C2E12"/>
    <w:rsid w:val="007C4139"/>
    <w:rsid w:val="007C4184"/>
    <w:rsid w:val="007C5E61"/>
    <w:rsid w:val="007C6576"/>
    <w:rsid w:val="007C6769"/>
    <w:rsid w:val="007C68DF"/>
    <w:rsid w:val="007C79AA"/>
    <w:rsid w:val="007D07AE"/>
    <w:rsid w:val="007D3681"/>
    <w:rsid w:val="007D3F4C"/>
    <w:rsid w:val="007D4D28"/>
    <w:rsid w:val="007D5784"/>
    <w:rsid w:val="007D5C5C"/>
    <w:rsid w:val="007D6175"/>
    <w:rsid w:val="007D7653"/>
    <w:rsid w:val="007D7CAE"/>
    <w:rsid w:val="007E006D"/>
    <w:rsid w:val="007E0306"/>
    <w:rsid w:val="007E08FF"/>
    <w:rsid w:val="007E09B8"/>
    <w:rsid w:val="007E0E86"/>
    <w:rsid w:val="007E165C"/>
    <w:rsid w:val="007E1964"/>
    <w:rsid w:val="007E1C5A"/>
    <w:rsid w:val="007E27A8"/>
    <w:rsid w:val="007E373D"/>
    <w:rsid w:val="007E3C92"/>
    <w:rsid w:val="007E4ACD"/>
    <w:rsid w:val="007E504E"/>
    <w:rsid w:val="007E6D24"/>
    <w:rsid w:val="007E711E"/>
    <w:rsid w:val="007E78AF"/>
    <w:rsid w:val="007F0CA2"/>
    <w:rsid w:val="007F104F"/>
    <w:rsid w:val="007F14F3"/>
    <w:rsid w:val="007F3A56"/>
    <w:rsid w:val="007F4FCA"/>
    <w:rsid w:val="007F58F1"/>
    <w:rsid w:val="007F5AFB"/>
    <w:rsid w:val="007F671A"/>
    <w:rsid w:val="00800329"/>
    <w:rsid w:val="00801037"/>
    <w:rsid w:val="008040EC"/>
    <w:rsid w:val="00804D16"/>
    <w:rsid w:val="00805A98"/>
    <w:rsid w:val="00805C20"/>
    <w:rsid w:val="008067AB"/>
    <w:rsid w:val="00806F63"/>
    <w:rsid w:val="00807701"/>
    <w:rsid w:val="00807AA6"/>
    <w:rsid w:val="00814F7C"/>
    <w:rsid w:val="00815A36"/>
    <w:rsid w:val="00815D22"/>
    <w:rsid w:val="00816694"/>
    <w:rsid w:val="008208D4"/>
    <w:rsid w:val="00820DE2"/>
    <w:rsid w:val="00820E5B"/>
    <w:rsid w:val="0082185C"/>
    <w:rsid w:val="00821D73"/>
    <w:rsid w:val="00821ED5"/>
    <w:rsid w:val="0082319D"/>
    <w:rsid w:val="0082337D"/>
    <w:rsid w:val="00823A50"/>
    <w:rsid w:val="008249B1"/>
    <w:rsid w:val="0082528A"/>
    <w:rsid w:val="00825AED"/>
    <w:rsid w:val="00826E89"/>
    <w:rsid w:val="00826F7B"/>
    <w:rsid w:val="00827419"/>
    <w:rsid w:val="008311F1"/>
    <w:rsid w:val="0083145C"/>
    <w:rsid w:val="008320E8"/>
    <w:rsid w:val="008332AD"/>
    <w:rsid w:val="008332F4"/>
    <w:rsid w:val="00835A01"/>
    <w:rsid w:val="008402C2"/>
    <w:rsid w:val="0084055C"/>
    <w:rsid w:val="008422AF"/>
    <w:rsid w:val="00842E87"/>
    <w:rsid w:val="00842FC2"/>
    <w:rsid w:val="0084323F"/>
    <w:rsid w:val="00843507"/>
    <w:rsid w:val="00843BB6"/>
    <w:rsid w:val="008444EC"/>
    <w:rsid w:val="008453FC"/>
    <w:rsid w:val="00846B03"/>
    <w:rsid w:val="008506E0"/>
    <w:rsid w:val="00850A55"/>
    <w:rsid w:val="00851451"/>
    <w:rsid w:val="0085158E"/>
    <w:rsid w:val="0085191C"/>
    <w:rsid w:val="00853555"/>
    <w:rsid w:val="00853A09"/>
    <w:rsid w:val="00853B40"/>
    <w:rsid w:val="00854154"/>
    <w:rsid w:val="008542FA"/>
    <w:rsid w:val="008550F1"/>
    <w:rsid w:val="008564AD"/>
    <w:rsid w:val="0085694B"/>
    <w:rsid w:val="00856AED"/>
    <w:rsid w:val="00856F77"/>
    <w:rsid w:val="008573C5"/>
    <w:rsid w:val="008576AA"/>
    <w:rsid w:val="008613A4"/>
    <w:rsid w:val="00862F2D"/>
    <w:rsid w:val="00863379"/>
    <w:rsid w:val="00864585"/>
    <w:rsid w:val="008661AB"/>
    <w:rsid w:val="00866C42"/>
    <w:rsid w:val="0086788F"/>
    <w:rsid w:val="00867C8A"/>
    <w:rsid w:val="00871049"/>
    <w:rsid w:val="008716F2"/>
    <w:rsid w:val="008720BA"/>
    <w:rsid w:val="00872914"/>
    <w:rsid w:val="00873069"/>
    <w:rsid w:val="00873906"/>
    <w:rsid w:val="008741EC"/>
    <w:rsid w:val="008748EF"/>
    <w:rsid w:val="00874FD2"/>
    <w:rsid w:val="00876B55"/>
    <w:rsid w:val="00877CC4"/>
    <w:rsid w:val="00877D9E"/>
    <w:rsid w:val="00880F1C"/>
    <w:rsid w:val="008817D7"/>
    <w:rsid w:val="00881ABA"/>
    <w:rsid w:val="00881BF4"/>
    <w:rsid w:val="008828EB"/>
    <w:rsid w:val="008832DA"/>
    <w:rsid w:val="00883325"/>
    <w:rsid w:val="00883E94"/>
    <w:rsid w:val="00884F97"/>
    <w:rsid w:val="008850F5"/>
    <w:rsid w:val="0088689C"/>
    <w:rsid w:val="00890396"/>
    <w:rsid w:val="00890D4D"/>
    <w:rsid w:val="00891215"/>
    <w:rsid w:val="00892C95"/>
    <w:rsid w:val="008930FF"/>
    <w:rsid w:val="00893B7A"/>
    <w:rsid w:val="00893ED5"/>
    <w:rsid w:val="00894284"/>
    <w:rsid w:val="00894387"/>
    <w:rsid w:val="0089517B"/>
    <w:rsid w:val="00895713"/>
    <w:rsid w:val="00896C1E"/>
    <w:rsid w:val="00896DE2"/>
    <w:rsid w:val="00896F76"/>
    <w:rsid w:val="00896FF5"/>
    <w:rsid w:val="00897621"/>
    <w:rsid w:val="008976AC"/>
    <w:rsid w:val="008976F1"/>
    <w:rsid w:val="008A06B7"/>
    <w:rsid w:val="008A181F"/>
    <w:rsid w:val="008A292C"/>
    <w:rsid w:val="008A694A"/>
    <w:rsid w:val="008A6966"/>
    <w:rsid w:val="008A6F28"/>
    <w:rsid w:val="008A79A3"/>
    <w:rsid w:val="008A7F38"/>
    <w:rsid w:val="008B10F8"/>
    <w:rsid w:val="008B252E"/>
    <w:rsid w:val="008B272E"/>
    <w:rsid w:val="008B286E"/>
    <w:rsid w:val="008B4296"/>
    <w:rsid w:val="008B4C71"/>
    <w:rsid w:val="008B4C73"/>
    <w:rsid w:val="008B5C22"/>
    <w:rsid w:val="008B5C72"/>
    <w:rsid w:val="008B62CA"/>
    <w:rsid w:val="008B669C"/>
    <w:rsid w:val="008B6FD5"/>
    <w:rsid w:val="008B73E3"/>
    <w:rsid w:val="008B7663"/>
    <w:rsid w:val="008B7F0C"/>
    <w:rsid w:val="008C074A"/>
    <w:rsid w:val="008C085F"/>
    <w:rsid w:val="008C0E35"/>
    <w:rsid w:val="008C1387"/>
    <w:rsid w:val="008C2B0F"/>
    <w:rsid w:val="008C4022"/>
    <w:rsid w:val="008C5B7E"/>
    <w:rsid w:val="008C5C02"/>
    <w:rsid w:val="008C65BE"/>
    <w:rsid w:val="008C6FD3"/>
    <w:rsid w:val="008D0998"/>
    <w:rsid w:val="008D2043"/>
    <w:rsid w:val="008D23C8"/>
    <w:rsid w:val="008D41B5"/>
    <w:rsid w:val="008D4D20"/>
    <w:rsid w:val="008D67C6"/>
    <w:rsid w:val="008D690E"/>
    <w:rsid w:val="008D6D3A"/>
    <w:rsid w:val="008D7252"/>
    <w:rsid w:val="008D7783"/>
    <w:rsid w:val="008D7B17"/>
    <w:rsid w:val="008E0003"/>
    <w:rsid w:val="008E041C"/>
    <w:rsid w:val="008E1887"/>
    <w:rsid w:val="008E27F2"/>
    <w:rsid w:val="008E3CED"/>
    <w:rsid w:val="008E4F39"/>
    <w:rsid w:val="008E5826"/>
    <w:rsid w:val="008E710E"/>
    <w:rsid w:val="008E78C9"/>
    <w:rsid w:val="008F186B"/>
    <w:rsid w:val="008F1884"/>
    <w:rsid w:val="008F3F0D"/>
    <w:rsid w:val="008F4A20"/>
    <w:rsid w:val="008F5038"/>
    <w:rsid w:val="008F51A3"/>
    <w:rsid w:val="008F5B0A"/>
    <w:rsid w:val="008F619C"/>
    <w:rsid w:val="008F7392"/>
    <w:rsid w:val="008F75A9"/>
    <w:rsid w:val="009013E2"/>
    <w:rsid w:val="00902653"/>
    <w:rsid w:val="0090458D"/>
    <w:rsid w:val="009045AC"/>
    <w:rsid w:val="00904736"/>
    <w:rsid w:val="009048F7"/>
    <w:rsid w:val="00905069"/>
    <w:rsid w:val="009052C6"/>
    <w:rsid w:val="009053D9"/>
    <w:rsid w:val="00905E70"/>
    <w:rsid w:val="00906736"/>
    <w:rsid w:val="00906E35"/>
    <w:rsid w:val="009076B6"/>
    <w:rsid w:val="00911010"/>
    <w:rsid w:val="009114E8"/>
    <w:rsid w:val="00912C24"/>
    <w:rsid w:val="00912D19"/>
    <w:rsid w:val="00913024"/>
    <w:rsid w:val="009130A0"/>
    <w:rsid w:val="00913755"/>
    <w:rsid w:val="00913844"/>
    <w:rsid w:val="0091424A"/>
    <w:rsid w:val="009162BD"/>
    <w:rsid w:val="0091631C"/>
    <w:rsid w:val="009167A0"/>
    <w:rsid w:val="00916F1A"/>
    <w:rsid w:val="00920BE8"/>
    <w:rsid w:val="00923535"/>
    <w:rsid w:val="00924B9E"/>
    <w:rsid w:val="00925BB0"/>
    <w:rsid w:val="00925EFB"/>
    <w:rsid w:val="00927587"/>
    <w:rsid w:val="009306C7"/>
    <w:rsid w:val="00931554"/>
    <w:rsid w:val="009337D5"/>
    <w:rsid w:val="0093401F"/>
    <w:rsid w:val="009340E4"/>
    <w:rsid w:val="00934534"/>
    <w:rsid w:val="00934582"/>
    <w:rsid w:val="00934C20"/>
    <w:rsid w:val="0093747A"/>
    <w:rsid w:val="009410FA"/>
    <w:rsid w:val="0094126B"/>
    <w:rsid w:val="0094226D"/>
    <w:rsid w:val="0094256E"/>
    <w:rsid w:val="00944592"/>
    <w:rsid w:val="009446D3"/>
    <w:rsid w:val="00944B3D"/>
    <w:rsid w:val="009461DC"/>
    <w:rsid w:val="0094631E"/>
    <w:rsid w:val="0094645D"/>
    <w:rsid w:val="00950036"/>
    <w:rsid w:val="00952C95"/>
    <w:rsid w:val="00954C5F"/>
    <w:rsid w:val="00955B70"/>
    <w:rsid w:val="009603A6"/>
    <w:rsid w:val="00960C08"/>
    <w:rsid w:val="00960DB7"/>
    <w:rsid w:val="0096102B"/>
    <w:rsid w:val="0096132B"/>
    <w:rsid w:val="00961BB2"/>
    <w:rsid w:val="009629DA"/>
    <w:rsid w:val="009632CB"/>
    <w:rsid w:val="00963D78"/>
    <w:rsid w:val="009649C9"/>
    <w:rsid w:val="0096560E"/>
    <w:rsid w:val="00965E9B"/>
    <w:rsid w:val="009664A4"/>
    <w:rsid w:val="00966F32"/>
    <w:rsid w:val="00967E68"/>
    <w:rsid w:val="00967FB6"/>
    <w:rsid w:val="009708D9"/>
    <w:rsid w:val="009714A3"/>
    <w:rsid w:val="0097209E"/>
    <w:rsid w:val="009721E6"/>
    <w:rsid w:val="009738B4"/>
    <w:rsid w:val="009741C4"/>
    <w:rsid w:val="00975B6A"/>
    <w:rsid w:val="00976207"/>
    <w:rsid w:val="00976262"/>
    <w:rsid w:val="00976D59"/>
    <w:rsid w:val="009808FD"/>
    <w:rsid w:val="009812B7"/>
    <w:rsid w:val="00983536"/>
    <w:rsid w:val="0098407A"/>
    <w:rsid w:val="0098585D"/>
    <w:rsid w:val="0098667A"/>
    <w:rsid w:val="0098731F"/>
    <w:rsid w:val="00987554"/>
    <w:rsid w:val="0099049A"/>
    <w:rsid w:val="00990B5B"/>
    <w:rsid w:val="00991138"/>
    <w:rsid w:val="0099149F"/>
    <w:rsid w:val="00991B40"/>
    <w:rsid w:val="00992629"/>
    <w:rsid w:val="00993750"/>
    <w:rsid w:val="009943AE"/>
    <w:rsid w:val="009950D8"/>
    <w:rsid w:val="009954F3"/>
    <w:rsid w:val="0099571A"/>
    <w:rsid w:val="0099585B"/>
    <w:rsid w:val="00995A66"/>
    <w:rsid w:val="009960CD"/>
    <w:rsid w:val="00996223"/>
    <w:rsid w:val="00996E80"/>
    <w:rsid w:val="0099765D"/>
    <w:rsid w:val="009A05A6"/>
    <w:rsid w:val="009A09CE"/>
    <w:rsid w:val="009A0C3C"/>
    <w:rsid w:val="009A1D1F"/>
    <w:rsid w:val="009A1D33"/>
    <w:rsid w:val="009A1E6D"/>
    <w:rsid w:val="009A2626"/>
    <w:rsid w:val="009A6866"/>
    <w:rsid w:val="009A6BAD"/>
    <w:rsid w:val="009B027E"/>
    <w:rsid w:val="009B074F"/>
    <w:rsid w:val="009B247F"/>
    <w:rsid w:val="009B2D9C"/>
    <w:rsid w:val="009B4EC1"/>
    <w:rsid w:val="009B6EDB"/>
    <w:rsid w:val="009C1357"/>
    <w:rsid w:val="009C2763"/>
    <w:rsid w:val="009C2950"/>
    <w:rsid w:val="009C3470"/>
    <w:rsid w:val="009C3807"/>
    <w:rsid w:val="009C388D"/>
    <w:rsid w:val="009C40BD"/>
    <w:rsid w:val="009C4245"/>
    <w:rsid w:val="009C4E85"/>
    <w:rsid w:val="009C4ECD"/>
    <w:rsid w:val="009C6FAC"/>
    <w:rsid w:val="009C7867"/>
    <w:rsid w:val="009C7FD1"/>
    <w:rsid w:val="009D0881"/>
    <w:rsid w:val="009D14FD"/>
    <w:rsid w:val="009D16CA"/>
    <w:rsid w:val="009D201B"/>
    <w:rsid w:val="009D2BB7"/>
    <w:rsid w:val="009D2F0B"/>
    <w:rsid w:val="009D39DF"/>
    <w:rsid w:val="009D4013"/>
    <w:rsid w:val="009D45F3"/>
    <w:rsid w:val="009D474F"/>
    <w:rsid w:val="009D4867"/>
    <w:rsid w:val="009D4E6C"/>
    <w:rsid w:val="009D5937"/>
    <w:rsid w:val="009D62CF"/>
    <w:rsid w:val="009D6421"/>
    <w:rsid w:val="009D6760"/>
    <w:rsid w:val="009D6B73"/>
    <w:rsid w:val="009D7BFE"/>
    <w:rsid w:val="009E0021"/>
    <w:rsid w:val="009E0324"/>
    <w:rsid w:val="009E0778"/>
    <w:rsid w:val="009E1F01"/>
    <w:rsid w:val="009E2AE5"/>
    <w:rsid w:val="009E2B5A"/>
    <w:rsid w:val="009E3302"/>
    <w:rsid w:val="009E36DA"/>
    <w:rsid w:val="009E41F3"/>
    <w:rsid w:val="009E46AE"/>
    <w:rsid w:val="009E5511"/>
    <w:rsid w:val="009E603F"/>
    <w:rsid w:val="009E706E"/>
    <w:rsid w:val="009E7169"/>
    <w:rsid w:val="009F031C"/>
    <w:rsid w:val="009F10DF"/>
    <w:rsid w:val="009F1106"/>
    <w:rsid w:val="009F1DF5"/>
    <w:rsid w:val="009F6FF3"/>
    <w:rsid w:val="009F7A65"/>
    <w:rsid w:val="00A006D9"/>
    <w:rsid w:val="00A01073"/>
    <w:rsid w:val="00A02836"/>
    <w:rsid w:val="00A03EBA"/>
    <w:rsid w:val="00A04787"/>
    <w:rsid w:val="00A0507C"/>
    <w:rsid w:val="00A0617A"/>
    <w:rsid w:val="00A074C4"/>
    <w:rsid w:val="00A10A15"/>
    <w:rsid w:val="00A10A1A"/>
    <w:rsid w:val="00A10B17"/>
    <w:rsid w:val="00A11EAF"/>
    <w:rsid w:val="00A12222"/>
    <w:rsid w:val="00A12A7C"/>
    <w:rsid w:val="00A12D26"/>
    <w:rsid w:val="00A13380"/>
    <w:rsid w:val="00A139C3"/>
    <w:rsid w:val="00A13B1A"/>
    <w:rsid w:val="00A14C7D"/>
    <w:rsid w:val="00A16296"/>
    <w:rsid w:val="00A1687A"/>
    <w:rsid w:val="00A1688C"/>
    <w:rsid w:val="00A1793C"/>
    <w:rsid w:val="00A17C47"/>
    <w:rsid w:val="00A21AD7"/>
    <w:rsid w:val="00A228C2"/>
    <w:rsid w:val="00A22BC9"/>
    <w:rsid w:val="00A22CEF"/>
    <w:rsid w:val="00A23004"/>
    <w:rsid w:val="00A23403"/>
    <w:rsid w:val="00A23AF7"/>
    <w:rsid w:val="00A24413"/>
    <w:rsid w:val="00A24648"/>
    <w:rsid w:val="00A24D2E"/>
    <w:rsid w:val="00A24ED6"/>
    <w:rsid w:val="00A25EE8"/>
    <w:rsid w:val="00A2620E"/>
    <w:rsid w:val="00A266B7"/>
    <w:rsid w:val="00A26AC4"/>
    <w:rsid w:val="00A322B7"/>
    <w:rsid w:val="00A325A0"/>
    <w:rsid w:val="00A32FB5"/>
    <w:rsid w:val="00A33345"/>
    <w:rsid w:val="00A33CBD"/>
    <w:rsid w:val="00A34F2B"/>
    <w:rsid w:val="00A3613A"/>
    <w:rsid w:val="00A36505"/>
    <w:rsid w:val="00A36A12"/>
    <w:rsid w:val="00A36EB5"/>
    <w:rsid w:val="00A37C74"/>
    <w:rsid w:val="00A37CA4"/>
    <w:rsid w:val="00A37EEE"/>
    <w:rsid w:val="00A403C3"/>
    <w:rsid w:val="00A40657"/>
    <w:rsid w:val="00A42065"/>
    <w:rsid w:val="00A435B0"/>
    <w:rsid w:val="00A43CAD"/>
    <w:rsid w:val="00A43DD1"/>
    <w:rsid w:val="00A440E0"/>
    <w:rsid w:val="00A45264"/>
    <w:rsid w:val="00A4568F"/>
    <w:rsid w:val="00A45B7E"/>
    <w:rsid w:val="00A5079C"/>
    <w:rsid w:val="00A50AF1"/>
    <w:rsid w:val="00A50F96"/>
    <w:rsid w:val="00A51076"/>
    <w:rsid w:val="00A51925"/>
    <w:rsid w:val="00A52626"/>
    <w:rsid w:val="00A54661"/>
    <w:rsid w:val="00A5514E"/>
    <w:rsid w:val="00A5582F"/>
    <w:rsid w:val="00A558C1"/>
    <w:rsid w:val="00A55985"/>
    <w:rsid w:val="00A55CC5"/>
    <w:rsid w:val="00A569A9"/>
    <w:rsid w:val="00A57971"/>
    <w:rsid w:val="00A6117D"/>
    <w:rsid w:val="00A63C58"/>
    <w:rsid w:val="00A645DB"/>
    <w:rsid w:val="00A647BD"/>
    <w:rsid w:val="00A64975"/>
    <w:rsid w:val="00A65DE5"/>
    <w:rsid w:val="00A66213"/>
    <w:rsid w:val="00A66E21"/>
    <w:rsid w:val="00A66ED5"/>
    <w:rsid w:val="00A673CE"/>
    <w:rsid w:val="00A70273"/>
    <w:rsid w:val="00A70456"/>
    <w:rsid w:val="00A7075B"/>
    <w:rsid w:val="00A715C3"/>
    <w:rsid w:val="00A7236B"/>
    <w:rsid w:val="00A7242D"/>
    <w:rsid w:val="00A73E02"/>
    <w:rsid w:val="00A740D5"/>
    <w:rsid w:val="00A753EC"/>
    <w:rsid w:val="00A75E2B"/>
    <w:rsid w:val="00A75E94"/>
    <w:rsid w:val="00A7603C"/>
    <w:rsid w:val="00A7647C"/>
    <w:rsid w:val="00A77144"/>
    <w:rsid w:val="00A77B09"/>
    <w:rsid w:val="00A77D90"/>
    <w:rsid w:val="00A800BA"/>
    <w:rsid w:val="00A82234"/>
    <w:rsid w:val="00A83BBB"/>
    <w:rsid w:val="00A843BB"/>
    <w:rsid w:val="00A84E55"/>
    <w:rsid w:val="00A85E95"/>
    <w:rsid w:val="00A86524"/>
    <w:rsid w:val="00A86B0D"/>
    <w:rsid w:val="00A87477"/>
    <w:rsid w:val="00A87FEC"/>
    <w:rsid w:val="00A9005D"/>
    <w:rsid w:val="00A91114"/>
    <w:rsid w:val="00A91C62"/>
    <w:rsid w:val="00A921BE"/>
    <w:rsid w:val="00A92573"/>
    <w:rsid w:val="00A94203"/>
    <w:rsid w:val="00A94DB8"/>
    <w:rsid w:val="00A96B32"/>
    <w:rsid w:val="00A97119"/>
    <w:rsid w:val="00A97687"/>
    <w:rsid w:val="00A9772C"/>
    <w:rsid w:val="00AA0B10"/>
    <w:rsid w:val="00AA29D0"/>
    <w:rsid w:val="00AA3CEF"/>
    <w:rsid w:val="00AA4312"/>
    <w:rsid w:val="00AA4995"/>
    <w:rsid w:val="00AA519C"/>
    <w:rsid w:val="00AA593A"/>
    <w:rsid w:val="00AA683A"/>
    <w:rsid w:val="00AA7197"/>
    <w:rsid w:val="00AB01E5"/>
    <w:rsid w:val="00AB03BB"/>
    <w:rsid w:val="00AB300E"/>
    <w:rsid w:val="00AB3578"/>
    <w:rsid w:val="00AB3B0B"/>
    <w:rsid w:val="00AB3D58"/>
    <w:rsid w:val="00AB4042"/>
    <w:rsid w:val="00AB638B"/>
    <w:rsid w:val="00AB75DE"/>
    <w:rsid w:val="00AC0CDA"/>
    <w:rsid w:val="00AC0E34"/>
    <w:rsid w:val="00AC1043"/>
    <w:rsid w:val="00AC13FE"/>
    <w:rsid w:val="00AC1492"/>
    <w:rsid w:val="00AC24A5"/>
    <w:rsid w:val="00AC28DF"/>
    <w:rsid w:val="00AC31D4"/>
    <w:rsid w:val="00AC32F7"/>
    <w:rsid w:val="00AC3444"/>
    <w:rsid w:val="00AC3459"/>
    <w:rsid w:val="00AC3E89"/>
    <w:rsid w:val="00AC444F"/>
    <w:rsid w:val="00AC4A69"/>
    <w:rsid w:val="00AC4B42"/>
    <w:rsid w:val="00AC55FE"/>
    <w:rsid w:val="00AC5764"/>
    <w:rsid w:val="00AC5C40"/>
    <w:rsid w:val="00AC5C7C"/>
    <w:rsid w:val="00AC6804"/>
    <w:rsid w:val="00AC74BA"/>
    <w:rsid w:val="00AC777E"/>
    <w:rsid w:val="00AC7AA9"/>
    <w:rsid w:val="00AD02F8"/>
    <w:rsid w:val="00AD04C1"/>
    <w:rsid w:val="00AD0843"/>
    <w:rsid w:val="00AD0D46"/>
    <w:rsid w:val="00AD14B7"/>
    <w:rsid w:val="00AD20A3"/>
    <w:rsid w:val="00AD21DC"/>
    <w:rsid w:val="00AD2E3F"/>
    <w:rsid w:val="00AD38C6"/>
    <w:rsid w:val="00AD6AC4"/>
    <w:rsid w:val="00AD705C"/>
    <w:rsid w:val="00AD75FD"/>
    <w:rsid w:val="00AD78F6"/>
    <w:rsid w:val="00AD7D4D"/>
    <w:rsid w:val="00AE0056"/>
    <w:rsid w:val="00AE05F4"/>
    <w:rsid w:val="00AE0CA4"/>
    <w:rsid w:val="00AE1298"/>
    <w:rsid w:val="00AE286A"/>
    <w:rsid w:val="00AE31EF"/>
    <w:rsid w:val="00AE3FCA"/>
    <w:rsid w:val="00AE40A6"/>
    <w:rsid w:val="00AE47D3"/>
    <w:rsid w:val="00AE6C6E"/>
    <w:rsid w:val="00AE6F3C"/>
    <w:rsid w:val="00AE79FA"/>
    <w:rsid w:val="00AF061D"/>
    <w:rsid w:val="00AF12E9"/>
    <w:rsid w:val="00AF2E1D"/>
    <w:rsid w:val="00AF3906"/>
    <w:rsid w:val="00AF5D3F"/>
    <w:rsid w:val="00AF5FD4"/>
    <w:rsid w:val="00AF6589"/>
    <w:rsid w:val="00AF666B"/>
    <w:rsid w:val="00AF68BE"/>
    <w:rsid w:val="00AF72A5"/>
    <w:rsid w:val="00AF743F"/>
    <w:rsid w:val="00B0035A"/>
    <w:rsid w:val="00B00F26"/>
    <w:rsid w:val="00B01CE6"/>
    <w:rsid w:val="00B021C7"/>
    <w:rsid w:val="00B02463"/>
    <w:rsid w:val="00B03005"/>
    <w:rsid w:val="00B030E8"/>
    <w:rsid w:val="00B03746"/>
    <w:rsid w:val="00B0379E"/>
    <w:rsid w:val="00B048BA"/>
    <w:rsid w:val="00B051EB"/>
    <w:rsid w:val="00B0566D"/>
    <w:rsid w:val="00B05A08"/>
    <w:rsid w:val="00B06044"/>
    <w:rsid w:val="00B062C4"/>
    <w:rsid w:val="00B067C5"/>
    <w:rsid w:val="00B068FC"/>
    <w:rsid w:val="00B06A9B"/>
    <w:rsid w:val="00B06C3C"/>
    <w:rsid w:val="00B0707A"/>
    <w:rsid w:val="00B07B75"/>
    <w:rsid w:val="00B07D9F"/>
    <w:rsid w:val="00B106BB"/>
    <w:rsid w:val="00B10883"/>
    <w:rsid w:val="00B10C66"/>
    <w:rsid w:val="00B10CEF"/>
    <w:rsid w:val="00B115E4"/>
    <w:rsid w:val="00B1269A"/>
    <w:rsid w:val="00B12E35"/>
    <w:rsid w:val="00B1315C"/>
    <w:rsid w:val="00B13926"/>
    <w:rsid w:val="00B13B3A"/>
    <w:rsid w:val="00B14152"/>
    <w:rsid w:val="00B146CD"/>
    <w:rsid w:val="00B14A30"/>
    <w:rsid w:val="00B14B1E"/>
    <w:rsid w:val="00B14B5B"/>
    <w:rsid w:val="00B14F4E"/>
    <w:rsid w:val="00B1532D"/>
    <w:rsid w:val="00B158DB"/>
    <w:rsid w:val="00B15B31"/>
    <w:rsid w:val="00B16001"/>
    <w:rsid w:val="00B17432"/>
    <w:rsid w:val="00B179B7"/>
    <w:rsid w:val="00B209A3"/>
    <w:rsid w:val="00B238A1"/>
    <w:rsid w:val="00B23CF0"/>
    <w:rsid w:val="00B2676B"/>
    <w:rsid w:val="00B27D44"/>
    <w:rsid w:val="00B309F8"/>
    <w:rsid w:val="00B31CC2"/>
    <w:rsid w:val="00B32031"/>
    <w:rsid w:val="00B326CA"/>
    <w:rsid w:val="00B326FF"/>
    <w:rsid w:val="00B33592"/>
    <w:rsid w:val="00B33970"/>
    <w:rsid w:val="00B33D76"/>
    <w:rsid w:val="00B341C8"/>
    <w:rsid w:val="00B348D4"/>
    <w:rsid w:val="00B35B9B"/>
    <w:rsid w:val="00B35BEE"/>
    <w:rsid w:val="00B35F8E"/>
    <w:rsid w:val="00B36150"/>
    <w:rsid w:val="00B362B8"/>
    <w:rsid w:val="00B3635F"/>
    <w:rsid w:val="00B36426"/>
    <w:rsid w:val="00B3659C"/>
    <w:rsid w:val="00B3676B"/>
    <w:rsid w:val="00B372E3"/>
    <w:rsid w:val="00B378F9"/>
    <w:rsid w:val="00B40130"/>
    <w:rsid w:val="00B41F2D"/>
    <w:rsid w:val="00B42409"/>
    <w:rsid w:val="00B42CC1"/>
    <w:rsid w:val="00B43B1F"/>
    <w:rsid w:val="00B43CCD"/>
    <w:rsid w:val="00B44037"/>
    <w:rsid w:val="00B445CA"/>
    <w:rsid w:val="00B44FC6"/>
    <w:rsid w:val="00B47D1B"/>
    <w:rsid w:val="00B51462"/>
    <w:rsid w:val="00B51639"/>
    <w:rsid w:val="00B527AD"/>
    <w:rsid w:val="00B5511E"/>
    <w:rsid w:val="00B57843"/>
    <w:rsid w:val="00B579A5"/>
    <w:rsid w:val="00B57B07"/>
    <w:rsid w:val="00B60B85"/>
    <w:rsid w:val="00B60C52"/>
    <w:rsid w:val="00B60E8C"/>
    <w:rsid w:val="00B61340"/>
    <w:rsid w:val="00B61978"/>
    <w:rsid w:val="00B632DD"/>
    <w:rsid w:val="00B65E55"/>
    <w:rsid w:val="00B6630D"/>
    <w:rsid w:val="00B66602"/>
    <w:rsid w:val="00B666F1"/>
    <w:rsid w:val="00B66745"/>
    <w:rsid w:val="00B70182"/>
    <w:rsid w:val="00B705C9"/>
    <w:rsid w:val="00B712AF"/>
    <w:rsid w:val="00B71613"/>
    <w:rsid w:val="00B716CA"/>
    <w:rsid w:val="00B71D13"/>
    <w:rsid w:val="00B72ABA"/>
    <w:rsid w:val="00B72DE2"/>
    <w:rsid w:val="00B72F14"/>
    <w:rsid w:val="00B72FB5"/>
    <w:rsid w:val="00B733BD"/>
    <w:rsid w:val="00B75895"/>
    <w:rsid w:val="00B76FEE"/>
    <w:rsid w:val="00B776E7"/>
    <w:rsid w:val="00B778C9"/>
    <w:rsid w:val="00B803D5"/>
    <w:rsid w:val="00B8061C"/>
    <w:rsid w:val="00B8086C"/>
    <w:rsid w:val="00B81871"/>
    <w:rsid w:val="00B81F73"/>
    <w:rsid w:val="00B82361"/>
    <w:rsid w:val="00B829D2"/>
    <w:rsid w:val="00B82EE9"/>
    <w:rsid w:val="00B8368C"/>
    <w:rsid w:val="00B846FA"/>
    <w:rsid w:val="00B85315"/>
    <w:rsid w:val="00B85521"/>
    <w:rsid w:val="00B859B2"/>
    <w:rsid w:val="00B85F42"/>
    <w:rsid w:val="00B8656B"/>
    <w:rsid w:val="00B86851"/>
    <w:rsid w:val="00B86A35"/>
    <w:rsid w:val="00B86F16"/>
    <w:rsid w:val="00B87092"/>
    <w:rsid w:val="00B87F6D"/>
    <w:rsid w:val="00B9101D"/>
    <w:rsid w:val="00B910E5"/>
    <w:rsid w:val="00B919E7"/>
    <w:rsid w:val="00B91C10"/>
    <w:rsid w:val="00B92FC4"/>
    <w:rsid w:val="00B93CE4"/>
    <w:rsid w:val="00B94302"/>
    <w:rsid w:val="00B947FC"/>
    <w:rsid w:val="00B948DB"/>
    <w:rsid w:val="00B94B0A"/>
    <w:rsid w:val="00B9503F"/>
    <w:rsid w:val="00B956C9"/>
    <w:rsid w:val="00B95CDE"/>
    <w:rsid w:val="00B96B79"/>
    <w:rsid w:val="00B96CCB"/>
    <w:rsid w:val="00B97394"/>
    <w:rsid w:val="00B97E85"/>
    <w:rsid w:val="00BA17C8"/>
    <w:rsid w:val="00BA181B"/>
    <w:rsid w:val="00BA3D6D"/>
    <w:rsid w:val="00BA492A"/>
    <w:rsid w:val="00BA4B28"/>
    <w:rsid w:val="00BA5883"/>
    <w:rsid w:val="00BA5EB2"/>
    <w:rsid w:val="00BA5F1D"/>
    <w:rsid w:val="00BA7139"/>
    <w:rsid w:val="00BB0305"/>
    <w:rsid w:val="00BB066C"/>
    <w:rsid w:val="00BB0A9C"/>
    <w:rsid w:val="00BB23D7"/>
    <w:rsid w:val="00BB30E3"/>
    <w:rsid w:val="00BB36C5"/>
    <w:rsid w:val="00BB3820"/>
    <w:rsid w:val="00BB453D"/>
    <w:rsid w:val="00BB4909"/>
    <w:rsid w:val="00BB4F62"/>
    <w:rsid w:val="00BB5210"/>
    <w:rsid w:val="00BB6825"/>
    <w:rsid w:val="00BB692F"/>
    <w:rsid w:val="00BB72FB"/>
    <w:rsid w:val="00BB7932"/>
    <w:rsid w:val="00BC00C9"/>
    <w:rsid w:val="00BC087B"/>
    <w:rsid w:val="00BC0ED8"/>
    <w:rsid w:val="00BC139F"/>
    <w:rsid w:val="00BC1598"/>
    <w:rsid w:val="00BC1916"/>
    <w:rsid w:val="00BC22A4"/>
    <w:rsid w:val="00BC239C"/>
    <w:rsid w:val="00BC23C4"/>
    <w:rsid w:val="00BC30CB"/>
    <w:rsid w:val="00BC5904"/>
    <w:rsid w:val="00BC62DA"/>
    <w:rsid w:val="00BC7E21"/>
    <w:rsid w:val="00BD06CF"/>
    <w:rsid w:val="00BD1494"/>
    <w:rsid w:val="00BD1981"/>
    <w:rsid w:val="00BD19F7"/>
    <w:rsid w:val="00BD2435"/>
    <w:rsid w:val="00BD2DB7"/>
    <w:rsid w:val="00BD41A9"/>
    <w:rsid w:val="00BD4D59"/>
    <w:rsid w:val="00BD5173"/>
    <w:rsid w:val="00BD5331"/>
    <w:rsid w:val="00BD677B"/>
    <w:rsid w:val="00BD6F85"/>
    <w:rsid w:val="00BD73DA"/>
    <w:rsid w:val="00BD775B"/>
    <w:rsid w:val="00BE030A"/>
    <w:rsid w:val="00BE1080"/>
    <w:rsid w:val="00BE151F"/>
    <w:rsid w:val="00BE1DE4"/>
    <w:rsid w:val="00BE4638"/>
    <w:rsid w:val="00BE4CC7"/>
    <w:rsid w:val="00BE6990"/>
    <w:rsid w:val="00BE6F21"/>
    <w:rsid w:val="00BE73DB"/>
    <w:rsid w:val="00BF0F1A"/>
    <w:rsid w:val="00BF0F79"/>
    <w:rsid w:val="00BF10AC"/>
    <w:rsid w:val="00BF13F4"/>
    <w:rsid w:val="00BF1DBC"/>
    <w:rsid w:val="00BF2EF6"/>
    <w:rsid w:val="00BF3366"/>
    <w:rsid w:val="00BF384E"/>
    <w:rsid w:val="00BF4515"/>
    <w:rsid w:val="00BF466A"/>
    <w:rsid w:val="00BF4CD7"/>
    <w:rsid w:val="00BF5C87"/>
    <w:rsid w:val="00BF6C8B"/>
    <w:rsid w:val="00BF77A4"/>
    <w:rsid w:val="00BF7818"/>
    <w:rsid w:val="00BF7F3D"/>
    <w:rsid w:val="00C00813"/>
    <w:rsid w:val="00C016AC"/>
    <w:rsid w:val="00C02425"/>
    <w:rsid w:val="00C02496"/>
    <w:rsid w:val="00C03248"/>
    <w:rsid w:val="00C04D6E"/>
    <w:rsid w:val="00C051F1"/>
    <w:rsid w:val="00C057ED"/>
    <w:rsid w:val="00C061A8"/>
    <w:rsid w:val="00C06548"/>
    <w:rsid w:val="00C0699A"/>
    <w:rsid w:val="00C06B48"/>
    <w:rsid w:val="00C06EC2"/>
    <w:rsid w:val="00C0736E"/>
    <w:rsid w:val="00C07933"/>
    <w:rsid w:val="00C07AAA"/>
    <w:rsid w:val="00C102B6"/>
    <w:rsid w:val="00C11F7D"/>
    <w:rsid w:val="00C1247A"/>
    <w:rsid w:val="00C127FB"/>
    <w:rsid w:val="00C12FC1"/>
    <w:rsid w:val="00C1448C"/>
    <w:rsid w:val="00C162FC"/>
    <w:rsid w:val="00C16437"/>
    <w:rsid w:val="00C16B94"/>
    <w:rsid w:val="00C16FF3"/>
    <w:rsid w:val="00C173EB"/>
    <w:rsid w:val="00C21B86"/>
    <w:rsid w:val="00C23252"/>
    <w:rsid w:val="00C23C44"/>
    <w:rsid w:val="00C246DE"/>
    <w:rsid w:val="00C25B1A"/>
    <w:rsid w:val="00C26193"/>
    <w:rsid w:val="00C269EF"/>
    <w:rsid w:val="00C26C8D"/>
    <w:rsid w:val="00C26CAA"/>
    <w:rsid w:val="00C26FD3"/>
    <w:rsid w:val="00C30912"/>
    <w:rsid w:val="00C30A09"/>
    <w:rsid w:val="00C30EB7"/>
    <w:rsid w:val="00C31CE7"/>
    <w:rsid w:val="00C31DC3"/>
    <w:rsid w:val="00C33709"/>
    <w:rsid w:val="00C339B2"/>
    <w:rsid w:val="00C345E5"/>
    <w:rsid w:val="00C35026"/>
    <w:rsid w:val="00C35268"/>
    <w:rsid w:val="00C36443"/>
    <w:rsid w:val="00C3702C"/>
    <w:rsid w:val="00C3702E"/>
    <w:rsid w:val="00C40191"/>
    <w:rsid w:val="00C40AE4"/>
    <w:rsid w:val="00C40BC7"/>
    <w:rsid w:val="00C4145E"/>
    <w:rsid w:val="00C41979"/>
    <w:rsid w:val="00C4207C"/>
    <w:rsid w:val="00C42931"/>
    <w:rsid w:val="00C42C4D"/>
    <w:rsid w:val="00C433BC"/>
    <w:rsid w:val="00C44F34"/>
    <w:rsid w:val="00C453E9"/>
    <w:rsid w:val="00C456A6"/>
    <w:rsid w:val="00C45A5E"/>
    <w:rsid w:val="00C45BFB"/>
    <w:rsid w:val="00C46C7C"/>
    <w:rsid w:val="00C46D95"/>
    <w:rsid w:val="00C46E5B"/>
    <w:rsid w:val="00C47364"/>
    <w:rsid w:val="00C477E0"/>
    <w:rsid w:val="00C4785A"/>
    <w:rsid w:val="00C508ED"/>
    <w:rsid w:val="00C50B0B"/>
    <w:rsid w:val="00C51004"/>
    <w:rsid w:val="00C55CC9"/>
    <w:rsid w:val="00C55F98"/>
    <w:rsid w:val="00C56D6C"/>
    <w:rsid w:val="00C56DDB"/>
    <w:rsid w:val="00C57632"/>
    <w:rsid w:val="00C5798C"/>
    <w:rsid w:val="00C6064A"/>
    <w:rsid w:val="00C60893"/>
    <w:rsid w:val="00C60B9D"/>
    <w:rsid w:val="00C61BF9"/>
    <w:rsid w:val="00C6282B"/>
    <w:rsid w:val="00C62B47"/>
    <w:rsid w:val="00C63099"/>
    <w:rsid w:val="00C630F8"/>
    <w:rsid w:val="00C6463C"/>
    <w:rsid w:val="00C6584A"/>
    <w:rsid w:val="00C65986"/>
    <w:rsid w:val="00C65F11"/>
    <w:rsid w:val="00C6630C"/>
    <w:rsid w:val="00C665F0"/>
    <w:rsid w:val="00C667FC"/>
    <w:rsid w:val="00C67D24"/>
    <w:rsid w:val="00C7044E"/>
    <w:rsid w:val="00C705D0"/>
    <w:rsid w:val="00C70E2E"/>
    <w:rsid w:val="00C72004"/>
    <w:rsid w:val="00C72042"/>
    <w:rsid w:val="00C73A31"/>
    <w:rsid w:val="00C73B43"/>
    <w:rsid w:val="00C74BC3"/>
    <w:rsid w:val="00C762F8"/>
    <w:rsid w:val="00C77BA6"/>
    <w:rsid w:val="00C802EE"/>
    <w:rsid w:val="00C816EF"/>
    <w:rsid w:val="00C81758"/>
    <w:rsid w:val="00C81C0B"/>
    <w:rsid w:val="00C82156"/>
    <w:rsid w:val="00C82C02"/>
    <w:rsid w:val="00C82F29"/>
    <w:rsid w:val="00C835BC"/>
    <w:rsid w:val="00C8370B"/>
    <w:rsid w:val="00C83CA0"/>
    <w:rsid w:val="00C8435D"/>
    <w:rsid w:val="00C84997"/>
    <w:rsid w:val="00C84F35"/>
    <w:rsid w:val="00C8551B"/>
    <w:rsid w:val="00C861A8"/>
    <w:rsid w:val="00C87D6B"/>
    <w:rsid w:val="00C9050A"/>
    <w:rsid w:val="00C90F0E"/>
    <w:rsid w:val="00C9153E"/>
    <w:rsid w:val="00C926AB"/>
    <w:rsid w:val="00C93FCC"/>
    <w:rsid w:val="00C93FE0"/>
    <w:rsid w:val="00C95314"/>
    <w:rsid w:val="00C96322"/>
    <w:rsid w:val="00CA023D"/>
    <w:rsid w:val="00CA106E"/>
    <w:rsid w:val="00CA1A40"/>
    <w:rsid w:val="00CA20B4"/>
    <w:rsid w:val="00CA285C"/>
    <w:rsid w:val="00CA2DCF"/>
    <w:rsid w:val="00CA352E"/>
    <w:rsid w:val="00CA43DE"/>
    <w:rsid w:val="00CA6924"/>
    <w:rsid w:val="00CA6CB9"/>
    <w:rsid w:val="00CA6D2B"/>
    <w:rsid w:val="00CA79F6"/>
    <w:rsid w:val="00CB12EB"/>
    <w:rsid w:val="00CB293C"/>
    <w:rsid w:val="00CB4057"/>
    <w:rsid w:val="00CB5492"/>
    <w:rsid w:val="00CB61C2"/>
    <w:rsid w:val="00CB6A0A"/>
    <w:rsid w:val="00CB6FAE"/>
    <w:rsid w:val="00CB70DC"/>
    <w:rsid w:val="00CB7E1E"/>
    <w:rsid w:val="00CC069E"/>
    <w:rsid w:val="00CC0978"/>
    <w:rsid w:val="00CC1591"/>
    <w:rsid w:val="00CC1E1E"/>
    <w:rsid w:val="00CC2582"/>
    <w:rsid w:val="00CC2DA7"/>
    <w:rsid w:val="00CC313B"/>
    <w:rsid w:val="00CC376F"/>
    <w:rsid w:val="00CC3F5F"/>
    <w:rsid w:val="00CC4A2A"/>
    <w:rsid w:val="00CC56BA"/>
    <w:rsid w:val="00CC598E"/>
    <w:rsid w:val="00CC7596"/>
    <w:rsid w:val="00CC76FF"/>
    <w:rsid w:val="00CC794F"/>
    <w:rsid w:val="00CD190B"/>
    <w:rsid w:val="00CD19B8"/>
    <w:rsid w:val="00CD3783"/>
    <w:rsid w:val="00CD4A58"/>
    <w:rsid w:val="00CD5393"/>
    <w:rsid w:val="00CD56F4"/>
    <w:rsid w:val="00CD5A0B"/>
    <w:rsid w:val="00CD6A25"/>
    <w:rsid w:val="00CD7912"/>
    <w:rsid w:val="00CD7F65"/>
    <w:rsid w:val="00CD7FE2"/>
    <w:rsid w:val="00CE08A7"/>
    <w:rsid w:val="00CE15B5"/>
    <w:rsid w:val="00CE16AC"/>
    <w:rsid w:val="00CE1983"/>
    <w:rsid w:val="00CE1FBC"/>
    <w:rsid w:val="00CE205C"/>
    <w:rsid w:val="00CE259D"/>
    <w:rsid w:val="00CE284F"/>
    <w:rsid w:val="00CE2EA1"/>
    <w:rsid w:val="00CE3427"/>
    <w:rsid w:val="00CE4529"/>
    <w:rsid w:val="00CE4688"/>
    <w:rsid w:val="00CE4C0B"/>
    <w:rsid w:val="00CE74D2"/>
    <w:rsid w:val="00CE75F7"/>
    <w:rsid w:val="00CE7612"/>
    <w:rsid w:val="00CE7781"/>
    <w:rsid w:val="00CF0047"/>
    <w:rsid w:val="00CF02AF"/>
    <w:rsid w:val="00CF158B"/>
    <w:rsid w:val="00CF16BE"/>
    <w:rsid w:val="00CF26B7"/>
    <w:rsid w:val="00CF296A"/>
    <w:rsid w:val="00CF2E50"/>
    <w:rsid w:val="00CF505D"/>
    <w:rsid w:val="00CF6623"/>
    <w:rsid w:val="00CF763F"/>
    <w:rsid w:val="00CF7878"/>
    <w:rsid w:val="00D00E6C"/>
    <w:rsid w:val="00D00F9C"/>
    <w:rsid w:val="00D01247"/>
    <w:rsid w:val="00D019E6"/>
    <w:rsid w:val="00D02464"/>
    <w:rsid w:val="00D027CF"/>
    <w:rsid w:val="00D028DB"/>
    <w:rsid w:val="00D02CEB"/>
    <w:rsid w:val="00D0377F"/>
    <w:rsid w:val="00D05810"/>
    <w:rsid w:val="00D0639D"/>
    <w:rsid w:val="00D0751F"/>
    <w:rsid w:val="00D07625"/>
    <w:rsid w:val="00D10786"/>
    <w:rsid w:val="00D10EBF"/>
    <w:rsid w:val="00D13F3C"/>
    <w:rsid w:val="00D15C30"/>
    <w:rsid w:val="00D17245"/>
    <w:rsid w:val="00D17816"/>
    <w:rsid w:val="00D178E4"/>
    <w:rsid w:val="00D20BBE"/>
    <w:rsid w:val="00D21B55"/>
    <w:rsid w:val="00D21B7D"/>
    <w:rsid w:val="00D22CE9"/>
    <w:rsid w:val="00D235B8"/>
    <w:rsid w:val="00D237F6"/>
    <w:rsid w:val="00D24B65"/>
    <w:rsid w:val="00D24E97"/>
    <w:rsid w:val="00D2519D"/>
    <w:rsid w:val="00D252A1"/>
    <w:rsid w:val="00D25640"/>
    <w:rsid w:val="00D25768"/>
    <w:rsid w:val="00D260D9"/>
    <w:rsid w:val="00D26DE5"/>
    <w:rsid w:val="00D27470"/>
    <w:rsid w:val="00D27DC5"/>
    <w:rsid w:val="00D30318"/>
    <w:rsid w:val="00D30EF5"/>
    <w:rsid w:val="00D31226"/>
    <w:rsid w:val="00D32E16"/>
    <w:rsid w:val="00D341A1"/>
    <w:rsid w:val="00D36730"/>
    <w:rsid w:val="00D3696C"/>
    <w:rsid w:val="00D36F43"/>
    <w:rsid w:val="00D400EB"/>
    <w:rsid w:val="00D40D4E"/>
    <w:rsid w:val="00D40DB8"/>
    <w:rsid w:val="00D41145"/>
    <w:rsid w:val="00D414CA"/>
    <w:rsid w:val="00D41A26"/>
    <w:rsid w:val="00D428F0"/>
    <w:rsid w:val="00D42A0C"/>
    <w:rsid w:val="00D43C29"/>
    <w:rsid w:val="00D43D59"/>
    <w:rsid w:val="00D452DC"/>
    <w:rsid w:val="00D45938"/>
    <w:rsid w:val="00D45B16"/>
    <w:rsid w:val="00D47349"/>
    <w:rsid w:val="00D47CA2"/>
    <w:rsid w:val="00D50E38"/>
    <w:rsid w:val="00D51011"/>
    <w:rsid w:val="00D5290C"/>
    <w:rsid w:val="00D53D5D"/>
    <w:rsid w:val="00D550BC"/>
    <w:rsid w:val="00D554C7"/>
    <w:rsid w:val="00D55FCA"/>
    <w:rsid w:val="00D6012E"/>
    <w:rsid w:val="00D60936"/>
    <w:rsid w:val="00D6132C"/>
    <w:rsid w:val="00D616BF"/>
    <w:rsid w:val="00D61773"/>
    <w:rsid w:val="00D619EF"/>
    <w:rsid w:val="00D61C08"/>
    <w:rsid w:val="00D6217E"/>
    <w:rsid w:val="00D626DF"/>
    <w:rsid w:val="00D626FA"/>
    <w:rsid w:val="00D63AD6"/>
    <w:rsid w:val="00D63CD6"/>
    <w:rsid w:val="00D640C6"/>
    <w:rsid w:val="00D64BF1"/>
    <w:rsid w:val="00D7094F"/>
    <w:rsid w:val="00D7232E"/>
    <w:rsid w:val="00D725EA"/>
    <w:rsid w:val="00D7363F"/>
    <w:rsid w:val="00D73C46"/>
    <w:rsid w:val="00D73F57"/>
    <w:rsid w:val="00D74B4F"/>
    <w:rsid w:val="00D75179"/>
    <w:rsid w:val="00D75816"/>
    <w:rsid w:val="00D76C59"/>
    <w:rsid w:val="00D77527"/>
    <w:rsid w:val="00D77B2C"/>
    <w:rsid w:val="00D77F95"/>
    <w:rsid w:val="00D82D75"/>
    <w:rsid w:val="00D833AD"/>
    <w:rsid w:val="00D845FE"/>
    <w:rsid w:val="00D84C89"/>
    <w:rsid w:val="00D857BD"/>
    <w:rsid w:val="00D85E5B"/>
    <w:rsid w:val="00D86725"/>
    <w:rsid w:val="00D86BF2"/>
    <w:rsid w:val="00D87508"/>
    <w:rsid w:val="00D904F6"/>
    <w:rsid w:val="00D906F1"/>
    <w:rsid w:val="00D91C55"/>
    <w:rsid w:val="00D921C2"/>
    <w:rsid w:val="00D926BA"/>
    <w:rsid w:val="00D944D1"/>
    <w:rsid w:val="00D94514"/>
    <w:rsid w:val="00D9457F"/>
    <w:rsid w:val="00D948AA"/>
    <w:rsid w:val="00D957DD"/>
    <w:rsid w:val="00D95A33"/>
    <w:rsid w:val="00D95B1D"/>
    <w:rsid w:val="00D95FA2"/>
    <w:rsid w:val="00D9778F"/>
    <w:rsid w:val="00DA27BB"/>
    <w:rsid w:val="00DA2F72"/>
    <w:rsid w:val="00DA37CF"/>
    <w:rsid w:val="00DA4ACA"/>
    <w:rsid w:val="00DA4B03"/>
    <w:rsid w:val="00DA5C49"/>
    <w:rsid w:val="00DA604A"/>
    <w:rsid w:val="00DA702B"/>
    <w:rsid w:val="00DA7881"/>
    <w:rsid w:val="00DB0196"/>
    <w:rsid w:val="00DB0E1C"/>
    <w:rsid w:val="00DB1957"/>
    <w:rsid w:val="00DB2234"/>
    <w:rsid w:val="00DB243F"/>
    <w:rsid w:val="00DB2E6D"/>
    <w:rsid w:val="00DB4676"/>
    <w:rsid w:val="00DB62CF"/>
    <w:rsid w:val="00DB6486"/>
    <w:rsid w:val="00DB6B55"/>
    <w:rsid w:val="00DB6C67"/>
    <w:rsid w:val="00DB7655"/>
    <w:rsid w:val="00DB789D"/>
    <w:rsid w:val="00DC17C2"/>
    <w:rsid w:val="00DC1D64"/>
    <w:rsid w:val="00DC1D9D"/>
    <w:rsid w:val="00DC3E2D"/>
    <w:rsid w:val="00DC5051"/>
    <w:rsid w:val="00DC5952"/>
    <w:rsid w:val="00DC793A"/>
    <w:rsid w:val="00DC7D87"/>
    <w:rsid w:val="00DD1D17"/>
    <w:rsid w:val="00DD29C1"/>
    <w:rsid w:val="00DD3284"/>
    <w:rsid w:val="00DD5CEC"/>
    <w:rsid w:val="00DD655B"/>
    <w:rsid w:val="00DD65B3"/>
    <w:rsid w:val="00DD6B17"/>
    <w:rsid w:val="00DE18D0"/>
    <w:rsid w:val="00DE2240"/>
    <w:rsid w:val="00DE2F48"/>
    <w:rsid w:val="00DE310C"/>
    <w:rsid w:val="00DE3ADE"/>
    <w:rsid w:val="00DE4627"/>
    <w:rsid w:val="00DE4A72"/>
    <w:rsid w:val="00DE5235"/>
    <w:rsid w:val="00DE5DFE"/>
    <w:rsid w:val="00DE6C10"/>
    <w:rsid w:val="00DE7540"/>
    <w:rsid w:val="00DF191A"/>
    <w:rsid w:val="00DF1A07"/>
    <w:rsid w:val="00DF355A"/>
    <w:rsid w:val="00DF5CCC"/>
    <w:rsid w:val="00DF619B"/>
    <w:rsid w:val="00DF7BFA"/>
    <w:rsid w:val="00E01443"/>
    <w:rsid w:val="00E02789"/>
    <w:rsid w:val="00E038A6"/>
    <w:rsid w:val="00E0472B"/>
    <w:rsid w:val="00E04782"/>
    <w:rsid w:val="00E05534"/>
    <w:rsid w:val="00E055E5"/>
    <w:rsid w:val="00E06510"/>
    <w:rsid w:val="00E06B83"/>
    <w:rsid w:val="00E06E7F"/>
    <w:rsid w:val="00E06FD2"/>
    <w:rsid w:val="00E079AE"/>
    <w:rsid w:val="00E10ABD"/>
    <w:rsid w:val="00E114C5"/>
    <w:rsid w:val="00E11E31"/>
    <w:rsid w:val="00E123D2"/>
    <w:rsid w:val="00E1476A"/>
    <w:rsid w:val="00E153EC"/>
    <w:rsid w:val="00E16084"/>
    <w:rsid w:val="00E16491"/>
    <w:rsid w:val="00E17117"/>
    <w:rsid w:val="00E175E8"/>
    <w:rsid w:val="00E17E0C"/>
    <w:rsid w:val="00E20313"/>
    <w:rsid w:val="00E21FFF"/>
    <w:rsid w:val="00E2265D"/>
    <w:rsid w:val="00E22985"/>
    <w:rsid w:val="00E22DDE"/>
    <w:rsid w:val="00E23D70"/>
    <w:rsid w:val="00E24F40"/>
    <w:rsid w:val="00E261A2"/>
    <w:rsid w:val="00E265A1"/>
    <w:rsid w:val="00E27A11"/>
    <w:rsid w:val="00E308A0"/>
    <w:rsid w:val="00E30E2F"/>
    <w:rsid w:val="00E30FEC"/>
    <w:rsid w:val="00E31B49"/>
    <w:rsid w:val="00E32070"/>
    <w:rsid w:val="00E32602"/>
    <w:rsid w:val="00E3405C"/>
    <w:rsid w:val="00E37E41"/>
    <w:rsid w:val="00E40391"/>
    <w:rsid w:val="00E414D6"/>
    <w:rsid w:val="00E439A3"/>
    <w:rsid w:val="00E43A84"/>
    <w:rsid w:val="00E43C5D"/>
    <w:rsid w:val="00E44DEA"/>
    <w:rsid w:val="00E44EA6"/>
    <w:rsid w:val="00E44EBF"/>
    <w:rsid w:val="00E45A6D"/>
    <w:rsid w:val="00E45AF9"/>
    <w:rsid w:val="00E505E5"/>
    <w:rsid w:val="00E5091F"/>
    <w:rsid w:val="00E50C0C"/>
    <w:rsid w:val="00E50EBA"/>
    <w:rsid w:val="00E5127D"/>
    <w:rsid w:val="00E520C0"/>
    <w:rsid w:val="00E52E7F"/>
    <w:rsid w:val="00E52F3F"/>
    <w:rsid w:val="00E53124"/>
    <w:rsid w:val="00E542E0"/>
    <w:rsid w:val="00E563C1"/>
    <w:rsid w:val="00E56B7F"/>
    <w:rsid w:val="00E602A7"/>
    <w:rsid w:val="00E60515"/>
    <w:rsid w:val="00E63549"/>
    <w:rsid w:val="00E63AB5"/>
    <w:rsid w:val="00E63C12"/>
    <w:rsid w:val="00E642CF"/>
    <w:rsid w:val="00E643B3"/>
    <w:rsid w:val="00E65473"/>
    <w:rsid w:val="00E6577C"/>
    <w:rsid w:val="00E65E31"/>
    <w:rsid w:val="00E66343"/>
    <w:rsid w:val="00E66792"/>
    <w:rsid w:val="00E7087A"/>
    <w:rsid w:val="00E72E4B"/>
    <w:rsid w:val="00E73587"/>
    <w:rsid w:val="00E738E5"/>
    <w:rsid w:val="00E74ACC"/>
    <w:rsid w:val="00E74D71"/>
    <w:rsid w:val="00E7515B"/>
    <w:rsid w:val="00E7692A"/>
    <w:rsid w:val="00E76B39"/>
    <w:rsid w:val="00E77473"/>
    <w:rsid w:val="00E77F94"/>
    <w:rsid w:val="00E81226"/>
    <w:rsid w:val="00E816CF"/>
    <w:rsid w:val="00E818CB"/>
    <w:rsid w:val="00E83AB9"/>
    <w:rsid w:val="00E8571C"/>
    <w:rsid w:val="00E85A89"/>
    <w:rsid w:val="00E873F1"/>
    <w:rsid w:val="00E8789C"/>
    <w:rsid w:val="00E9014E"/>
    <w:rsid w:val="00E909B2"/>
    <w:rsid w:val="00E9103C"/>
    <w:rsid w:val="00E91C9B"/>
    <w:rsid w:val="00E92377"/>
    <w:rsid w:val="00E92959"/>
    <w:rsid w:val="00E929B4"/>
    <w:rsid w:val="00E92C3E"/>
    <w:rsid w:val="00E939B1"/>
    <w:rsid w:val="00E94291"/>
    <w:rsid w:val="00E94AA0"/>
    <w:rsid w:val="00E9599D"/>
    <w:rsid w:val="00E97A77"/>
    <w:rsid w:val="00EA0109"/>
    <w:rsid w:val="00EA1554"/>
    <w:rsid w:val="00EA1A92"/>
    <w:rsid w:val="00EA2788"/>
    <w:rsid w:val="00EA3303"/>
    <w:rsid w:val="00EA37DA"/>
    <w:rsid w:val="00EA3D3A"/>
    <w:rsid w:val="00EA5251"/>
    <w:rsid w:val="00EA5B06"/>
    <w:rsid w:val="00EA661D"/>
    <w:rsid w:val="00EA6897"/>
    <w:rsid w:val="00EA7329"/>
    <w:rsid w:val="00EB033B"/>
    <w:rsid w:val="00EB0733"/>
    <w:rsid w:val="00EB2915"/>
    <w:rsid w:val="00EB30C7"/>
    <w:rsid w:val="00EB3395"/>
    <w:rsid w:val="00EB40BD"/>
    <w:rsid w:val="00EB4632"/>
    <w:rsid w:val="00EB6394"/>
    <w:rsid w:val="00EB6B07"/>
    <w:rsid w:val="00EB6FC0"/>
    <w:rsid w:val="00EB70AF"/>
    <w:rsid w:val="00EB722D"/>
    <w:rsid w:val="00EC0589"/>
    <w:rsid w:val="00EC1BEC"/>
    <w:rsid w:val="00EC1CEA"/>
    <w:rsid w:val="00EC1EC6"/>
    <w:rsid w:val="00EC282B"/>
    <w:rsid w:val="00EC391D"/>
    <w:rsid w:val="00EC485B"/>
    <w:rsid w:val="00EC51EF"/>
    <w:rsid w:val="00EC604D"/>
    <w:rsid w:val="00EC6435"/>
    <w:rsid w:val="00EC67E4"/>
    <w:rsid w:val="00EC6D7F"/>
    <w:rsid w:val="00EC70A6"/>
    <w:rsid w:val="00EC7E00"/>
    <w:rsid w:val="00ED02A0"/>
    <w:rsid w:val="00ED0437"/>
    <w:rsid w:val="00ED04EC"/>
    <w:rsid w:val="00ED0BCF"/>
    <w:rsid w:val="00ED10C0"/>
    <w:rsid w:val="00ED1C68"/>
    <w:rsid w:val="00ED20F2"/>
    <w:rsid w:val="00ED236B"/>
    <w:rsid w:val="00ED2FB1"/>
    <w:rsid w:val="00ED318E"/>
    <w:rsid w:val="00ED3781"/>
    <w:rsid w:val="00ED65C5"/>
    <w:rsid w:val="00EE0A1B"/>
    <w:rsid w:val="00EE1795"/>
    <w:rsid w:val="00EE1977"/>
    <w:rsid w:val="00EE2843"/>
    <w:rsid w:val="00EE2DFC"/>
    <w:rsid w:val="00EE3A31"/>
    <w:rsid w:val="00EE3A64"/>
    <w:rsid w:val="00EE417C"/>
    <w:rsid w:val="00EE4620"/>
    <w:rsid w:val="00EE47B1"/>
    <w:rsid w:val="00EE48C1"/>
    <w:rsid w:val="00EE5090"/>
    <w:rsid w:val="00EE545D"/>
    <w:rsid w:val="00EE6BC4"/>
    <w:rsid w:val="00EE7CEA"/>
    <w:rsid w:val="00EF07E8"/>
    <w:rsid w:val="00EF281F"/>
    <w:rsid w:val="00EF2ABC"/>
    <w:rsid w:val="00EF2D3D"/>
    <w:rsid w:val="00EF3083"/>
    <w:rsid w:val="00EF32FD"/>
    <w:rsid w:val="00EF3ED5"/>
    <w:rsid w:val="00EF486A"/>
    <w:rsid w:val="00EF51FA"/>
    <w:rsid w:val="00EF5237"/>
    <w:rsid w:val="00EF5285"/>
    <w:rsid w:val="00EF5B8B"/>
    <w:rsid w:val="00EF72EF"/>
    <w:rsid w:val="00F00325"/>
    <w:rsid w:val="00F003EF"/>
    <w:rsid w:val="00F00835"/>
    <w:rsid w:val="00F00C84"/>
    <w:rsid w:val="00F01289"/>
    <w:rsid w:val="00F0188E"/>
    <w:rsid w:val="00F01EA4"/>
    <w:rsid w:val="00F01F56"/>
    <w:rsid w:val="00F01FC1"/>
    <w:rsid w:val="00F01FEB"/>
    <w:rsid w:val="00F03243"/>
    <w:rsid w:val="00F0354F"/>
    <w:rsid w:val="00F04483"/>
    <w:rsid w:val="00F046EE"/>
    <w:rsid w:val="00F06048"/>
    <w:rsid w:val="00F06236"/>
    <w:rsid w:val="00F06E8D"/>
    <w:rsid w:val="00F104D2"/>
    <w:rsid w:val="00F11A9B"/>
    <w:rsid w:val="00F13A95"/>
    <w:rsid w:val="00F1437B"/>
    <w:rsid w:val="00F15086"/>
    <w:rsid w:val="00F1604B"/>
    <w:rsid w:val="00F16322"/>
    <w:rsid w:val="00F16B1D"/>
    <w:rsid w:val="00F1764A"/>
    <w:rsid w:val="00F209E8"/>
    <w:rsid w:val="00F22DC3"/>
    <w:rsid w:val="00F22F80"/>
    <w:rsid w:val="00F245A8"/>
    <w:rsid w:val="00F25B68"/>
    <w:rsid w:val="00F25F91"/>
    <w:rsid w:val="00F2638F"/>
    <w:rsid w:val="00F2686C"/>
    <w:rsid w:val="00F30AC5"/>
    <w:rsid w:val="00F31899"/>
    <w:rsid w:val="00F31F34"/>
    <w:rsid w:val="00F32633"/>
    <w:rsid w:val="00F3306A"/>
    <w:rsid w:val="00F338AB"/>
    <w:rsid w:val="00F361C0"/>
    <w:rsid w:val="00F36927"/>
    <w:rsid w:val="00F37351"/>
    <w:rsid w:val="00F37472"/>
    <w:rsid w:val="00F374ED"/>
    <w:rsid w:val="00F4063D"/>
    <w:rsid w:val="00F40F29"/>
    <w:rsid w:val="00F4222F"/>
    <w:rsid w:val="00F4323A"/>
    <w:rsid w:val="00F43960"/>
    <w:rsid w:val="00F442DE"/>
    <w:rsid w:val="00F44E2D"/>
    <w:rsid w:val="00F45057"/>
    <w:rsid w:val="00F452F2"/>
    <w:rsid w:val="00F464E5"/>
    <w:rsid w:val="00F47B8C"/>
    <w:rsid w:val="00F47C45"/>
    <w:rsid w:val="00F47D7D"/>
    <w:rsid w:val="00F47E67"/>
    <w:rsid w:val="00F54599"/>
    <w:rsid w:val="00F556E3"/>
    <w:rsid w:val="00F5650B"/>
    <w:rsid w:val="00F56882"/>
    <w:rsid w:val="00F56B26"/>
    <w:rsid w:val="00F57105"/>
    <w:rsid w:val="00F5727B"/>
    <w:rsid w:val="00F57470"/>
    <w:rsid w:val="00F579B5"/>
    <w:rsid w:val="00F60AAF"/>
    <w:rsid w:val="00F61B93"/>
    <w:rsid w:val="00F61C42"/>
    <w:rsid w:val="00F62715"/>
    <w:rsid w:val="00F62843"/>
    <w:rsid w:val="00F628E4"/>
    <w:rsid w:val="00F6471E"/>
    <w:rsid w:val="00F649FA"/>
    <w:rsid w:val="00F64BE2"/>
    <w:rsid w:val="00F6599A"/>
    <w:rsid w:val="00F67719"/>
    <w:rsid w:val="00F702E7"/>
    <w:rsid w:val="00F70559"/>
    <w:rsid w:val="00F70AF3"/>
    <w:rsid w:val="00F716C4"/>
    <w:rsid w:val="00F716FB"/>
    <w:rsid w:val="00F717EF"/>
    <w:rsid w:val="00F720BA"/>
    <w:rsid w:val="00F7224F"/>
    <w:rsid w:val="00F722EC"/>
    <w:rsid w:val="00F7295E"/>
    <w:rsid w:val="00F73240"/>
    <w:rsid w:val="00F7362A"/>
    <w:rsid w:val="00F73638"/>
    <w:rsid w:val="00F7370E"/>
    <w:rsid w:val="00F73B05"/>
    <w:rsid w:val="00F73FA0"/>
    <w:rsid w:val="00F74030"/>
    <w:rsid w:val="00F741EB"/>
    <w:rsid w:val="00F74CA2"/>
    <w:rsid w:val="00F7536B"/>
    <w:rsid w:val="00F757B8"/>
    <w:rsid w:val="00F75D85"/>
    <w:rsid w:val="00F76298"/>
    <w:rsid w:val="00F762EB"/>
    <w:rsid w:val="00F77912"/>
    <w:rsid w:val="00F77ECC"/>
    <w:rsid w:val="00F80A64"/>
    <w:rsid w:val="00F80C70"/>
    <w:rsid w:val="00F811D2"/>
    <w:rsid w:val="00F81266"/>
    <w:rsid w:val="00F813ED"/>
    <w:rsid w:val="00F8211C"/>
    <w:rsid w:val="00F84994"/>
    <w:rsid w:val="00F86295"/>
    <w:rsid w:val="00F87682"/>
    <w:rsid w:val="00F91378"/>
    <w:rsid w:val="00F91949"/>
    <w:rsid w:val="00F91FB7"/>
    <w:rsid w:val="00F9239F"/>
    <w:rsid w:val="00F92C08"/>
    <w:rsid w:val="00F935CD"/>
    <w:rsid w:val="00F94132"/>
    <w:rsid w:val="00F94775"/>
    <w:rsid w:val="00F9505D"/>
    <w:rsid w:val="00F95701"/>
    <w:rsid w:val="00F96F6D"/>
    <w:rsid w:val="00F96F82"/>
    <w:rsid w:val="00F97B0E"/>
    <w:rsid w:val="00F97C25"/>
    <w:rsid w:val="00FA057C"/>
    <w:rsid w:val="00FA1327"/>
    <w:rsid w:val="00FA1A62"/>
    <w:rsid w:val="00FA1F3E"/>
    <w:rsid w:val="00FA37BF"/>
    <w:rsid w:val="00FA59BE"/>
    <w:rsid w:val="00FA60D5"/>
    <w:rsid w:val="00FA6246"/>
    <w:rsid w:val="00FA68C7"/>
    <w:rsid w:val="00FA6DDC"/>
    <w:rsid w:val="00FA75CF"/>
    <w:rsid w:val="00FA77D5"/>
    <w:rsid w:val="00FA7ACA"/>
    <w:rsid w:val="00FB169E"/>
    <w:rsid w:val="00FB1D8E"/>
    <w:rsid w:val="00FB2980"/>
    <w:rsid w:val="00FB354D"/>
    <w:rsid w:val="00FB42A6"/>
    <w:rsid w:val="00FB5751"/>
    <w:rsid w:val="00FB57E2"/>
    <w:rsid w:val="00FB5C22"/>
    <w:rsid w:val="00FB5EDD"/>
    <w:rsid w:val="00FB6B0D"/>
    <w:rsid w:val="00FB6B48"/>
    <w:rsid w:val="00FB6C83"/>
    <w:rsid w:val="00FB7245"/>
    <w:rsid w:val="00FB78F9"/>
    <w:rsid w:val="00FC0362"/>
    <w:rsid w:val="00FC14D9"/>
    <w:rsid w:val="00FC31EB"/>
    <w:rsid w:val="00FC3278"/>
    <w:rsid w:val="00FC55A9"/>
    <w:rsid w:val="00FC572E"/>
    <w:rsid w:val="00FC5ED6"/>
    <w:rsid w:val="00FC75D0"/>
    <w:rsid w:val="00FC7BF6"/>
    <w:rsid w:val="00FC7DAA"/>
    <w:rsid w:val="00FC7F84"/>
    <w:rsid w:val="00FD040A"/>
    <w:rsid w:val="00FD06F7"/>
    <w:rsid w:val="00FD0F26"/>
    <w:rsid w:val="00FD14D0"/>
    <w:rsid w:val="00FD25C1"/>
    <w:rsid w:val="00FD26E5"/>
    <w:rsid w:val="00FD2DFC"/>
    <w:rsid w:val="00FD35BF"/>
    <w:rsid w:val="00FD393B"/>
    <w:rsid w:val="00FD3D02"/>
    <w:rsid w:val="00FD3E9F"/>
    <w:rsid w:val="00FD6D53"/>
    <w:rsid w:val="00FE082A"/>
    <w:rsid w:val="00FE0C64"/>
    <w:rsid w:val="00FE10C5"/>
    <w:rsid w:val="00FE1A16"/>
    <w:rsid w:val="00FE2524"/>
    <w:rsid w:val="00FE2812"/>
    <w:rsid w:val="00FE2969"/>
    <w:rsid w:val="00FE2C0F"/>
    <w:rsid w:val="00FE39AA"/>
    <w:rsid w:val="00FE4CD3"/>
    <w:rsid w:val="00FE4D29"/>
    <w:rsid w:val="00FE5395"/>
    <w:rsid w:val="00FE5D4D"/>
    <w:rsid w:val="00FE61BE"/>
    <w:rsid w:val="00FE6704"/>
    <w:rsid w:val="00FE68B7"/>
    <w:rsid w:val="00FE7232"/>
    <w:rsid w:val="00FE741E"/>
    <w:rsid w:val="00FE7613"/>
    <w:rsid w:val="00FE7F3A"/>
    <w:rsid w:val="00FF0239"/>
    <w:rsid w:val="00FF03DC"/>
    <w:rsid w:val="00FF0E8E"/>
    <w:rsid w:val="00FF112E"/>
    <w:rsid w:val="00FF173B"/>
    <w:rsid w:val="00FF1FCC"/>
    <w:rsid w:val="00FF2586"/>
    <w:rsid w:val="00FF26BB"/>
    <w:rsid w:val="00FF2D89"/>
    <w:rsid w:val="00FF3925"/>
    <w:rsid w:val="00FF3A92"/>
    <w:rsid w:val="00FF3F40"/>
    <w:rsid w:val="00FF5108"/>
    <w:rsid w:val="00FF5EDF"/>
    <w:rsid w:val="00FF5FD5"/>
    <w:rsid w:val="00FF634F"/>
    <w:rsid w:val="00FF7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813"/>
    <o:shapelayout v:ext="edit">
      <o:idmap v:ext="edit" data="1,45,61,70,71"/>
      <o:rules v:ext="edit">
        <o:r id="V:Rule34" type="connector" idref="#_x0000_s72462"/>
        <o:r id="V:Rule35" type="connector" idref="#_x0000_s72492"/>
        <o:r id="V:Rule36" type="connector" idref="#_x0000_s72504"/>
        <o:r id="V:Rule37" type="connector" idref="#_x0000_s72481"/>
        <o:r id="V:Rule38" type="connector" idref="#_x0000_s72465"/>
        <o:r id="V:Rule39" type="connector" idref="#_x0000_s72497"/>
        <o:r id="V:Rule40" type="connector" idref="#_x0000_s72459"/>
        <o:r id="V:Rule41" type="connector" idref="#_x0000_s72491"/>
        <o:r id="V:Rule42" type="connector" idref="#_x0000_s72505"/>
        <o:r id="V:Rule43" type="connector" idref="#_x0000_s72464"/>
        <o:r id="V:Rule44" type="connector" idref="#_x0000_s72466"/>
        <o:r id="V:Rule45" type="connector" idref="#_x0000_s72502"/>
        <o:r id="V:Rule46" type="connector" idref="#_x0000_s72507"/>
        <o:r id="V:Rule47" type="connector" idref="#_x0000_s72467"/>
        <o:r id="V:Rule48" type="connector" idref="#_x0000_s72499"/>
        <o:r id="V:Rule49" type="connector" idref="#_x0000_s72483"/>
        <o:r id="V:Rule50" type="connector" idref="#_x0000_s72496"/>
        <o:r id="V:Rule51" type="connector" idref="#_x0000_s72450"/>
        <o:r id="V:Rule52" type="connector" idref="#_x0000_s72508"/>
        <o:r id="V:Rule53" type="connector" idref="#_x0000_s72498"/>
        <o:r id="V:Rule54" type="connector" idref="#_x0000_s72495"/>
        <o:r id="V:Rule55" type="connector" idref="#_x0000_s72461"/>
        <o:r id="V:Rule56" type="connector" idref="#_x0000_s72469"/>
        <o:r id="V:Rule57" type="connector" idref="#_x0000_s72460"/>
        <o:r id="V:Rule58" type="connector" idref="#_x0000_s72463"/>
        <o:r id="V:Rule59" type="connector" idref="#_x0000_s72449"/>
        <o:r id="V:Rule60" type="connector" idref="#_x0000_s72448"/>
        <o:r id="V:Rule61" type="connector" idref="#_x0000_s72493"/>
        <o:r id="V:Rule62" type="connector" idref="#_x0000_s72458"/>
        <o:r id="V:Rule63" type="connector" idref="#_x0000_s72506"/>
        <o:r id="V:Rule64" type="connector" idref="#_x0000_s72494"/>
        <o:r id="V:Rule65" type="connector" idref="#_x0000_s72503"/>
        <o:r id="V:Rule66" type="connector" idref="#_x0000_s725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B43"/>
    <w:rPr>
      <w:sz w:val="24"/>
      <w:szCs w:val="24"/>
    </w:rPr>
  </w:style>
  <w:style w:type="paragraph" w:styleId="Heading1">
    <w:name w:val="heading 1"/>
    <w:basedOn w:val="Normal"/>
    <w:next w:val="Normal"/>
    <w:link w:val="Heading1Char"/>
    <w:qFormat/>
    <w:rsid w:val="00226B43"/>
    <w:pPr>
      <w:keepNext/>
      <w:jc w:val="center"/>
      <w:outlineLvl w:val="0"/>
    </w:pPr>
    <w:rPr>
      <w:rFonts w:cs="Angsana New"/>
      <w:b/>
      <w:u w:val="single"/>
    </w:rPr>
  </w:style>
  <w:style w:type="paragraph" w:styleId="Heading2">
    <w:name w:val="heading 2"/>
    <w:basedOn w:val="Normal"/>
    <w:next w:val="Normal"/>
    <w:link w:val="Heading2Char"/>
    <w:qFormat/>
    <w:rsid w:val="00226B4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E5235"/>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226B43"/>
    <w:pPr>
      <w:keepNext/>
      <w:autoSpaceDE w:val="0"/>
      <w:autoSpaceDN w:val="0"/>
      <w:adjustRightInd w:val="0"/>
      <w:spacing w:line="480" w:lineRule="auto"/>
      <w:jc w:val="both"/>
      <w:outlineLvl w:val="4"/>
    </w:pPr>
    <w:rPr>
      <w:rFonts w:ascii="TimesNewRomanPSMT" w:hAnsi="TimesNewRomanPSMT"/>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6B43"/>
    <w:pPr>
      <w:autoSpaceDE w:val="0"/>
      <w:autoSpaceDN w:val="0"/>
      <w:adjustRightInd w:val="0"/>
      <w:spacing w:line="480" w:lineRule="auto"/>
      <w:jc w:val="both"/>
    </w:pPr>
    <w:rPr>
      <w:rFonts w:cs="Angsana New"/>
      <w:color w:val="333333"/>
    </w:rPr>
  </w:style>
  <w:style w:type="paragraph" w:styleId="NormalWeb">
    <w:name w:val="Normal (Web)"/>
    <w:basedOn w:val="Normal"/>
    <w:uiPriority w:val="99"/>
    <w:rsid w:val="00226B43"/>
    <w:pPr>
      <w:spacing w:before="100" w:beforeAutospacing="1" w:after="100" w:afterAutospacing="1"/>
    </w:pPr>
  </w:style>
  <w:style w:type="character" w:styleId="Strong">
    <w:name w:val="Strong"/>
    <w:basedOn w:val="DefaultParagraphFont"/>
    <w:qFormat/>
    <w:rsid w:val="00226B43"/>
    <w:rPr>
      <w:b/>
      <w:bCs/>
    </w:rPr>
  </w:style>
  <w:style w:type="paragraph" w:customStyle="1" w:styleId="Default">
    <w:name w:val="Default"/>
    <w:rsid w:val="00226B43"/>
    <w:pPr>
      <w:autoSpaceDE w:val="0"/>
      <w:autoSpaceDN w:val="0"/>
      <w:adjustRightInd w:val="0"/>
    </w:pPr>
    <w:rPr>
      <w:rFonts w:ascii="Arial" w:hAnsi="Arial" w:cs="Arial"/>
      <w:color w:val="000000"/>
      <w:sz w:val="24"/>
      <w:szCs w:val="24"/>
    </w:rPr>
  </w:style>
  <w:style w:type="character" w:styleId="Hyperlink">
    <w:name w:val="Hyperlink"/>
    <w:basedOn w:val="DefaultParagraphFont"/>
    <w:rsid w:val="00226B43"/>
    <w:rPr>
      <w:color w:val="0000FF"/>
      <w:u w:val="single"/>
    </w:rPr>
  </w:style>
  <w:style w:type="paragraph" w:styleId="Footer">
    <w:name w:val="footer"/>
    <w:basedOn w:val="Normal"/>
    <w:link w:val="FooterChar"/>
    <w:uiPriority w:val="99"/>
    <w:rsid w:val="00B179B7"/>
    <w:pPr>
      <w:tabs>
        <w:tab w:val="center" w:pos="4320"/>
        <w:tab w:val="right" w:pos="8640"/>
      </w:tabs>
    </w:pPr>
  </w:style>
  <w:style w:type="character" w:styleId="PageNumber">
    <w:name w:val="page number"/>
    <w:basedOn w:val="DefaultParagraphFont"/>
    <w:rsid w:val="00B179B7"/>
  </w:style>
  <w:style w:type="paragraph" w:styleId="ListParagraph">
    <w:name w:val="List Paragraph"/>
    <w:basedOn w:val="Normal"/>
    <w:uiPriority w:val="34"/>
    <w:qFormat/>
    <w:rsid w:val="00FA1F3E"/>
    <w:pPr>
      <w:spacing w:after="200" w:line="276" w:lineRule="auto"/>
      <w:ind w:left="720"/>
      <w:contextualSpacing/>
    </w:pPr>
    <w:rPr>
      <w:rFonts w:ascii="Calibri" w:eastAsia="Calibri" w:hAnsi="Calibri"/>
      <w:sz w:val="22"/>
      <w:szCs w:val="22"/>
      <w:lang w:val="en-GB"/>
    </w:rPr>
  </w:style>
  <w:style w:type="table" w:styleId="TableGrid">
    <w:name w:val="Table Grid"/>
    <w:basedOn w:val="TableNormal"/>
    <w:uiPriority w:val="59"/>
    <w:rsid w:val="0080103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801037"/>
    <w:rPr>
      <w:i/>
      <w:iCs/>
    </w:rPr>
  </w:style>
  <w:style w:type="paragraph" w:styleId="Header">
    <w:name w:val="header"/>
    <w:basedOn w:val="Normal"/>
    <w:link w:val="HeaderChar"/>
    <w:uiPriority w:val="99"/>
    <w:unhideWhenUsed/>
    <w:rsid w:val="00801037"/>
    <w:pPr>
      <w:tabs>
        <w:tab w:val="center" w:pos="4513"/>
        <w:tab w:val="right" w:pos="9026"/>
      </w:tabs>
      <w:spacing w:after="200" w:line="276" w:lineRule="auto"/>
    </w:pPr>
    <w:rPr>
      <w:rFonts w:ascii="Calibri" w:eastAsia="Calibri" w:hAnsi="Calibri"/>
      <w:sz w:val="22"/>
      <w:szCs w:val="22"/>
      <w:lang w:val="en-GB"/>
    </w:rPr>
  </w:style>
  <w:style w:type="character" w:customStyle="1" w:styleId="HeaderChar">
    <w:name w:val="Header Char"/>
    <w:basedOn w:val="DefaultParagraphFont"/>
    <w:link w:val="Header"/>
    <w:uiPriority w:val="99"/>
    <w:rsid w:val="00801037"/>
    <w:rPr>
      <w:rFonts w:ascii="Calibri" w:eastAsia="Calibri" w:hAnsi="Calibri"/>
      <w:sz w:val="22"/>
      <w:szCs w:val="22"/>
      <w:lang w:val="en-GB"/>
    </w:rPr>
  </w:style>
  <w:style w:type="character" w:customStyle="1" w:styleId="FooterChar">
    <w:name w:val="Footer Char"/>
    <w:basedOn w:val="DefaultParagraphFont"/>
    <w:link w:val="Footer"/>
    <w:uiPriority w:val="99"/>
    <w:rsid w:val="00801037"/>
    <w:rPr>
      <w:sz w:val="24"/>
      <w:szCs w:val="24"/>
    </w:rPr>
  </w:style>
  <w:style w:type="paragraph" w:styleId="BalloonText">
    <w:name w:val="Balloon Text"/>
    <w:basedOn w:val="Normal"/>
    <w:link w:val="BalloonTextChar"/>
    <w:rsid w:val="00AF3906"/>
    <w:rPr>
      <w:rFonts w:ascii="Tahoma" w:hAnsi="Tahoma" w:cs="Tahoma"/>
      <w:sz w:val="16"/>
      <w:szCs w:val="16"/>
    </w:rPr>
  </w:style>
  <w:style w:type="character" w:customStyle="1" w:styleId="BalloonTextChar">
    <w:name w:val="Balloon Text Char"/>
    <w:basedOn w:val="DefaultParagraphFont"/>
    <w:link w:val="BalloonText"/>
    <w:rsid w:val="00AF3906"/>
    <w:rPr>
      <w:rFonts w:ascii="Tahoma" w:hAnsi="Tahoma" w:cs="Tahoma"/>
      <w:sz w:val="16"/>
      <w:szCs w:val="16"/>
    </w:rPr>
  </w:style>
  <w:style w:type="character" w:customStyle="1" w:styleId="Heading2Char">
    <w:name w:val="Heading 2 Char"/>
    <w:basedOn w:val="DefaultParagraphFont"/>
    <w:link w:val="Heading2"/>
    <w:rsid w:val="00DE5235"/>
    <w:rPr>
      <w:rFonts w:ascii="Arial" w:hAnsi="Arial" w:cs="Arial"/>
      <w:b/>
      <w:bCs/>
      <w:i/>
      <w:iCs/>
      <w:sz w:val="28"/>
      <w:szCs w:val="28"/>
      <w:lang w:val="en-US" w:eastAsia="en-US" w:bidi="ar-SA"/>
    </w:rPr>
  </w:style>
  <w:style w:type="character" w:customStyle="1" w:styleId="Heading1Char">
    <w:name w:val="Heading 1 Char"/>
    <w:basedOn w:val="DefaultParagraphFont"/>
    <w:link w:val="Heading1"/>
    <w:rsid w:val="00FF5EDF"/>
    <w:rPr>
      <w:rFonts w:cs="Angsana New"/>
      <w:b/>
      <w:sz w:val="24"/>
      <w:szCs w:val="24"/>
      <w:u w:val="single"/>
    </w:rPr>
  </w:style>
  <w:style w:type="character" w:customStyle="1" w:styleId="Heading3Char">
    <w:name w:val="Heading 3 Char"/>
    <w:basedOn w:val="DefaultParagraphFont"/>
    <w:link w:val="Heading3"/>
    <w:rsid w:val="00FF5EDF"/>
    <w:rPr>
      <w:rFonts w:ascii="Cambria" w:hAnsi="Cambria"/>
      <w:b/>
      <w:bCs/>
      <w:color w:val="4F81BD"/>
      <w:sz w:val="24"/>
      <w:szCs w:val="24"/>
    </w:rPr>
  </w:style>
  <w:style w:type="character" w:customStyle="1" w:styleId="Heading5Char">
    <w:name w:val="Heading 5 Char"/>
    <w:basedOn w:val="DefaultParagraphFont"/>
    <w:link w:val="Heading5"/>
    <w:rsid w:val="00FF5EDF"/>
    <w:rPr>
      <w:rFonts w:ascii="TimesNewRomanPSMT" w:hAnsi="TimesNewRomanPSMT"/>
      <w:b/>
      <w:bCs/>
      <w:color w:val="333333"/>
      <w:sz w:val="24"/>
      <w:szCs w:val="24"/>
    </w:rPr>
  </w:style>
  <w:style w:type="character" w:customStyle="1" w:styleId="BodyTextChar">
    <w:name w:val="Body Text Char"/>
    <w:basedOn w:val="DefaultParagraphFont"/>
    <w:link w:val="BodyText"/>
    <w:rsid w:val="00FF5EDF"/>
    <w:rPr>
      <w:rFonts w:cs="Angsana New"/>
      <w:color w:val="333333"/>
      <w:sz w:val="24"/>
      <w:szCs w:val="24"/>
    </w:rPr>
  </w:style>
  <w:style w:type="character" w:customStyle="1" w:styleId="a">
    <w:name w:val="a"/>
    <w:basedOn w:val="DefaultParagraphFont"/>
    <w:rsid w:val="00FF5EDF"/>
  </w:style>
  <w:style w:type="character" w:styleId="HTMLCite">
    <w:name w:val="HTML Cite"/>
    <w:basedOn w:val="DefaultParagraphFont"/>
    <w:uiPriority w:val="99"/>
    <w:unhideWhenUsed/>
    <w:rsid w:val="00B16001"/>
    <w:rPr>
      <w:i/>
      <w:iCs/>
    </w:rPr>
  </w:style>
  <w:style w:type="character" w:styleId="FollowedHyperlink">
    <w:name w:val="FollowedHyperlink"/>
    <w:basedOn w:val="DefaultParagraphFont"/>
    <w:rsid w:val="008D20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0677162">
      <w:bodyDiv w:val="1"/>
      <w:marLeft w:val="0"/>
      <w:marRight w:val="0"/>
      <w:marTop w:val="0"/>
      <w:marBottom w:val="0"/>
      <w:divBdr>
        <w:top w:val="none" w:sz="0" w:space="0" w:color="auto"/>
        <w:left w:val="none" w:sz="0" w:space="0" w:color="auto"/>
        <w:bottom w:val="none" w:sz="0" w:space="0" w:color="auto"/>
        <w:right w:val="none" w:sz="0" w:space="0" w:color="auto"/>
      </w:divBdr>
    </w:div>
    <w:div w:id="260532871">
      <w:bodyDiv w:val="1"/>
      <w:marLeft w:val="0"/>
      <w:marRight w:val="0"/>
      <w:marTop w:val="0"/>
      <w:marBottom w:val="0"/>
      <w:divBdr>
        <w:top w:val="none" w:sz="0" w:space="0" w:color="auto"/>
        <w:left w:val="none" w:sz="0" w:space="0" w:color="auto"/>
        <w:bottom w:val="none" w:sz="0" w:space="0" w:color="auto"/>
        <w:right w:val="none" w:sz="0" w:space="0" w:color="auto"/>
      </w:divBdr>
    </w:div>
    <w:div w:id="649140309">
      <w:bodyDiv w:val="1"/>
      <w:marLeft w:val="0"/>
      <w:marRight w:val="0"/>
      <w:marTop w:val="0"/>
      <w:marBottom w:val="0"/>
      <w:divBdr>
        <w:top w:val="none" w:sz="0" w:space="0" w:color="auto"/>
        <w:left w:val="none" w:sz="0" w:space="0" w:color="auto"/>
        <w:bottom w:val="none" w:sz="0" w:space="0" w:color="auto"/>
        <w:right w:val="none" w:sz="0" w:space="0" w:color="auto"/>
      </w:divBdr>
      <w:divsChild>
        <w:div w:id="285233758">
          <w:marLeft w:val="547"/>
          <w:marRight w:val="0"/>
          <w:marTop w:val="115"/>
          <w:marBottom w:val="0"/>
          <w:divBdr>
            <w:top w:val="none" w:sz="0" w:space="0" w:color="auto"/>
            <w:left w:val="none" w:sz="0" w:space="0" w:color="auto"/>
            <w:bottom w:val="none" w:sz="0" w:space="0" w:color="auto"/>
            <w:right w:val="none" w:sz="0" w:space="0" w:color="auto"/>
          </w:divBdr>
        </w:div>
        <w:div w:id="60371727">
          <w:marLeft w:val="2160"/>
          <w:marRight w:val="0"/>
          <w:marTop w:val="115"/>
          <w:marBottom w:val="0"/>
          <w:divBdr>
            <w:top w:val="none" w:sz="0" w:space="0" w:color="auto"/>
            <w:left w:val="none" w:sz="0" w:space="0" w:color="auto"/>
            <w:bottom w:val="none" w:sz="0" w:space="0" w:color="auto"/>
            <w:right w:val="none" w:sz="0" w:space="0" w:color="auto"/>
          </w:divBdr>
        </w:div>
        <w:div w:id="618922659">
          <w:marLeft w:val="2160"/>
          <w:marRight w:val="0"/>
          <w:marTop w:val="115"/>
          <w:marBottom w:val="0"/>
          <w:divBdr>
            <w:top w:val="none" w:sz="0" w:space="0" w:color="auto"/>
            <w:left w:val="none" w:sz="0" w:space="0" w:color="auto"/>
            <w:bottom w:val="none" w:sz="0" w:space="0" w:color="auto"/>
            <w:right w:val="none" w:sz="0" w:space="0" w:color="auto"/>
          </w:divBdr>
        </w:div>
      </w:divsChild>
    </w:div>
    <w:div w:id="706486133">
      <w:bodyDiv w:val="1"/>
      <w:marLeft w:val="0"/>
      <w:marRight w:val="0"/>
      <w:marTop w:val="0"/>
      <w:marBottom w:val="0"/>
      <w:divBdr>
        <w:top w:val="none" w:sz="0" w:space="0" w:color="auto"/>
        <w:left w:val="none" w:sz="0" w:space="0" w:color="auto"/>
        <w:bottom w:val="none" w:sz="0" w:space="0" w:color="auto"/>
        <w:right w:val="none" w:sz="0" w:space="0" w:color="auto"/>
      </w:divBdr>
      <w:divsChild>
        <w:div w:id="1067147099">
          <w:marLeft w:val="547"/>
          <w:marRight w:val="0"/>
          <w:marTop w:val="125"/>
          <w:marBottom w:val="0"/>
          <w:divBdr>
            <w:top w:val="none" w:sz="0" w:space="0" w:color="auto"/>
            <w:left w:val="none" w:sz="0" w:space="0" w:color="auto"/>
            <w:bottom w:val="none" w:sz="0" w:space="0" w:color="auto"/>
            <w:right w:val="none" w:sz="0" w:space="0" w:color="auto"/>
          </w:divBdr>
        </w:div>
        <w:div w:id="1043821177">
          <w:marLeft w:val="547"/>
          <w:marRight w:val="0"/>
          <w:marTop w:val="125"/>
          <w:marBottom w:val="0"/>
          <w:divBdr>
            <w:top w:val="none" w:sz="0" w:space="0" w:color="auto"/>
            <w:left w:val="none" w:sz="0" w:space="0" w:color="auto"/>
            <w:bottom w:val="none" w:sz="0" w:space="0" w:color="auto"/>
            <w:right w:val="none" w:sz="0" w:space="0" w:color="auto"/>
          </w:divBdr>
        </w:div>
        <w:div w:id="783578401">
          <w:marLeft w:val="547"/>
          <w:marRight w:val="0"/>
          <w:marTop w:val="125"/>
          <w:marBottom w:val="0"/>
          <w:divBdr>
            <w:top w:val="none" w:sz="0" w:space="0" w:color="auto"/>
            <w:left w:val="none" w:sz="0" w:space="0" w:color="auto"/>
            <w:bottom w:val="none" w:sz="0" w:space="0" w:color="auto"/>
            <w:right w:val="none" w:sz="0" w:space="0" w:color="auto"/>
          </w:divBdr>
        </w:div>
      </w:divsChild>
    </w:div>
    <w:div w:id="740718223">
      <w:bodyDiv w:val="1"/>
      <w:marLeft w:val="0"/>
      <w:marRight w:val="0"/>
      <w:marTop w:val="0"/>
      <w:marBottom w:val="0"/>
      <w:divBdr>
        <w:top w:val="none" w:sz="0" w:space="0" w:color="auto"/>
        <w:left w:val="none" w:sz="0" w:space="0" w:color="auto"/>
        <w:bottom w:val="none" w:sz="0" w:space="0" w:color="auto"/>
        <w:right w:val="none" w:sz="0" w:space="0" w:color="auto"/>
      </w:divBdr>
    </w:div>
    <w:div w:id="768039962">
      <w:bodyDiv w:val="1"/>
      <w:marLeft w:val="0"/>
      <w:marRight w:val="0"/>
      <w:marTop w:val="0"/>
      <w:marBottom w:val="0"/>
      <w:divBdr>
        <w:top w:val="none" w:sz="0" w:space="0" w:color="auto"/>
        <w:left w:val="none" w:sz="0" w:space="0" w:color="auto"/>
        <w:bottom w:val="none" w:sz="0" w:space="0" w:color="auto"/>
        <w:right w:val="none" w:sz="0" w:space="0" w:color="auto"/>
      </w:divBdr>
    </w:div>
    <w:div w:id="1309434171">
      <w:bodyDiv w:val="1"/>
      <w:marLeft w:val="0"/>
      <w:marRight w:val="0"/>
      <w:marTop w:val="0"/>
      <w:marBottom w:val="0"/>
      <w:divBdr>
        <w:top w:val="none" w:sz="0" w:space="0" w:color="auto"/>
        <w:left w:val="none" w:sz="0" w:space="0" w:color="auto"/>
        <w:bottom w:val="none" w:sz="0" w:space="0" w:color="auto"/>
        <w:right w:val="none" w:sz="0" w:space="0" w:color="auto"/>
      </w:divBdr>
    </w:div>
    <w:div w:id="1386679992">
      <w:bodyDiv w:val="1"/>
      <w:marLeft w:val="0"/>
      <w:marRight w:val="0"/>
      <w:marTop w:val="0"/>
      <w:marBottom w:val="0"/>
      <w:divBdr>
        <w:top w:val="none" w:sz="0" w:space="0" w:color="auto"/>
        <w:left w:val="none" w:sz="0" w:space="0" w:color="auto"/>
        <w:bottom w:val="none" w:sz="0" w:space="0" w:color="auto"/>
        <w:right w:val="none" w:sz="0" w:space="0" w:color="auto"/>
      </w:divBdr>
    </w:div>
    <w:div w:id="1468158169">
      <w:bodyDiv w:val="1"/>
      <w:marLeft w:val="0"/>
      <w:marRight w:val="0"/>
      <w:marTop w:val="0"/>
      <w:marBottom w:val="0"/>
      <w:divBdr>
        <w:top w:val="none" w:sz="0" w:space="0" w:color="auto"/>
        <w:left w:val="none" w:sz="0" w:space="0" w:color="auto"/>
        <w:bottom w:val="none" w:sz="0" w:space="0" w:color="auto"/>
        <w:right w:val="none" w:sz="0" w:space="0" w:color="auto"/>
      </w:divBdr>
    </w:div>
    <w:div w:id="1470590726">
      <w:bodyDiv w:val="1"/>
      <w:marLeft w:val="0"/>
      <w:marRight w:val="0"/>
      <w:marTop w:val="0"/>
      <w:marBottom w:val="0"/>
      <w:divBdr>
        <w:top w:val="none" w:sz="0" w:space="0" w:color="auto"/>
        <w:left w:val="none" w:sz="0" w:space="0" w:color="auto"/>
        <w:bottom w:val="none" w:sz="0" w:space="0" w:color="auto"/>
        <w:right w:val="none" w:sz="0" w:space="0" w:color="auto"/>
      </w:divBdr>
    </w:div>
    <w:div w:id="1684477123">
      <w:bodyDiv w:val="1"/>
      <w:marLeft w:val="0"/>
      <w:marRight w:val="0"/>
      <w:marTop w:val="0"/>
      <w:marBottom w:val="0"/>
      <w:divBdr>
        <w:top w:val="none" w:sz="0" w:space="0" w:color="auto"/>
        <w:left w:val="none" w:sz="0" w:space="0" w:color="auto"/>
        <w:bottom w:val="none" w:sz="0" w:space="0" w:color="auto"/>
        <w:right w:val="none" w:sz="0" w:space="0" w:color="auto"/>
      </w:divBdr>
      <w:divsChild>
        <w:div w:id="378163739">
          <w:marLeft w:val="0"/>
          <w:marRight w:val="0"/>
          <w:marTop w:val="0"/>
          <w:marBottom w:val="0"/>
          <w:divBdr>
            <w:top w:val="none" w:sz="0" w:space="0" w:color="auto"/>
            <w:left w:val="none" w:sz="0" w:space="0" w:color="auto"/>
            <w:bottom w:val="none" w:sz="0" w:space="0" w:color="auto"/>
            <w:right w:val="none" w:sz="0" w:space="0" w:color="auto"/>
          </w:divBdr>
        </w:div>
      </w:divsChild>
    </w:div>
    <w:div w:id="1696727879">
      <w:bodyDiv w:val="1"/>
      <w:marLeft w:val="0"/>
      <w:marRight w:val="0"/>
      <w:marTop w:val="0"/>
      <w:marBottom w:val="0"/>
      <w:divBdr>
        <w:top w:val="none" w:sz="0" w:space="0" w:color="auto"/>
        <w:left w:val="none" w:sz="0" w:space="0" w:color="auto"/>
        <w:bottom w:val="none" w:sz="0" w:space="0" w:color="auto"/>
        <w:right w:val="none" w:sz="0" w:space="0" w:color="auto"/>
      </w:divBdr>
    </w:div>
    <w:div w:id="1891107098">
      <w:bodyDiv w:val="1"/>
      <w:marLeft w:val="0"/>
      <w:marRight w:val="0"/>
      <w:marTop w:val="0"/>
      <w:marBottom w:val="0"/>
      <w:divBdr>
        <w:top w:val="none" w:sz="0" w:space="0" w:color="auto"/>
        <w:left w:val="none" w:sz="0" w:space="0" w:color="auto"/>
        <w:bottom w:val="none" w:sz="0" w:space="0" w:color="auto"/>
        <w:right w:val="none" w:sz="0" w:space="0" w:color="auto"/>
      </w:divBdr>
      <w:divsChild>
        <w:div w:id="1343436954">
          <w:marLeft w:val="547"/>
          <w:marRight w:val="0"/>
          <w:marTop w:val="120"/>
          <w:marBottom w:val="0"/>
          <w:divBdr>
            <w:top w:val="none" w:sz="0" w:space="0" w:color="auto"/>
            <w:left w:val="none" w:sz="0" w:space="0" w:color="auto"/>
            <w:bottom w:val="none" w:sz="0" w:space="0" w:color="auto"/>
            <w:right w:val="none" w:sz="0" w:space="0" w:color="auto"/>
          </w:divBdr>
        </w:div>
        <w:div w:id="2068527397">
          <w:marLeft w:val="547"/>
          <w:marRight w:val="0"/>
          <w:marTop w:val="120"/>
          <w:marBottom w:val="0"/>
          <w:divBdr>
            <w:top w:val="none" w:sz="0" w:space="0" w:color="auto"/>
            <w:left w:val="none" w:sz="0" w:space="0" w:color="auto"/>
            <w:bottom w:val="none" w:sz="0" w:space="0" w:color="auto"/>
            <w:right w:val="none" w:sz="0" w:space="0" w:color="auto"/>
          </w:divBdr>
        </w:div>
        <w:div w:id="1343245647">
          <w:marLeft w:val="547"/>
          <w:marRight w:val="0"/>
          <w:marTop w:val="120"/>
          <w:marBottom w:val="0"/>
          <w:divBdr>
            <w:top w:val="none" w:sz="0" w:space="0" w:color="auto"/>
            <w:left w:val="none" w:sz="0" w:space="0" w:color="auto"/>
            <w:bottom w:val="none" w:sz="0" w:space="0" w:color="auto"/>
            <w:right w:val="none" w:sz="0" w:space="0" w:color="auto"/>
          </w:divBdr>
        </w:div>
      </w:divsChild>
    </w:div>
    <w:div w:id="1967001029">
      <w:bodyDiv w:val="1"/>
      <w:marLeft w:val="0"/>
      <w:marRight w:val="0"/>
      <w:marTop w:val="0"/>
      <w:marBottom w:val="0"/>
      <w:divBdr>
        <w:top w:val="none" w:sz="0" w:space="0" w:color="auto"/>
        <w:left w:val="none" w:sz="0" w:space="0" w:color="auto"/>
        <w:bottom w:val="none" w:sz="0" w:space="0" w:color="auto"/>
        <w:right w:val="none" w:sz="0" w:space="0" w:color="auto"/>
      </w:divBdr>
    </w:div>
    <w:div w:id="1989430764">
      <w:bodyDiv w:val="1"/>
      <w:marLeft w:val="0"/>
      <w:marRight w:val="0"/>
      <w:marTop w:val="0"/>
      <w:marBottom w:val="0"/>
      <w:divBdr>
        <w:top w:val="none" w:sz="0" w:space="0" w:color="auto"/>
        <w:left w:val="none" w:sz="0" w:space="0" w:color="auto"/>
        <w:bottom w:val="none" w:sz="0" w:space="0" w:color="auto"/>
        <w:right w:val="none" w:sz="0" w:space="0" w:color="auto"/>
      </w:divBdr>
      <w:divsChild>
        <w:div w:id="86777383">
          <w:marLeft w:val="547"/>
          <w:marRight w:val="0"/>
          <w:marTop w:val="106"/>
          <w:marBottom w:val="0"/>
          <w:divBdr>
            <w:top w:val="none" w:sz="0" w:space="0" w:color="auto"/>
            <w:left w:val="none" w:sz="0" w:space="0" w:color="auto"/>
            <w:bottom w:val="none" w:sz="0" w:space="0" w:color="auto"/>
            <w:right w:val="none" w:sz="0" w:space="0" w:color="auto"/>
          </w:divBdr>
        </w:div>
        <w:div w:id="1121653083">
          <w:marLeft w:val="1166"/>
          <w:marRight w:val="0"/>
          <w:marTop w:val="106"/>
          <w:marBottom w:val="0"/>
          <w:divBdr>
            <w:top w:val="none" w:sz="0" w:space="0" w:color="auto"/>
            <w:left w:val="none" w:sz="0" w:space="0" w:color="auto"/>
            <w:bottom w:val="none" w:sz="0" w:space="0" w:color="auto"/>
            <w:right w:val="none" w:sz="0" w:space="0" w:color="auto"/>
          </w:divBdr>
        </w:div>
        <w:div w:id="1242176194">
          <w:marLeft w:val="1166"/>
          <w:marRight w:val="0"/>
          <w:marTop w:val="106"/>
          <w:marBottom w:val="0"/>
          <w:divBdr>
            <w:top w:val="none" w:sz="0" w:space="0" w:color="auto"/>
            <w:left w:val="none" w:sz="0" w:space="0" w:color="auto"/>
            <w:bottom w:val="none" w:sz="0" w:space="0" w:color="auto"/>
            <w:right w:val="none" w:sz="0" w:space="0" w:color="auto"/>
          </w:divBdr>
        </w:div>
        <w:div w:id="150022127">
          <w:marLeft w:val="1166"/>
          <w:marRight w:val="0"/>
          <w:marTop w:val="106"/>
          <w:marBottom w:val="0"/>
          <w:divBdr>
            <w:top w:val="none" w:sz="0" w:space="0" w:color="auto"/>
            <w:left w:val="none" w:sz="0" w:space="0" w:color="auto"/>
            <w:bottom w:val="none" w:sz="0" w:space="0" w:color="auto"/>
            <w:right w:val="none" w:sz="0" w:space="0" w:color="auto"/>
          </w:divBdr>
        </w:div>
        <w:div w:id="1724677417">
          <w:marLeft w:val="1166"/>
          <w:marRight w:val="0"/>
          <w:marTop w:val="106"/>
          <w:marBottom w:val="0"/>
          <w:divBdr>
            <w:top w:val="none" w:sz="0" w:space="0" w:color="auto"/>
            <w:left w:val="none" w:sz="0" w:space="0" w:color="auto"/>
            <w:bottom w:val="none" w:sz="0" w:space="0" w:color="auto"/>
            <w:right w:val="none" w:sz="0" w:space="0" w:color="auto"/>
          </w:divBdr>
        </w:div>
        <w:div w:id="679939249">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yperlink" Target="http://www.pwc.com/Extweb/pwcpublications.nsf/docid/161BDC4202A1237%09802572E700318D4E" TargetMode="External"/><Relationship Id="rId39" Type="http://schemas.openxmlformats.org/officeDocument/2006/relationships/image" Target="media/image21.w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hyperlink" Target="http://www.ndic-ng.com/fialed_institutions.htm" TargetMode="External"/><Relationship Id="rId42" Type="http://schemas.openxmlformats.org/officeDocument/2006/relationships/image" Target="media/image24.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http://www.iasb.org" TargetMode="External"/><Relationship Id="rId33" Type="http://schemas.openxmlformats.org/officeDocument/2006/relationships/hyperlink" Target="http://www.elaws.gov.on.ca/html/statutes/english%20%09/elaws_statutes_90505" TargetMode="External"/><Relationship Id="rId38" Type="http://schemas.openxmlformats.org/officeDocument/2006/relationships/image" Target="media/image2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17.wmf"/><Relationship Id="rId41"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hdrstats.undp.org/en/2008/countries/country_fact_sheets/cty_fs_NGA.ht" TargetMode="External"/><Relationship Id="rId32" Type="http://schemas.openxmlformats.org/officeDocument/2006/relationships/hyperlink" Target="http://wwwdatabase.sec.gov.ng/growthof" TargetMode="External"/><Relationship Id="rId37" Type="http://schemas.openxmlformats.org/officeDocument/2006/relationships/image" Target="media/image19.wmf"/><Relationship Id="rId40" Type="http://schemas.openxmlformats.org/officeDocument/2006/relationships/image" Target="media/image22.w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yperlink" Target="http://www.0811bush.pdf" TargetMode="External"/><Relationship Id="rId28" Type="http://schemas.openxmlformats.org/officeDocument/2006/relationships/control" Target="activeX/activeX1.xml"/><Relationship Id="rId36" Type="http://schemas.openxmlformats.org/officeDocument/2006/relationships/image" Target="media/image18.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hyperlink" Target="http://www.reuters.com/article/rbssbank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16.wmf"/><Relationship Id="rId30" Type="http://schemas.openxmlformats.org/officeDocument/2006/relationships/control" Target="activeX/activeX2.xml"/><Relationship Id="rId35" Type="http://schemas.openxmlformats.org/officeDocument/2006/relationships/hyperlink" Target="http://www.accaglobal.com" TargetMode="External"/><Relationship Id="rId43" Type="http://schemas.openxmlformats.org/officeDocument/2006/relationships/image" Target="media/image25.wmf"/><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1D087-81CF-4E20-9AA2-98C4BDEE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60892</Words>
  <Characters>347087</Characters>
  <Application>Microsoft Office Word</Application>
  <DocSecurity>0</DocSecurity>
  <Lines>2892</Lines>
  <Paragraphs>814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Accounting Disclosures and Corporate attributes: Evidence from the Nigerian Stock Exchange</vt:lpstr>
      <vt:lpstr>    2.2.3	Previous Studies on IAS/IFRS and Financial Reporting</vt:lpstr>
    </vt:vector>
  </TitlesOfParts>
  <Company/>
  <LinksUpToDate>false</LinksUpToDate>
  <CharactersWithSpaces>407165</CharactersWithSpaces>
  <SharedDoc>false</SharedDoc>
  <HLinks>
    <vt:vector size="66" baseType="variant">
      <vt:variant>
        <vt:i4>3014718</vt:i4>
      </vt:variant>
      <vt:variant>
        <vt:i4>33</vt:i4>
      </vt:variant>
      <vt:variant>
        <vt:i4>0</vt:i4>
      </vt:variant>
      <vt:variant>
        <vt:i4>5</vt:i4>
      </vt:variant>
      <vt:variant>
        <vt:lpwstr>http://www.accaglobal.com/</vt:lpwstr>
      </vt:variant>
      <vt:variant>
        <vt:lpwstr/>
      </vt:variant>
      <vt:variant>
        <vt:i4>5636205</vt:i4>
      </vt:variant>
      <vt:variant>
        <vt:i4>30</vt:i4>
      </vt:variant>
      <vt:variant>
        <vt:i4>0</vt:i4>
      </vt:variant>
      <vt:variant>
        <vt:i4>5</vt:i4>
      </vt:variant>
      <vt:variant>
        <vt:lpwstr>http://www.ndic-ng.com/fialed_institutions.htm</vt:lpwstr>
      </vt:variant>
      <vt:variant>
        <vt:lpwstr/>
      </vt:variant>
      <vt:variant>
        <vt:i4>6553647</vt:i4>
      </vt:variant>
      <vt:variant>
        <vt:i4>27</vt:i4>
      </vt:variant>
      <vt:variant>
        <vt:i4>0</vt:i4>
      </vt:variant>
      <vt:variant>
        <vt:i4>5</vt:i4>
      </vt:variant>
      <vt:variant>
        <vt:lpwstr>http://wwwdatabase.sec.gov.ng/growthof</vt:lpwstr>
      </vt:variant>
      <vt:variant>
        <vt:lpwstr/>
      </vt:variant>
      <vt:variant>
        <vt:i4>720925</vt:i4>
      </vt:variant>
      <vt:variant>
        <vt:i4>24</vt:i4>
      </vt:variant>
      <vt:variant>
        <vt:i4>0</vt:i4>
      </vt:variant>
      <vt:variant>
        <vt:i4>5</vt:i4>
      </vt:variant>
      <vt:variant>
        <vt:lpwstr>http://www.pwc.com/Extweb/pwcpublications.nsf/docid/161BDC4202A1237B802572E700318D4E</vt:lpwstr>
      </vt:variant>
      <vt:variant>
        <vt:lpwstr/>
      </vt:variant>
      <vt:variant>
        <vt:i4>3014718</vt:i4>
      </vt:variant>
      <vt:variant>
        <vt:i4>21</vt:i4>
      </vt:variant>
      <vt:variant>
        <vt:i4>0</vt:i4>
      </vt:variant>
      <vt:variant>
        <vt:i4>5</vt:i4>
      </vt:variant>
      <vt:variant>
        <vt:lpwstr>http://www.accaglobal.com/</vt:lpwstr>
      </vt:variant>
      <vt:variant>
        <vt:lpwstr/>
      </vt:variant>
      <vt:variant>
        <vt:i4>3014718</vt:i4>
      </vt:variant>
      <vt:variant>
        <vt:i4>15</vt:i4>
      </vt:variant>
      <vt:variant>
        <vt:i4>0</vt:i4>
      </vt:variant>
      <vt:variant>
        <vt:i4>5</vt:i4>
      </vt:variant>
      <vt:variant>
        <vt:lpwstr>http://www.accaglobal.com/</vt:lpwstr>
      </vt:variant>
      <vt:variant>
        <vt:lpwstr/>
      </vt:variant>
      <vt:variant>
        <vt:i4>5636205</vt:i4>
      </vt:variant>
      <vt:variant>
        <vt:i4>12</vt:i4>
      </vt:variant>
      <vt:variant>
        <vt:i4>0</vt:i4>
      </vt:variant>
      <vt:variant>
        <vt:i4>5</vt:i4>
      </vt:variant>
      <vt:variant>
        <vt:lpwstr>http://www.ndic-ng.com/fialed_institutions.htm</vt:lpwstr>
      </vt:variant>
      <vt:variant>
        <vt:lpwstr/>
      </vt:variant>
      <vt:variant>
        <vt:i4>3014718</vt:i4>
      </vt:variant>
      <vt:variant>
        <vt:i4>9</vt:i4>
      </vt:variant>
      <vt:variant>
        <vt:i4>0</vt:i4>
      </vt:variant>
      <vt:variant>
        <vt:i4>5</vt:i4>
      </vt:variant>
      <vt:variant>
        <vt:lpwstr>http://www.accaglobal.com/</vt:lpwstr>
      </vt:variant>
      <vt:variant>
        <vt:lpwstr/>
      </vt:variant>
      <vt:variant>
        <vt:i4>3014718</vt:i4>
      </vt:variant>
      <vt:variant>
        <vt:i4>6</vt:i4>
      </vt:variant>
      <vt:variant>
        <vt:i4>0</vt:i4>
      </vt:variant>
      <vt:variant>
        <vt:i4>5</vt:i4>
      </vt:variant>
      <vt:variant>
        <vt:lpwstr>http://www.accaglobal.com/</vt:lpwstr>
      </vt:variant>
      <vt:variant>
        <vt:lpwstr/>
      </vt:variant>
      <vt:variant>
        <vt:i4>6553647</vt:i4>
      </vt:variant>
      <vt:variant>
        <vt:i4>3</vt:i4>
      </vt:variant>
      <vt:variant>
        <vt:i4>0</vt:i4>
      </vt:variant>
      <vt:variant>
        <vt:i4>5</vt:i4>
      </vt:variant>
      <vt:variant>
        <vt:lpwstr>http://wwwdatabase.sec.gov.ng/growthof</vt:lpwstr>
      </vt:variant>
      <vt:variant>
        <vt:lpwstr/>
      </vt:variant>
      <vt:variant>
        <vt:i4>720925</vt:i4>
      </vt:variant>
      <vt:variant>
        <vt:i4>0</vt:i4>
      </vt:variant>
      <vt:variant>
        <vt:i4>0</vt:i4>
      </vt:variant>
      <vt:variant>
        <vt:i4>5</vt:i4>
      </vt:variant>
      <vt:variant>
        <vt:lpwstr>http://www.pwc.com/Extweb/pwcpublications.nsf/docid/161BDC4202A1237B802572E700318D4E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Disclosures and Corporate attributes: Evidence from the Nigerian Stock Exchange</dc:title>
  <dc:creator>OTU UMOREN</dc:creator>
  <cp:lastModifiedBy>user</cp:lastModifiedBy>
  <cp:revision>2</cp:revision>
  <cp:lastPrinted>2009-07-27T09:11:00Z</cp:lastPrinted>
  <dcterms:created xsi:type="dcterms:W3CDTF">2009-07-28T16:10:00Z</dcterms:created>
  <dcterms:modified xsi:type="dcterms:W3CDTF">2009-07-28T16:10:00Z</dcterms:modified>
</cp:coreProperties>
</file>